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CBCE36">
      <w:pPr>
        <w:spacing w:line="360" w:lineRule="auto"/>
        <w:ind w:firstLine="480" w:firstLineChars="200"/>
      </w:pPr>
    </w:p>
    <w:p w14:paraId="1AB2F970">
      <w:pPr>
        <w:spacing w:line="360" w:lineRule="auto"/>
        <w:ind w:firstLine="480" w:firstLineChars="200"/>
      </w:pPr>
    </w:p>
    <w:p w14:paraId="5F17EF10">
      <w:pPr>
        <w:spacing w:line="360" w:lineRule="auto"/>
        <w:ind w:firstLine="480" w:firstLineChars="200"/>
      </w:pPr>
    </w:p>
    <w:p w14:paraId="343B2D8D">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5D4F53E9">
      <w:pPr>
        <w:spacing w:line="360" w:lineRule="auto"/>
        <w:jc w:val="center"/>
        <w:rPr>
          <w:rFonts w:hint="eastAsia" w:ascii="楷体" w:hAnsi="楷体" w:eastAsia="楷体"/>
          <w:sz w:val="48"/>
          <w:szCs w:val="48"/>
        </w:rPr>
      </w:pPr>
      <w:r>
        <w:rPr>
          <w:rFonts w:hint="eastAsia" w:ascii="楷体" w:hAnsi="楷体" w:eastAsia="楷体"/>
          <w:sz w:val="48"/>
          <w:szCs w:val="48"/>
        </w:rPr>
        <w:t>（生态影响类）</w:t>
      </w:r>
    </w:p>
    <w:p w14:paraId="4752FBBE">
      <w:pPr>
        <w:spacing w:line="360" w:lineRule="auto"/>
        <w:ind w:firstLine="480" w:firstLineChars="200"/>
      </w:pPr>
    </w:p>
    <w:p w14:paraId="559089A7">
      <w:pPr>
        <w:spacing w:line="360" w:lineRule="auto"/>
        <w:ind w:firstLine="480" w:firstLineChars="200"/>
      </w:pPr>
    </w:p>
    <w:p w14:paraId="24FDBF82">
      <w:pPr>
        <w:spacing w:line="360" w:lineRule="auto"/>
        <w:ind w:firstLine="480" w:firstLineChars="200"/>
      </w:pPr>
    </w:p>
    <w:p w14:paraId="35A8B106">
      <w:pPr>
        <w:spacing w:line="360" w:lineRule="auto"/>
        <w:ind w:firstLine="480" w:firstLineChars="200"/>
      </w:pPr>
    </w:p>
    <w:p w14:paraId="239C0202">
      <w:pPr>
        <w:spacing w:line="360" w:lineRule="auto"/>
        <w:ind w:firstLine="480" w:firstLineChars="200"/>
      </w:pPr>
    </w:p>
    <w:p w14:paraId="3305BD80">
      <w:pPr>
        <w:spacing w:line="360" w:lineRule="auto"/>
        <w:ind w:firstLine="480" w:firstLineChars="200"/>
      </w:pPr>
    </w:p>
    <w:p w14:paraId="7E43A8DE">
      <w:pPr>
        <w:spacing w:line="360" w:lineRule="auto"/>
        <w:ind w:firstLine="480" w:firstLineChars="200"/>
      </w:pPr>
    </w:p>
    <w:p w14:paraId="04B256E5">
      <w:pPr>
        <w:spacing w:line="360" w:lineRule="auto"/>
        <w:ind w:firstLine="480" w:firstLineChars="200"/>
      </w:pPr>
    </w:p>
    <w:p w14:paraId="48BC479D">
      <w:pPr>
        <w:spacing w:line="360" w:lineRule="auto"/>
        <w:ind w:firstLine="480" w:firstLineChars="200"/>
      </w:pPr>
    </w:p>
    <w:p w14:paraId="7A142341">
      <w:pPr>
        <w:spacing w:line="360" w:lineRule="auto"/>
        <w:ind w:firstLine="480" w:firstLineChars="200"/>
      </w:pPr>
    </w:p>
    <w:p w14:paraId="719970EB">
      <w:pPr>
        <w:spacing w:line="360" w:lineRule="auto"/>
        <w:ind w:firstLine="480" w:firstLineChars="200"/>
      </w:pPr>
    </w:p>
    <w:p w14:paraId="268DCE66">
      <w:pPr>
        <w:spacing w:line="360" w:lineRule="auto"/>
        <w:ind w:firstLine="480" w:firstLineChars="200"/>
      </w:pPr>
    </w:p>
    <w:p w14:paraId="2933EF9B">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鸭绿江临江航道码头建设工程  </w:t>
      </w:r>
    </w:p>
    <w:p w14:paraId="487BCAE6">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吉林省航道管理局      </w:t>
      </w:r>
    </w:p>
    <w:p w14:paraId="5023BF3B">
      <w:pPr>
        <w:spacing w:line="360" w:lineRule="auto"/>
        <w:ind w:firstLine="1080" w:firstLineChars="300"/>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2025年12月</w:t>
      </w:r>
      <w:r>
        <w:rPr>
          <w:rFonts w:ascii="仿宋_GB2312" w:eastAsia="仿宋_GB2312"/>
          <w:sz w:val="36"/>
          <w:szCs w:val="36"/>
          <w:u w:val="single"/>
        </w:rPr>
        <w:t xml:space="preserve">              </w:t>
      </w:r>
    </w:p>
    <w:p w14:paraId="066C26EF">
      <w:pPr>
        <w:spacing w:line="360" w:lineRule="auto"/>
        <w:ind w:firstLine="480" w:firstLineChars="200"/>
        <w:sectPr>
          <w:pgSz w:w="11906" w:h="16838"/>
          <w:pgMar w:top="1440" w:right="1800" w:bottom="1440" w:left="1800" w:header="851" w:footer="992" w:gutter="0"/>
          <w:cols w:space="425" w:num="1"/>
          <w:docGrid w:type="lines" w:linePitch="326" w:charSpace="0"/>
        </w:sectPr>
      </w:pPr>
    </w:p>
    <w:p w14:paraId="7E1E52E5">
      <w:pPr>
        <w:spacing w:line="360" w:lineRule="auto"/>
        <w:ind w:firstLine="480" w:firstLineChars="200"/>
      </w:pPr>
    </w:p>
    <w:p w14:paraId="6C5F249C">
      <w:pPr>
        <w:spacing w:line="360" w:lineRule="auto"/>
        <w:ind w:firstLine="480" w:firstLineChars="200"/>
      </w:pPr>
    </w:p>
    <w:p w14:paraId="190C539C">
      <w:pPr>
        <w:spacing w:line="360" w:lineRule="auto"/>
        <w:ind w:firstLine="480" w:firstLineChars="200"/>
      </w:pPr>
    </w:p>
    <w:p w14:paraId="08F0408C">
      <w:pPr>
        <w:spacing w:line="360" w:lineRule="auto"/>
        <w:jc w:val="center"/>
        <w:rPr>
          <w:rFonts w:ascii="楷体_GB2312" w:eastAsia="楷体_GB2312"/>
          <w:sz w:val="36"/>
          <w:szCs w:val="36"/>
        </w:rPr>
        <w:sectPr>
          <w:footerReference r:id="rId3" w:type="default"/>
          <w:type w:val="continuous"/>
          <w:pgSz w:w="11906" w:h="16838"/>
          <w:pgMar w:top="1440" w:right="1800" w:bottom="1440" w:left="1800" w:header="851" w:footer="992" w:gutter="0"/>
          <w:pgNumType w:start="0"/>
          <w:cols w:space="425" w:num="1"/>
          <w:docGrid w:type="lines" w:linePitch="326" w:charSpace="0"/>
        </w:sectPr>
      </w:pPr>
      <w:r>
        <w:rPr>
          <w:rFonts w:hint="eastAsia" w:ascii="楷体_GB2312" w:eastAsia="楷体_GB2312"/>
          <w:sz w:val="36"/>
          <w:szCs w:val="36"/>
        </w:rPr>
        <w:t>中华人民共和国生态环境部制</w:t>
      </w:r>
    </w:p>
    <w:p w14:paraId="3877FB16">
      <w:pPr>
        <w:pStyle w:val="2"/>
        <w:jc w:val="both"/>
        <w:rPr>
          <w:rFonts w:hint="eastAsia" w:ascii="黑体" w:hAnsi="黑体" w:eastAsia="黑体"/>
        </w:rPr>
      </w:pPr>
      <w:r>
        <w:rPr>
          <w:rFonts w:hint="eastAsia" w:ascii="黑体" w:hAnsi="黑体" w:eastAsia="黑体"/>
        </w:rPr>
        <w:t>一、建设项目基本情况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15"/>
        <w:gridCol w:w="433"/>
        <w:gridCol w:w="2448"/>
        <w:gridCol w:w="1799"/>
        <w:gridCol w:w="2345"/>
      </w:tblGrid>
      <w:tr w14:paraId="0888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6DE84398">
            <w:pPr>
              <w:jc w:val="center"/>
              <w:rPr>
                <w:sz w:val="21"/>
                <w:szCs w:val="20"/>
              </w:rPr>
            </w:pPr>
            <w:r>
              <w:rPr>
                <w:rFonts w:hint="eastAsia" w:ascii="宋体" w:hAnsi="宋体" w:cs="宋体"/>
                <w:sz w:val="21"/>
                <w:szCs w:val="20"/>
              </w:rPr>
              <w:t>建设项目名称</w:t>
            </w:r>
          </w:p>
        </w:tc>
        <w:tc>
          <w:tcPr>
            <w:tcW w:w="6592" w:type="dxa"/>
            <w:gridSpan w:val="3"/>
            <w:vAlign w:val="center"/>
          </w:tcPr>
          <w:p w14:paraId="02761ECD">
            <w:pPr>
              <w:spacing w:line="360" w:lineRule="auto"/>
              <w:jc w:val="center"/>
            </w:pPr>
            <w:bookmarkStart w:id="0" w:name="_Hlk214546513"/>
            <w:r>
              <w:rPr>
                <w:rFonts w:hint="eastAsia" w:ascii="宋体" w:hAnsi="宋体" w:cs="宋体"/>
                <w:szCs w:val="24"/>
              </w:rPr>
              <w:t>鸭绿江临江航道码头建设工程</w:t>
            </w:r>
            <w:bookmarkEnd w:id="0"/>
          </w:p>
        </w:tc>
      </w:tr>
      <w:tr w14:paraId="7116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6EFC3D20">
            <w:pPr>
              <w:jc w:val="center"/>
              <w:rPr>
                <w:sz w:val="21"/>
                <w:szCs w:val="20"/>
              </w:rPr>
            </w:pPr>
            <w:r>
              <w:rPr>
                <w:rFonts w:hint="eastAsia" w:ascii="宋体" w:hAnsi="宋体" w:cs="宋体"/>
                <w:sz w:val="21"/>
                <w:szCs w:val="20"/>
              </w:rPr>
              <w:t>项目代码</w:t>
            </w:r>
          </w:p>
        </w:tc>
        <w:tc>
          <w:tcPr>
            <w:tcW w:w="6592" w:type="dxa"/>
            <w:gridSpan w:val="3"/>
            <w:vAlign w:val="center"/>
          </w:tcPr>
          <w:p w14:paraId="5DC1DBB7">
            <w:pPr>
              <w:spacing w:line="360" w:lineRule="auto"/>
              <w:jc w:val="center"/>
            </w:pPr>
            <w:r>
              <w:rPr>
                <w:rFonts w:hint="eastAsia" w:ascii="宋体" w:hAnsi="宋体" w:cs="宋体"/>
                <w:szCs w:val="21"/>
              </w:rPr>
              <w:t>/</w:t>
            </w:r>
          </w:p>
        </w:tc>
      </w:tr>
      <w:tr w14:paraId="42F6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17219883">
            <w:pPr>
              <w:jc w:val="center"/>
              <w:rPr>
                <w:sz w:val="21"/>
                <w:szCs w:val="20"/>
              </w:rPr>
            </w:pPr>
            <w:r>
              <w:rPr>
                <w:rFonts w:hint="eastAsia" w:ascii="宋体" w:hAnsi="宋体" w:cs="宋体"/>
                <w:sz w:val="21"/>
                <w:szCs w:val="20"/>
              </w:rPr>
              <w:t>建设单位联系人</w:t>
            </w:r>
          </w:p>
        </w:tc>
        <w:tc>
          <w:tcPr>
            <w:tcW w:w="2448" w:type="dxa"/>
            <w:vAlign w:val="center"/>
          </w:tcPr>
          <w:p w14:paraId="7EE491DC">
            <w:pPr>
              <w:spacing w:line="360" w:lineRule="auto"/>
              <w:jc w:val="center"/>
            </w:pPr>
            <w:r>
              <w:rPr>
                <w:rFonts w:hint="eastAsia" w:ascii="宋体" w:hAnsi="宋体" w:cs="宋体"/>
                <w:szCs w:val="21"/>
              </w:rPr>
              <w:t>丁旭朋</w:t>
            </w:r>
          </w:p>
        </w:tc>
        <w:tc>
          <w:tcPr>
            <w:tcW w:w="1799" w:type="dxa"/>
            <w:vAlign w:val="center"/>
          </w:tcPr>
          <w:p w14:paraId="21BC8E93">
            <w:pPr>
              <w:spacing w:line="360" w:lineRule="auto"/>
              <w:jc w:val="center"/>
            </w:pPr>
            <w:r>
              <w:rPr>
                <w:rFonts w:hint="eastAsia" w:ascii="宋体" w:hAnsi="宋体" w:cs="宋体"/>
                <w:szCs w:val="21"/>
              </w:rPr>
              <w:t>联系方式</w:t>
            </w:r>
          </w:p>
        </w:tc>
        <w:tc>
          <w:tcPr>
            <w:tcW w:w="2345" w:type="dxa"/>
            <w:vAlign w:val="center"/>
          </w:tcPr>
          <w:p w14:paraId="59B6555F">
            <w:pPr>
              <w:spacing w:line="360" w:lineRule="auto"/>
              <w:jc w:val="center"/>
            </w:pPr>
            <w:r>
              <w:rPr>
                <w:rFonts w:ascii="宋体" w:hAnsi="宋体" w:cs="宋体"/>
                <w:szCs w:val="21"/>
              </w:rPr>
              <w:t>15943222735</w:t>
            </w:r>
          </w:p>
        </w:tc>
      </w:tr>
      <w:tr w14:paraId="6B09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750FFBF9">
            <w:pPr>
              <w:jc w:val="center"/>
              <w:rPr>
                <w:sz w:val="21"/>
                <w:szCs w:val="20"/>
              </w:rPr>
            </w:pPr>
            <w:r>
              <w:rPr>
                <w:rFonts w:hint="eastAsia" w:ascii="宋体" w:hAnsi="宋体" w:cs="宋体"/>
                <w:sz w:val="21"/>
                <w:szCs w:val="20"/>
              </w:rPr>
              <w:t>建设地点</w:t>
            </w:r>
          </w:p>
        </w:tc>
        <w:tc>
          <w:tcPr>
            <w:tcW w:w="6592" w:type="dxa"/>
            <w:gridSpan w:val="3"/>
            <w:vAlign w:val="center"/>
          </w:tcPr>
          <w:p w14:paraId="0142642A">
            <w:pPr>
              <w:jc w:val="center"/>
            </w:pPr>
            <w:r>
              <w:rPr>
                <w:rFonts w:ascii="宋体" w:hAnsi="宋体" w:cs="宋体"/>
                <w:u w:val="single"/>
              </w:rPr>
              <w:t xml:space="preserve"> </w:t>
            </w:r>
            <w:r>
              <w:rPr>
                <w:rFonts w:hint="eastAsia" w:ascii="宋体" w:hAnsi="宋体" w:cs="宋体"/>
                <w:u w:val="single"/>
              </w:rPr>
              <w:t>吉林</w:t>
            </w:r>
            <w:r>
              <w:rPr>
                <w:rFonts w:hint="eastAsia" w:ascii="宋体" w:hAnsi="宋体" w:cs="宋体"/>
              </w:rPr>
              <w:t>省（自治区）</w:t>
            </w:r>
            <w:r>
              <w:rPr>
                <w:rFonts w:ascii="宋体" w:hAnsi="宋体" w:cs="宋体"/>
                <w:u w:val="single"/>
              </w:rPr>
              <w:t xml:space="preserve"> </w:t>
            </w:r>
            <w:r>
              <w:rPr>
                <w:rFonts w:hint="eastAsia" w:ascii="宋体" w:hAnsi="宋体" w:cs="宋体"/>
                <w:u w:val="single"/>
              </w:rPr>
              <w:t xml:space="preserve">白山 </w:t>
            </w:r>
            <w:r>
              <w:rPr>
                <w:rFonts w:hint="eastAsia" w:ascii="宋体" w:hAnsi="宋体" w:cs="宋体"/>
              </w:rPr>
              <w:t>市</w:t>
            </w:r>
            <w:r>
              <w:rPr>
                <w:rFonts w:ascii="宋体" w:hAnsi="宋体" w:cs="宋体"/>
                <w:u w:val="single"/>
              </w:rPr>
              <w:t xml:space="preserve"> </w:t>
            </w:r>
            <w:r>
              <w:rPr>
                <w:rFonts w:hint="eastAsia" w:ascii="宋体" w:hAnsi="宋体" w:cs="宋体"/>
                <w:u w:val="single"/>
              </w:rPr>
              <w:t>临江市</w:t>
            </w:r>
            <w:r>
              <w:rPr>
                <w:rFonts w:hint="eastAsia" w:ascii="宋体" w:hAnsi="宋体" w:cs="宋体"/>
              </w:rPr>
              <w:t>（区）</w:t>
            </w:r>
            <w:r>
              <w:rPr>
                <w:rFonts w:ascii="宋体" w:hAnsi="宋体" w:cs="宋体"/>
                <w:u w:val="single"/>
              </w:rPr>
              <w:t xml:space="preserve"> </w:t>
            </w:r>
            <w:r>
              <w:rPr>
                <w:rFonts w:hint="eastAsia" w:ascii="宋体" w:hAnsi="宋体" w:cs="宋体"/>
                <w:u w:val="single"/>
              </w:rPr>
              <w:t xml:space="preserve">大栗子 </w:t>
            </w:r>
            <w:r>
              <w:rPr>
                <w:rFonts w:hint="eastAsia" w:ascii="宋体" w:hAnsi="宋体" w:cs="宋体"/>
              </w:rPr>
              <w:t>（街道）</w:t>
            </w:r>
          </w:p>
        </w:tc>
      </w:tr>
      <w:tr w14:paraId="0BC1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606FBFB1">
            <w:pPr>
              <w:jc w:val="center"/>
              <w:rPr>
                <w:sz w:val="21"/>
                <w:szCs w:val="20"/>
              </w:rPr>
            </w:pPr>
            <w:r>
              <w:rPr>
                <w:rFonts w:hint="eastAsia" w:ascii="宋体" w:hAnsi="宋体" w:cs="宋体"/>
                <w:sz w:val="21"/>
                <w:szCs w:val="20"/>
              </w:rPr>
              <w:t>地理坐标</w:t>
            </w:r>
          </w:p>
        </w:tc>
        <w:tc>
          <w:tcPr>
            <w:tcW w:w="6592" w:type="dxa"/>
            <w:gridSpan w:val="3"/>
            <w:vAlign w:val="center"/>
          </w:tcPr>
          <w:p w14:paraId="3A19D306">
            <w:pPr>
              <w:jc w:val="center"/>
            </w:pPr>
            <w:r>
              <w:rPr>
                <w:rFonts w:hint="eastAsia" w:ascii="宋体" w:hAnsi="宋体" w:cs="宋体"/>
              </w:rPr>
              <w:t>（</w:t>
            </w:r>
            <w:r>
              <w:rPr>
                <w:rFonts w:ascii="宋体" w:hAnsi="宋体" w:cs="宋体"/>
                <w:u w:val="single"/>
              </w:rPr>
              <w:t xml:space="preserve"> </w:t>
            </w:r>
            <w:r>
              <w:rPr>
                <w:rFonts w:hint="eastAsia" w:ascii="宋体" w:hAnsi="宋体" w:cs="宋体"/>
                <w:u w:val="single"/>
              </w:rPr>
              <w:t>126</w:t>
            </w:r>
            <w:r>
              <w:rPr>
                <w:rFonts w:ascii="宋体" w:hAnsi="宋体" w:cs="宋体"/>
                <w:u w:val="single"/>
              </w:rPr>
              <w:t xml:space="preserve"> </w:t>
            </w:r>
            <w:r>
              <w:rPr>
                <w:rFonts w:hint="eastAsia" w:ascii="宋体" w:hAnsi="宋体" w:cs="宋体"/>
              </w:rPr>
              <w:t>度</w:t>
            </w:r>
            <w:r>
              <w:rPr>
                <w:rFonts w:ascii="宋体" w:hAnsi="宋体" w:cs="宋体"/>
                <w:u w:val="single"/>
              </w:rPr>
              <w:t xml:space="preserve"> </w:t>
            </w:r>
            <w:r>
              <w:rPr>
                <w:rFonts w:hint="eastAsia" w:ascii="宋体" w:hAnsi="宋体" w:cs="宋体"/>
                <w:u w:val="single"/>
              </w:rPr>
              <w:t xml:space="preserve"> 50</w:t>
            </w:r>
            <w:r>
              <w:rPr>
                <w:rFonts w:hint="eastAsia" w:ascii="宋体" w:hAnsi="宋体" w:cs="宋体"/>
              </w:rPr>
              <w:t>分</w:t>
            </w:r>
            <w:r>
              <w:rPr>
                <w:rFonts w:ascii="宋体" w:hAnsi="宋体" w:cs="宋体"/>
                <w:u w:val="single"/>
              </w:rPr>
              <w:t xml:space="preserve"> 38.00</w:t>
            </w:r>
            <w:r>
              <w:rPr>
                <w:rFonts w:hint="eastAsia" w:ascii="宋体" w:hAnsi="宋体" w:cs="宋体"/>
                <w:u w:val="single"/>
              </w:rPr>
              <w:t>1</w:t>
            </w:r>
            <w:r>
              <w:rPr>
                <w:rFonts w:hint="eastAsia" w:ascii="宋体" w:hAnsi="宋体" w:cs="宋体"/>
              </w:rPr>
              <w:t>秒，</w:t>
            </w:r>
            <w:r>
              <w:rPr>
                <w:rFonts w:ascii="宋体" w:hAnsi="宋体" w:cs="宋体"/>
                <w:u w:val="single"/>
              </w:rPr>
              <w:t xml:space="preserve"> </w:t>
            </w:r>
            <w:r>
              <w:rPr>
                <w:rFonts w:hint="eastAsia" w:ascii="宋体" w:hAnsi="宋体" w:cs="宋体"/>
                <w:u w:val="single"/>
              </w:rPr>
              <w:t>41</w:t>
            </w:r>
            <w:r>
              <w:rPr>
                <w:rFonts w:ascii="宋体" w:hAnsi="宋体" w:cs="宋体"/>
                <w:u w:val="single"/>
              </w:rPr>
              <w:t xml:space="preserve"> </w:t>
            </w:r>
            <w:r>
              <w:rPr>
                <w:rFonts w:hint="eastAsia" w:ascii="宋体" w:hAnsi="宋体" w:cs="宋体"/>
              </w:rPr>
              <w:t>度</w:t>
            </w:r>
            <w:r>
              <w:rPr>
                <w:rFonts w:ascii="宋体" w:hAnsi="宋体" w:cs="宋体"/>
                <w:u w:val="single"/>
              </w:rPr>
              <w:t xml:space="preserve"> </w:t>
            </w:r>
            <w:r>
              <w:rPr>
                <w:rFonts w:hint="eastAsia" w:ascii="宋体" w:hAnsi="宋体" w:cs="宋体"/>
                <w:u w:val="single"/>
              </w:rPr>
              <w:t>44</w:t>
            </w:r>
            <w:r>
              <w:rPr>
                <w:rFonts w:ascii="宋体" w:hAnsi="宋体" w:cs="宋体"/>
                <w:u w:val="single"/>
              </w:rPr>
              <w:t xml:space="preserve"> </w:t>
            </w:r>
            <w:r>
              <w:rPr>
                <w:rFonts w:hint="eastAsia" w:ascii="宋体" w:hAnsi="宋体" w:cs="宋体"/>
              </w:rPr>
              <w:t>分</w:t>
            </w:r>
            <w:r>
              <w:rPr>
                <w:rFonts w:ascii="宋体" w:hAnsi="宋体" w:cs="宋体"/>
                <w:u w:val="single"/>
              </w:rPr>
              <w:t xml:space="preserve"> 18.422 </w:t>
            </w:r>
            <w:r>
              <w:rPr>
                <w:rFonts w:hint="eastAsia" w:ascii="宋体" w:hAnsi="宋体" w:cs="宋体"/>
              </w:rPr>
              <w:t>秒）</w:t>
            </w:r>
          </w:p>
        </w:tc>
      </w:tr>
      <w:tr w14:paraId="1040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174C08F6">
            <w:pPr>
              <w:adjustRightInd w:val="0"/>
              <w:snapToGrid w:val="0"/>
              <w:jc w:val="center"/>
              <w:rPr>
                <w:rFonts w:hint="eastAsia" w:ascii="宋体" w:hAnsi="宋体" w:cs="宋体"/>
                <w:sz w:val="21"/>
                <w:szCs w:val="20"/>
              </w:rPr>
            </w:pPr>
            <w:r>
              <w:rPr>
                <w:rFonts w:hint="eastAsia" w:ascii="宋体" w:hAnsi="宋体" w:cs="宋体"/>
                <w:sz w:val="21"/>
                <w:szCs w:val="20"/>
              </w:rPr>
              <w:t>建设项目</w:t>
            </w:r>
          </w:p>
          <w:p w14:paraId="5B00964A">
            <w:pPr>
              <w:jc w:val="center"/>
              <w:rPr>
                <w:sz w:val="21"/>
                <w:szCs w:val="20"/>
              </w:rPr>
            </w:pPr>
            <w:r>
              <w:rPr>
                <w:rFonts w:hint="eastAsia" w:ascii="宋体" w:hAnsi="宋体" w:cs="宋体"/>
                <w:sz w:val="21"/>
                <w:szCs w:val="20"/>
              </w:rPr>
              <w:t>行业类别</w:t>
            </w:r>
          </w:p>
        </w:tc>
        <w:tc>
          <w:tcPr>
            <w:tcW w:w="2448" w:type="dxa"/>
            <w:vAlign w:val="center"/>
          </w:tcPr>
          <w:p w14:paraId="40927551">
            <w:pPr>
              <w:jc w:val="center"/>
            </w:pPr>
            <w:r>
              <w:rPr>
                <w:rFonts w:hint="eastAsia" w:ascii="宋体" w:hAnsi="宋体" w:cs="宋体"/>
              </w:rPr>
              <w:t>五十二、交通运输业、管道运输业，141滚装、客运、工作船、游艇码头</w:t>
            </w:r>
          </w:p>
        </w:tc>
        <w:tc>
          <w:tcPr>
            <w:tcW w:w="1799" w:type="dxa"/>
            <w:vAlign w:val="center"/>
          </w:tcPr>
          <w:p w14:paraId="4DAB757F">
            <w:pPr>
              <w:jc w:val="center"/>
              <w:rPr>
                <w:sz w:val="21"/>
                <w:szCs w:val="18"/>
              </w:rPr>
            </w:pPr>
            <w:r>
              <w:rPr>
                <w:rFonts w:hint="eastAsia" w:ascii="宋体" w:hAnsi="宋体" w:cs="宋体"/>
                <w:sz w:val="21"/>
                <w:szCs w:val="18"/>
              </w:rPr>
              <w:t>用地（用海）面积（</w:t>
            </w:r>
            <w:r>
              <w:rPr>
                <w:rFonts w:ascii="宋体" w:hAnsi="宋体" w:cs="宋体"/>
                <w:sz w:val="21"/>
                <w:szCs w:val="18"/>
              </w:rPr>
              <w:t>m</w:t>
            </w:r>
            <w:r>
              <w:rPr>
                <w:rFonts w:ascii="宋体" w:hAnsi="宋体" w:cs="宋体"/>
                <w:sz w:val="21"/>
                <w:szCs w:val="18"/>
                <w:vertAlign w:val="superscript"/>
              </w:rPr>
              <w:t>2</w:t>
            </w:r>
            <w:r>
              <w:rPr>
                <w:rFonts w:hint="eastAsia" w:ascii="宋体" w:hAnsi="宋体" w:cs="宋体"/>
                <w:sz w:val="21"/>
                <w:szCs w:val="18"/>
              </w:rPr>
              <w:t>）</w:t>
            </w:r>
            <w:r>
              <w:rPr>
                <w:rFonts w:ascii="宋体" w:hAnsi="宋体" w:cs="宋体"/>
                <w:sz w:val="21"/>
                <w:szCs w:val="18"/>
              </w:rPr>
              <w:t>/</w:t>
            </w:r>
            <w:r>
              <w:rPr>
                <w:rFonts w:hint="eastAsia" w:ascii="宋体" w:hAnsi="宋体" w:cs="宋体"/>
                <w:sz w:val="21"/>
                <w:szCs w:val="18"/>
              </w:rPr>
              <w:t>长度（</w:t>
            </w:r>
            <w:r>
              <w:rPr>
                <w:rFonts w:ascii="宋体" w:hAnsi="宋体" w:cs="宋体"/>
                <w:sz w:val="21"/>
                <w:szCs w:val="18"/>
              </w:rPr>
              <w:t>km</w:t>
            </w:r>
            <w:r>
              <w:rPr>
                <w:rFonts w:hint="eastAsia" w:ascii="宋体" w:hAnsi="宋体" w:cs="宋体"/>
                <w:sz w:val="21"/>
                <w:szCs w:val="18"/>
              </w:rPr>
              <w:t>）</w:t>
            </w:r>
          </w:p>
        </w:tc>
        <w:tc>
          <w:tcPr>
            <w:tcW w:w="2345" w:type="dxa"/>
            <w:vAlign w:val="center"/>
          </w:tcPr>
          <w:p w14:paraId="45C77782">
            <w:pPr>
              <w:jc w:val="center"/>
            </w:pPr>
            <w:r>
              <w:rPr>
                <w:rFonts w:hint="eastAsia" w:ascii="宋体" w:hAnsi="宋体" w:cs="宋体"/>
              </w:rPr>
              <w:t>38364</w:t>
            </w:r>
          </w:p>
        </w:tc>
      </w:tr>
      <w:tr w14:paraId="538A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15572B35">
            <w:pPr>
              <w:jc w:val="center"/>
              <w:rPr>
                <w:sz w:val="21"/>
                <w:szCs w:val="20"/>
              </w:rPr>
            </w:pPr>
            <w:r>
              <w:rPr>
                <w:rFonts w:hint="eastAsia" w:ascii="宋体" w:hAnsi="宋体" w:cs="宋体"/>
                <w:sz w:val="21"/>
                <w:szCs w:val="20"/>
              </w:rPr>
              <w:t>建设性质</w:t>
            </w:r>
          </w:p>
        </w:tc>
        <w:tc>
          <w:tcPr>
            <w:tcW w:w="2448" w:type="dxa"/>
            <w:vAlign w:val="center"/>
          </w:tcPr>
          <w:p w14:paraId="4C21520A">
            <w:pPr>
              <w:adjustRightInd w:val="0"/>
              <w:snapToGrid w:val="0"/>
              <w:jc w:val="left"/>
              <w:rPr>
                <w:rFonts w:hint="eastAsia" w:ascii="宋体" w:hAnsi="宋体" w:cs="宋体"/>
                <w:szCs w:val="21"/>
              </w:rPr>
            </w:pPr>
            <w:r>
              <w:rPr>
                <w:rFonts w:hint="eastAsia" w:ascii="宋体" w:hAnsi="宋体" w:cs="宋体"/>
                <w:szCs w:val="21"/>
              </w:rPr>
              <w:t>√新建（迁建）</w:t>
            </w:r>
          </w:p>
          <w:p w14:paraId="355535E8">
            <w:pPr>
              <w:adjustRightInd w:val="0"/>
              <w:snapToGrid w:val="0"/>
              <w:jc w:val="left"/>
              <w:rPr>
                <w:rFonts w:hint="eastAsia" w:ascii="宋体" w:hAnsi="宋体" w:cs="宋体"/>
                <w:szCs w:val="21"/>
              </w:rPr>
            </w:pPr>
            <w:r>
              <w:rPr>
                <w:rFonts w:hint="eastAsia" w:ascii="宋体" w:hAnsi="宋体" w:cs="宋体"/>
                <w:szCs w:val="21"/>
              </w:rPr>
              <w:t>□改建</w:t>
            </w:r>
          </w:p>
          <w:p w14:paraId="2101CAD1">
            <w:pPr>
              <w:adjustRightInd w:val="0"/>
              <w:snapToGrid w:val="0"/>
              <w:jc w:val="left"/>
              <w:rPr>
                <w:rFonts w:hint="eastAsia" w:ascii="宋体" w:hAnsi="宋体" w:cs="宋体"/>
                <w:szCs w:val="21"/>
              </w:rPr>
            </w:pPr>
            <w:r>
              <w:rPr>
                <w:rFonts w:hint="eastAsia" w:ascii="宋体" w:hAnsi="宋体" w:cs="宋体"/>
                <w:szCs w:val="21"/>
              </w:rPr>
              <w:t>□扩建</w:t>
            </w:r>
          </w:p>
          <w:p w14:paraId="5CCE7CFB">
            <w:r>
              <w:rPr>
                <w:rFonts w:hint="eastAsia" w:ascii="宋体" w:hAnsi="宋体" w:cs="宋体"/>
                <w:szCs w:val="21"/>
              </w:rPr>
              <w:t>□技术改造</w:t>
            </w:r>
          </w:p>
        </w:tc>
        <w:tc>
          <w:tcPr>
            <w:tcW w:w="1799" w:type="dxa"/>
            <w:vAlign w:val="center"/>
          </w:tcPr>
          <w:p w14:paraId="789D86D7">
            <w:pPr>
              <w:adjustRightInd w:val="0"/>
              <w:snapToGrid w:val="0"/>
              <w:jc w:val="center"/>
              <w:rPr>
                <w:rFonts w:hint="eastAsia" w:ascii="宋体" w:hAnsi="宋体" w:cs="宋体"/>
                <w:sz w:val="21"/>
                <w:szCs w:val="18"/>
              </w:rPr>
            </w:pPr>
            <w:r>
              <w:rPr>
                <w:rFonts w:hint="eastAsia" w:ascii="宋体" w:hAnsi="宋体" w:cs="宋体"/>
                <w:sz w:val="21"/>
                <w:szCs w:val="18"/>
              </w:rPr>
              <w:t>建设项目</w:t>
            </w:r>
          </w:p>
          <w:p w14:paraId="4E4AE841">
            <w:pPr>
              <w:jc w:val="center"/>
              <w:rPr>
                <w:sz w:val="21"/>
                <w:szCs w:val="18"/>
              </w:rPr>
            </w:pPr>
            <w:r>
              <w:rPr>
                <w:rFonts w:hint="eastAsia" w:ascii="宋体" w:hAnsi="宋体" w:cs="宋体"/>
                <w:sz w:val="21"/>
                <w:szCs w:val="18"/>
              </w:rPr>
              <w:t>申报情形</w:t>
            </w:r>
          </w:p>
        </w:tc>
        <w:tc>
          <w:tcPr>
            <w:tcW w:w="2345" w:type="dxa"/>
            <w:vAlign w:val="center"/>
          </w:tcPr>
          <w:p w14:paraId="2ABCF316">
            <w:pPr>
              <w:adjustRightInd w:val="0"/>
              <w:snapToGrid w:val="0"/>
              <w:jc w:val="left"/>
              <w:rPr>
                <w:rFonts w:hint="eastAsia" w:ascii="宋体" w:hAnsi="宋体" w:cs="宋体"/>
                <w:szCs w:val="21"/>
              </w:rPr>
            </w:pPr>
            <w:r>
              <w:rPr>
                <w:rFonts w:hint="eastAsia" w:ascii="宋体" w:hAnsi="宋体" w:cs="宋体"/>
                <w:szCs w:val="21"/>
              </w:rPr>
              <w:t>□首次申报项目</w:t>
            </w:r>
          </w:p>
          <w:p w14:paraId="2DC654EE">
            <w:pPr>
              <w:adjustRightInd w:val="0"/>
              <w:snapToGrid w:val="0"/>
              <w:jc w:val="left"/>
              <w:rPr>
                <w:rFonts w:hint="eastAsia" w:ascii="宋体" w:hAnsi="宋体" w:cs="宋体"/>
                <w:szCs w:val="21"/>
              </w:rPr>
            </w:pPr>
            <w:r>
              <w:rPr>
                <w:rFonts w:hint="eastAsia" w:ascii="宋体" w:hAnsi="宋体" w:cs="宋体"/>
                <w:szCs w:val="21"/>
              </w:rPr>
              <w:t>□不予批准后再次申报项目</w:t>
            </w:r>
          </w:p>
          <w:p w14:paraId="2CB5024F">
            <w:pPr>
              <w:adjustRightInd w:val="0"/>
              <w:snapToGrid w:val="0"/>
              <w:jc w:val="left"/>
              <w:rPr>
                <w:rFonts w:hint="eastAsia" w:ascii="宋体" w:hAnsi="宋体" w:cs="宋体"/>
                <w:szCs w:val="21"/>
              </w:rPr>
            </w:pPr>
            <w:r>
              <w:rPr>
                <w:rFonts w:hint="eastAsia" w:ascii="宋体" w:hAnsi="宋体" w:cs="宋体"/>
                <w:szCs w:val="21"/>
              </w:rPr>
              <w:t>√超五年重新审核项目</w:t>
            </w:r>
          </w:p>
          <w:p w14:paraId="37264DFE">
            <w:r>
              <w:rPr>
                <w:rFonts w:hint="eastAsia" w:ascii="宋体" w:hAnsi="宋体" w:cs="宋体"/>
                <w:szCs w:val="21"/>
              </w:rPr>
              <w:t>□重大变动重新报批项目</w:t>
            </w:r>
          </w:p>
        </w:tc>
      </w:tr>
      <w:tr w14:paraId="68F3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0FD07CE3">
            <w:pPr>
              <w:adjustRightInd w:val="0"/>
              <w:snapToGrid w:val="0"/>
              <w:jc w:val="center"/>
              <w:rPr>
                <w:sz w:val="21"/>
                <w:szCs w:val="20"/>
              </w:rPr>
            </w:pPr>
            <w:r>
              <w:rPr>
                <w:rFonts w:hint="eastAsia" w:ascii="宋体" w:hAnsi="宋体" w:cs="宋体"/>
                <w:sz w:val="21"/>
                <w:szCs w:val="20"/>
              </w:rPr>
              <w:t>项目审批（核准</w:t>
            </w:r>
            <w:r>
              <w:rPr>
                <w:rFonts w:ascii="宋体" w:hAnsi="宋体" w:cs="宋体"/>
                <w:sz w:val="21"/>
                <w:szCs w:val="20"/>
              </w:rPr>
              <w:t>/</w:t>
            </w:r>
            <w:r>
              <w:rPr>
                <w:rFonts w:hint="eastAsia" w:ascii="宋体" w:hAnsi="宋体" w:cs="宋体"/>
                <w:sz w:val="21"/>
                <w:szCs w:val="20"/>
              </w:rPr>
              <w:t>备案）部门（选填）</w:t>
            </w:r>
          </w:p>
        </w:tc>
        <w:tc>
          <w:tcPr>
            <w:tcW w:w="2448" w:type="dxa"/>
            <w:vAlign w:val="center"/>
          </w:tcPr>
          <w:p w14:paraId="4C53C30B">
            <w:pPr>
              <w:jc w:val="center"/>
            </w:pPr>
          </w:p>
        </w:tc>
        <w:tc>
          <w:tcPr>
            <w:tcW w:w="1799" w:type="dxa"/>
            <w:vAlign w:val="center"/>
          </w:tcPr>
          <w:p w14:paraId="446E47C6">
            <w:pPr>
              <w:adjustRightInd w:val="0"/>
              <w:snapToGrid w:val="0"/>
              <w:jc w:val="center"/>
              <w:rPr>
                <w:sz w:val="21"/>
                <w:szCs w:val="18"/>
              </w:rPr>
            </w:pPr>
            <w:r>
              <w:rPr>
                <w:rFonts w:hint="eastAsia" w:ascii="宋体" w:hAnsi="宋体" w:cs="宋体"/>
                <w:sz w:val="21"/>
                <w:szCs w:val="18"/>
              </w:rPr>
              <w:t>项目审批（核准</w:t>
            </w:r>
            <w:r>
              <w:rPr>
                <w:rFonts w:ascii="宋体" w:hAnsi="宋体" w:cs="宋体"/>
                <w:sz w:val="21"/>
                <w:szCs w:val="18"/>
              </w:rPr>
              <w:t>/</w:t>
            </w:r>
            <w:r>
              <w:rPr>
                <w:rFonts w:hint="eastAsia" w:ascii="宋体" w:hAnsi="宋体" w:cs="宋体"/>
                <w:sz w:val="21"/>
                <w:szCs w:val="18"/>
              </w:rPr>
              <w:t>备案）文号（选填）</w:t>
            </w:r>
          </w:p>
        </w:tc>
        <w:tc>
          <w:tcPr>
            <w:tcW w:w="2345" w:type="dxa"/>
            <w:vAlign w:val="center"/>
          </w:tcPr>
          <w:p w14:paraId="55C45B68">
            <w:pPr>
              <w:jc w:val="center"/>
            </w:pPr>
          </w:p>
        </w:tc>
      </w:tr>
      <w:tr w14:paraId="457A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63A32506">
            <w:pPr>
              <w:jc w:val="center"/>
              <w:rPr>
                <w:sz w:val="21"/>
                <w:szCs w:val="20"/>
              </w:rPr>
            </w:pPr>
            <w:r>
              <w:rPr>
                <w:rFonts w:hint="eastAsia" w:ascii="宋体" w:hAnsi="宋体" w:cs="宋体"/>
                <w:sz w:val="21"/>
                <w:szCs w:val="20"/>
              </w:rPr>
              <w:t>总投资（万元）</w:t>
            </w:r>
          </w:p>
        </w:tc>
        <w:tc>
          <w:tcPr>
            <w:tcW w:w="2448" w:type="dxa"/>
            <w:vAlign w:val="center"/>
          </w:tcPr>
          <w:p w14:paraId="04D0343F">
            <w:pPr>
              <w:jc w:val="center"/>
            </w:pPr>
            <w:r>
              <w:rPr>
                <w:rFonts w:hint="eastAsia" w:ascii="宋体" w:hAnsi="宋体" w:cs="宋体"/>
                <w:szCs w:val="21"/>
              </w:rPr>
              <w:t>5946.45</w:t>
            </w:r>
          </w:p>
        </w:tc>
        <w:tc>
          <w:tcPr>
            <w:tcW w:w="1799" w:type="dxa"/>
            <w:vAlign w:val="center"/>
          </w:tcPr>
          <w:p w14:paraId="4270F8ED">
            <w:pPr>
              <w:rPr>
                <w:sz w:val="21"/>
                <w:szCs w:val="18"/>
              </w:rPr>
            </w:pPr>
            <w:r>
              <w:rPr>
                <w:rFonts w:hint="eastAsia" w:ascii="宋体" w:hAnsi="宋体" w:cs="宋体"/>
                <w:sz w:val="21"/>
                <w:szCs w:val="18"/>
              </w:rPr>
              <w:t>环保投资（万元）</w:t>
            </w:r>
          </w:p>
        </w:tc>
        <w:tc>
          <w:tcPr>
            <w:tcW w:w="2345" w:type="dxa"/>
            <w:vAlign w:val="center"/>
          </w:tcPr>
          <w:p w14:paraId="030A841A">
            <w:pPr>
              <w:jc w:val="center"/>
            </w:pPr>
            <w:r>
              <w:rPr>
                <w:rFonts w:hint="eastAsia" w:ascii="宋体" w:hAnsi="宋体" w:cs="宋体"/>
                <w:szCs w:val="21"/>
              </w:rPr>
              <w:t>84.35</w:t>
            </w:r>
          </w:p>
        </w:tc>
      </w:tr>
      <w:tr w14:paraId="5034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0A2983A7">
            <w:pPr>
              <w:jc w:val="center"/>
              <w:rPr>
                <w:sz w:val="21"/>
                <w:szCs w:val="20"/>
              </w:rPr>
            </w:pPr>
            <w:r>
              <w:rPr>
                <w:rFonts w:hint="eastAsia" w:ascii="宋体" w:hAnsi="宋体" w:cs="宋体"/>
                <w:sz w:val="21"/>
                <w:szCs w:val="20"/>
              </w:rPr>
              <w:t>环保投资占比（</w:t>
            </w:r>
            <w:r>
              <w:rPr>
                <w:rFonts w:ascii="宋体" w:hAnsi="宋体" w:cs="宋体"/>
                <w:sz w:val="21"/>
                <w:szCs w:val="20"/>
              </w:rPr>
              <w:t>%</w:t>
            </w:r>
            <w:r>
              <w:rPr>
                <w:rFonts w:hint="eastAsia" w:ascii="宋体" w:hAnsi="宋体" w:cs="宋体"/>
                <w:sz w:val="21"/>
                <w:szCs w:val="20"/>
              </w:rPr>
              <w:t>）</w:t>
            </w:r>
          </w:p>
        </w:tc>
        <w:tc>
          <w:tcPr>
            <w:tcW w:w="2448" w:type="dxa"/>
            <w:vAlign w:val="center"/>
          </w:tcPr>
          <w:p w14:paraId="75AC569C">
            <w:pPr>
              <w:jc w:val="center"/>
            </w:pPr>
            <w:r>
              <w:rPr>
                <w:rFonts w:hint="eastAsia" w:ascii="宋体" w:hAnsi="宋体" w:cs="宋体"/>
                <w:szCs w:val="21"/>
              </w:rPr>
              <w:t>1.4</w:t>
            </w:r>
          </w:p>
        </w:tc>
        <w:tc>
          <w:tcPr>
            <w:tcW w:w="1799" w:type="dxa"/>
            <w:vAlign w:val="center"/>
          </w:tcPr>
          <w:p w14:paraId="6F83A0AB">
            <w:pPr>
              <w:jc w:val="center"/>
              <w:rPr>
                <w:sz w:val="21"/>
                <w:szCs w:val="18"/>
              </w:rPr>
            </w:pPr>
            <w:r>
              <w:rPr>
                <w:rFonts w:hint="eastAsia" w:ascii="宋体" w:hAnsi="宋体" w:cs="宋体"/>
                <w:sz w:val="21"/>
                <w:szCs w:val="18"/>
              </w:rPr>
              <w:t>施工工期</w:t>
            </w:r>
          </w:p>
        </w:tc>
        <w:tc>
          <w:tcPr>
            <w:tcW w:w="2345" w:type="dxa"/>
            <w:vAlign w:val="center"/>
          </w:tcPr>
          <w:p w14:paraId="27B7C605">
            <w:pPr>
              <w:jc w:val="center"/>
            </w:pPr>
            <w:r>
              <w:rPr>
                <w:rFonts w:hint="eastAsia" w:ascii="宋体" w:hAnsi="宋体" w:cs="宋体"/>
                <w:szCs w:val="21"/>
              </w:rPr>
              <w:t>18个月</w:t>
            </w:r>
          </w:p>
        </w:tc>
      </w:tr>
      <w:tr w14:paraId="641C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07EF249B">
            <w:pPr>
              <w:jc w:val="center"/>
              <w:rPr>
                <w:sz w:val="21"/>
                <w:szCs w:val="20"/>
              </w:rPr>
            </w:pPr>
            <w:r>
              <w:rPr>
                <w:rFonts w:hint="eastAsia" w:ascii="宋体" w:hAnsi="宋体" w:cs="宋体"/>
                <w:sz w:val="21"/>
                <w:szCs w:val="20"/>
              </w:rPr>
              <w:t>是否开工建设</w:t>
            </w:r>
          </w:p>
        </w:tc>
        <w:tc>
          <w:tcPr>
            <w:tcW w:w="6592" w:type="dxa"/>
            <w:gridSpan w:val="3"/>
            <w:vAlign w:val="center"/>
          </w:tcPr>
          <w:p w14:paraId="7C5C0E85">
            <w:pPr>
              <w:adjustRightInd w:val="0"/>
              <w:snapToGrid w:val="0"/>
              <w:ind w:firstLine="105"/>
              <w:jc w:val="left"/>
              <w:rPr>
                <w:rFonts w:hint="eastAsia" w:ascii="宋体" w:hAnsi="宋体" w:cs="宋体"/>
                <w:szCs w:val="24"/>
              </w:rPr>
            </w:pPr>
            <w:r>
              <w:rPr>
                <w:rFonts w:hint="eastAsia" w:ascii="宋体" w:hAnsi="宋体" w:cs="宋体"/>
                <w:szCs w:val="24"/>
              </w:rPr>
              <w:t>√否</w:t>
            </w:r>
          </w:p>
          <w:p w14:paraId="72A5F7B4">
            <w:pPr>
              <w:jc w:val="left"/>
              <w:rPr>
                <w:szCs w:val="24"/>
              </w:rPr>
            </w:pPr>
            <w:r>
              <w:rPr>
                <w:rFonts w:hint="eastAsia" w:ascii="宋体" w:hAnsi="宋体" w:cs="宋体"/>
                <w:szCs w:val="24"/>
              </w:rPr>
              <w:t>□是：</w:t>
            </w:r>
            <w:r>
              <w:rPr>
                <w:rFonts w:hint="eastAsia" w:ascii="宋体" w:hAnsi="宋体" w:cs="宋体"/>
                <w:szCs w:val="24"/>
                <w:u w:val="single"/>
              </w:rPr>
              <w:t xml:space="preserve"> </w:t>
            </w:r>
            <w:r>
              <w:rPr>
                <w:rFonts w:ascii="宋体" w:hAnsi="宋体" w:cs="宋体"/>
                <w:szCs w:val="24"/>
                <w:u w:val="single"/>
              </w:rPr>
              <w:t xml:space="preserve">       </w:t>
            </w:r>
          </w:p>
        </w:tc>
      </w:tr>
      <w:tr w14:paraId="51A6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3"/>
            <w:vAlign w:val="center"/>
          </w:tcPr>
          <w:p w14:paraId="3AB68F12">
            <w:pPr>
              <w:jc w:val="center"/>
              <w:rPr>
                <w:sz w:val="21"/>
                <w:szCs w:val="20"/>
              </w:rPr>
            </w:pPr>
            <w:r>
              <w:rPr>
                <w:rFonts w:hint="eastAsia" w:ascii="宋体" w:hAnsi="宋体" w:cs="宋体"/>
                <w:kern w:val="0"/>
                <w:sz w:val="21"/>
                <w:szCs w:val="20"/>
              </w:rPr>
              <w:t>专项评价设置情况</w:t>
            </w:r>
          </w:p>
        </w:tc>
        <w:tc>
          <w:tcPr>
            <w:tcW w:w="6592" w:type="dxa"/>
            <w:gridSpan w:val="3"/>
            <w:vAlign w:val="center"/>
          </w:tcPr>
          <w:p w14:paraId="5637B811">
            <w:pPr>
              <w:spacing w:line="360" w:lineRule="auto"/>
              <w:ind w:firstLine="480" w:firstLineChars="200"/>
              <w:jc w:val="left"/>
            </w:pPr>
            <w:r>
              <w:rPr>
                <w:rFonts w:hint="eastAsia"/>
              </w:rPr>
              <w:t>根据《建设项目环境影响报告表编制技术指南（生态影响类）（试行）》中专项评价设置原则表，如下：</w:t>
            </w:r>
          </w:p>
          <w:p w14:paraId="3EC8A697">
            <w:pPr>
              <w:spacing w:line="360" w:lineRule="auto"/>
              <w:ind w:firstLine="480" w:firstLineChars="200"/>
              <w:jc w:val="left"/>
            </w:pPr>
          </w:p>
          <w:p w14:paraId="1FE4601B">
            <w:pPr>
              <w:spacing w:line="360" w:lineRule="auto"/>
              <w:jc w:val="center"/>
              <w:rPr>
                <w:b/>
                <w:bCs/>
              </w:rPr>
            </w:pPr>
            <w:r>
              <w:rPr>
                <w:rFonts w:hint="eastAsia"/>
                <w:b/>
                <w:bCs/>
              </w:rPr>
              <w:t>表1      专项评价设置原则表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99"/>
              <w:gridCol w:w="4577"/>
              <w:gridCol w:w="700"/>
            </w:tblGrid>
            <w:tr w14:paraId="45AC8B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 w:hRule="atLeast"/>
                <w:jc w:val="center"/>
              </w:trPr>
              <w:tc>
                <w:tcPr>
                  <w:tcW w:w="862" w:type="pct"/>
                  <w:tcBorders>
                    <w:tl2br w:val="nil"/>
                    <w:tr2bl w:val="nil"/>
                  </w:tcBorders>
                  <w:vAlign w:val="center"/>
                </w:tcPr>
                <w:p w14:paraId="1747BB4F">
                  <w:pPr>
                    <w:tabs>
                      <w:tab w:val="left" w:pos="0"/>
                    </w:tabs>
                    <w:adjustRightInd w:val="0"/>
                    <w:spacing w:before="24" w:after="24"/>
                    <w:jc w:val="center"/>
                    <w:textAlignment w:val="center"/>
                    <w:rPr>
                      <w:b/>
                      <w:snapToGrid w:val="0"/>
                      <w:sz w:val="21"/>
                      <w:szCs w:val="18"/>
                    </w:rPr>
                  </w:pPr>
                  <w:r>
                    <w:rPr>
                      <w:rFonts w:hint="eastAsia"/>
                      <w:b/>
                      <w:snapToGrid w:val="0"/>
                      <w:sz w:val="21"/>
                      <w:szCs w:val="18"/>
                    </w:rPr>
                    <w:t>专项评价的类别</w:t>
                  </w:r>
                </w:p>
              </w:tc>
              <w:tc>
                <w:tcPr>
                  <w:tcW w:w="3589" w:type="pct"/>
                  <w:tcBorders>
                    <w:tl2br w:val="nil"/>
                    <w:tr2bl w:val="nil"/>
                  </w:tcBorders>
                  <w:vAlign w:val="center"/>
                </w:tcPr>
                <w:p w14:paraId="35E994D3">
                  <w:pPr>
                    <w:tabs>
                      <w:tab w:val="left" w:pos="0"/>
                    </w:tabs>
                    <w:adjustRightInd w:val="0"/>
                    <w:spacing w:before="24" w:after="24"/>
                    <w:jc w:val="center"/>
                    <w:textAlignment w:val="center"/>
                    <w:rPr>
                      <w:b/>
                      <w:snapToGrid w:val="0"/>
                      <w:sz w:val="21"/>
                      <w:szCs w:val="18"/>
                    </w:rPr>
                  </w:pPr>
                  <w:r>
                    <w:rPr>
                      <w:rFonts w:hint="eastAsia"/>
                      <w:b/>
                      <w:snapToGrid w:val="0"/>
                      <w:sz w:val="21"/>
                      <w:szCs w:val="18"/>
                    </w:rPr>
                    <w:t>涉及项目类别</w:t>
                  </w:r>
                </w:p>
              </w:tc>
              <w:tc>
                <w:tcPr>
                  <w:tcW w:w="549" w:type="pct"/>
                  <w:tcBorders>
                    <w:tl2br w:val="nil"/>
                    <w:tr2bl w:val="nil"/>
                  </w:tcBorders>
                  <w:vAlign w:val="center"/>
                </w:tcPr>
                <w:p w14:paraId="5CFF354C">
                  <w:pPr>
                    <w:tabs>
                      <w:tab w:val="left" w:pos="0"/>
                    </w:tabs>
                    <w:adjustRightInd w:val="0"/>
                    <w:spacing w:before="24" w:after="24"/>
                    <w:jc w:val="center"/>
                    <w:textAlignment w:val="center"/>
                    <w:rPr>
                      <w:b/>
                      <w:snapToGrid w:val="0"/>
                      <w:sz w:val="21"/>
                      <w:szCs w:val="18"/>
                    </w:rPr>
                  </w:pPr>
                  <w:r>
                    <w:rPr>
                      <w:rFonts w:hint="eastAsia"/>
                      <w:b/>
                      <w:snapToGrid w:val="0"/>
                      <w:sz w:val="21"/>
                      <w:szCs w:val="18"/>
                    </w:rPr>
                    <w:t>是否涉及</w:t>
                  </w:r>
                </w:p>
              </w:tc>
            </w:tr>
            <w:tr w14:paraId="114D54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 w:hRule="atLeast"/>
                <w:jc w:val="center"/>
              </w:trPr>
              <w:tc>
                <w:tcPr>
                  <w:tcW w:w="862" w:type="pct"/>
                  <w:tcBorders>
                    <w:tl2br w:val="nil"/>
                    <w:tr2bl w:val="nil"/>
                  </w:tcBorders>
                  <w:vAlign w:val="center"/>
                </w:tcPr>
                <w:p w14:paraId="077E5C4E">
                  <w:pPr>
                    <w:tabs>
                      <w:tab w:val="left" w:pos="0"/>
                    </w:tabs>
                    <w:adjustRightInd w:val="0"/>
                    <w:spacing w:before="24" w:after="24"/>
                    <w:jc w:val="center"/>
                    <w:textAlignment w:val="center"/>
                    <w:rPr>
                      <w:bCs/>
                      <w:snapToGrid w:val="0"/>
                      <w:sz w:val="21"/>
                      <w:szCs w:val="18"/>
                    </w:rPr>
                  </w:pPr>
                  <w:r>
                    <w:rPr>
                      <w:rFonts w:hint="eastAsia"/>
                      <w:bCs/>
                      <w:snapToGrid w:val="0"/>
                      <w:sz w:val="21"/>
                      <w:szCs w:val="18"/>
                    </w:rPr>
                    <w:t>地表水</w:t>
                  </w:r>
                </w:p>
              </w:tc>
              <w:tc>
                <w:tcPr>
                  <w:tcW w:w="3589" w:type="pct"/>
                  <w:tcBorders>
                    <w:tl2br w:val="nil"/>
                    <w:tr2bl w:val="nil"/>
                  </w:tcBorders>
                  <w:vAlign w:val="center"/>
                </w:tcPr>
                <w:p w14:paraId="15A7C699">
                  <w:pPr>
                    <w:tabs>
                      <w:tab w:val="left" w:pos="0"/>
                    </w:tabs>
                    <w:adjustRightInd w:val="0"/>
                    <w:spacing w:before="24" w:after="24"/>
                    <w:jc w:val="left"/>
                    <w:textAlignment w:val="center"/>
                    <w:rPr>
                      <w:bCs/>
                      <w:snapToGrid w:val="0"/>
                      <w:sz w:val="21"/>
                      <w:szCs w:val="18"/>
                    </w:rPr>
                  </w:pPr>
                  <w:r>
                    <w:rPr>
                      <w:rFonts w:hint="eastAsia"/>
                      <w:bCs/>
                      <w:snapToGrid w:val="0"/>
                      <w:sz w:val="21"/>
                      <w:szCs w:val="18"/>
                    </w:rPr>
                    <w:t>水利发电：引水式发电、涉及调峰发电的项目；</w:t>
                  </w:r>
                </w:p>
                <w:p w14:paraId="607AA024">
                  <w:pPr>
                    <w:tabs>
                      <w:tab w:val="left" w:pos="0"/>
                    </w:tabs>
                    <w:adjustRightInd w:val="0"/>
                    <w:spacing w:before="24" w:after="24"/>
                    <w:jc w:val="left"/>
                    <w:textAlignment w:val="center"/>
                    <w:rPr>
                      <w:bCs/>
                      <w:snapToGrid w:val="0"/>
                      <w:sz w:val="21"/>
                      <w:szCs w:val="18"/>
                    </w:rPr>
                  </w:pPr>
                  <w:r>
                    <w:rPr>
                      <w:rFonts w:hint="eastAsia"/>
                      <w:bCs/>
                      <w:snapToGrid w:val="0"/>
                      <w:sz w:val="21"/>
                      <w:szCs w:val="18"/>
                    </w:rPr>
                    <w:t>人工湖、人工湿地：全部；</w:t>
                  </w:r>
                </w:p>
                <w:p w14:paraId="5B5E66A2">
                  <w:pPr>
                    <w:tabs>
                      <w:tab w:val="left" w:pos="0"/>
                    </w:tabs>
                    <w:adjustRightInd w:val="0"/>
                    <w:spacing w:before="24" w:after="24"/>
                    <w:jc w:val="left"/>
                    <w:textAlignment w:val="center"/>
                    <w:rPr>
                      <w:bCs/>
                      <w:snapToGrid w:val="0"/>
                      <w:sz w:val="21"/>
                      <w:szCs w:val="18"/>
                    </w:rPr>
                  </w:pPr>
                  <w:r>
                    <w:rPr>
                      <w:rFonts w:hint="eastAsia"/>
                      <w:bCs/>
                      <w:snapToGrid w:val="0"/>
                      <w:sz w:val="21"/>
                      <w:szCs w:val="18"/>
                    </w:rPr>
                    <w:t>水库：全部；</w:t>
                  </w:r>
                </w:p>
                <w:p w14:paraId="4F9441B9">
                  <w:pPr>
                    <w:tabs>
                      <w:tab w:val="left" w:pos="0"/>
                    </w:tabs>
                    <w:adjustRightInd w:val="0"/>
                    <w:spacing w:before="24" w:after="24"/>
                    <w:jc w:val="left"/>
                    <w:textAlignment w:val="center"/>
                    <w:rPr>
                      <w:bCs/>
                      <w:snapToGrid w:val="0"/>
                      <w:sz w:val="21"/>
                      <w:szCs w:val="18"/>
                    </w:rPr>
                  </w:pPr>
                  <w:r>
                    <w:rPr>
                      <w:rFonts w:hint="eastAsia"/>
                      <w:bCs/>
                      <w:snapToGrid w:val="0"/>
                      <w:sz w:val="21"/>
                      <w:szCs w:val="18"/>
                    </w:rPr>
                    <w:t>引水工程：全部（配套的管线工程等除外）；</w:t>
                  </w:r>
                </w:p>
                <w:p w14:paraId="05AA2D21">
                  <w:pPr>
                    <w:tabs>
                      <w:tab w:val="left" w:pos="0"/>
                    </w:tabs>
                    <w:adjustRightInd w:val="0"/>
                    <w:spacing w:before="24" w:after="24"/>
                    <w:jc w:val="left"/>
                    <w:textAlignment w:val="center"/>
                    <w:rPr>
                      <w:bCs/>
                      <w:snapToGrid w:val="0"/>
                      <w:sz w:val="21"/>
                      <w:szCs w:val="18"/>
                    </w:rPr>
                  </w:pPr>
                  <w:r>
                    <w:rPr>
                      <w:rFonts w:hint="eastAsia"/>
                      <w:bCs/>
                      <w:snapToGrid w:val="0"/>
                      <w:sz w:val="21"/>
                      <w:szCs w:val="18"/>
                    </w:rPr>
                    <w:t>防洪除涝工程：包含水库的项目；</w:t>
                  </w:r>
                </w:p>
                <w:p w14:paraId="6C91F313">
                  <w:pPr>
                    <w:tabs>
                      <w:tab w:val="left" w:pos="0"/>
                    </w:tabs>
                    <w:adjustRightInd w:val="0"/>
                    <w:spacing w:before="24" w:after="24"/>
                    <w:jc w:val="left"/>
                    <w:textAlignment w:val="center"/>
                    <w:rPr>
                      <w:bCs/>
                      <w:snapToGrid w:val="0"/>
                      <w:sz w:val="21"/>
                      <w:szCs w:val="18"/>
                    </w:rPr>
                  </w:pPr>
                  <w:r>
                    <w:rPr>
                      <w:rFonts w:hint="eastAsia"/>
                      <w:bCs/>
                      <w:snapToGrid w:val="0"/>
                      <w:sz w:val="21"/>
                      <w:szCs w:val="18"/>
                    </w:rPr>
                    <w:t>河湖整治：涉及清淤且底泥存在重金属污染物的项目</w:t>
                  </w:r>
                </w:p>
              </w:tc>
              <w:tc>
                <w:tcPr>
                  <w:tcW w:w="549" w:type="pct"/>
                  <w:tcBorders>
                    <w:tl2br w:val="nil"/>
                    <w:tr2bl w:val="nil"/>
                  </w:tcBorders>
                  <w:vAlign w:val="center"/>
                </w:tcPr>
                <w:p w14:paraId="36270090">
                  <w:pPr>
                    <w:tabs>
                      <w:tab w:val="left" w:pos="0"/>
                    </w:tabs>
                    <w:adjustRightInd w:val="0"/>
                    <w:spacing w:before="24" w:after="24"/>
                    <w:jc w:val="left"/>
                    <w:textAlignment w:val="center"/>
                    <w:rPr>
                      <w:bCs/>
                      <w:snapToGrid w:val="0"/>
                      <w:sz w:val="21"/>
                      <w:szCs w:val="18"/>
                    </w:rPr>
                  </w:pPr>
                  <w:r>
                    <w:rPr>
                      <w:rFonts w:hint="eastAsia"/>
                      <w:bCs/>
                      <w:snapToGrid w:val="0"/>
                      <w:sz w:val="21"/>
                      <w:szCs w:val="18"/>
                    </w:rPr>
                    <w:t>不涉及</w:t>
                  </w:r>
                </w:p>
              </w:tc>
            </w:tr>
            <w:tr w14:paraId="43F04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 w:hRule="atLeast"/>
                <w:jc w:val="center"/>
              </w:trPr>
              <w:tc>
                <w:tcPr>
                  <w:tcW w:w="862" w:type="pct"/>
                  <w:tcBorders>
                    <w:tl2br w:val="nil"/>
                    <w:tr2bl w:val="nil"/>
                  </w:tcBorders>
                  <w:vAlign w:val="center"/>
                </w:tcPr>
                <w:p w14:paraId="5E9F4CD8">
                  <w:pPr>
                    <w:tabs>
                      <w:tab w:val="left" w:pos="0"/>
                    </w:tabs>
                    <w:adjustRightInd w:val="0"/>
                    <w:spacing w:before="24" w:after="24"/>
                    <w:jc w:val="center"/>
                    <w:textAlignment w:val="center"/>
                    <w:rPr>
                      <w:bCs/>
                      <w:snapToGrid w:val="0"/>
                      <w:sz w:val="21"/>
                      <w:szCs w:val="18"/>
                    </w:rPr>
                  </w:pPr>
                  <w:r>
                    <w:rPr>
                      <w:rFonts w:hint="eastAsia"/>
                      <w:bCs/>
                      <w:snapToGrid w:val="0"/>
                      <w:sz w:val="21"/>
                      <w:szCs w:val="18"/>
                    </w:rPr>
                    <w:t>地下水</w:t>
                  </w:r>
                </w:p>
              </w:tc>
              <w:tc>
                <w:tcPr>
                  <w:tcW w:w="3589" w:type="pct"/>
                  <w:tcBorders>
                    <w:tl2br w:val="nil"/>
                    <w:tr2bl w:val="nil"/>
                  </w:tcBorders>
                  <w:vAlign w:val="center"/>
                </w:tcPr>
                <w:p w14:paraId="2053E28C">
                  <w:pPr>
                    <w:tabs>
                      <w:tab w:val="left" w:pos="0"/>
                    </w:tabs>
                    <w:adjustRightInd w:val="0"/>
                    <w:spacing w:before="24" w:after="24"/>
                    <w:jc w:val="left"/>
                    <w:textAlignment w:val="center"/>
                    <w:rPr>
                      <w:bCs/>
                      <w:snapToGrid w:val="0"/>
                      <w:sz w:val="21"/>
                      <w:szCs w:val="18"/>
                    </w:rPr>
                  </w:pPr>
                  <w:r>
                    <w:rPr>
                      <w:rFonts w:hint="eastAsia"/>
                      <w:bCs/>
                      <w:snapToGrid w:val="0"/>
                      <w:sz w:val="21"/>
                      <w:szCs w:val="18"/>
                    </w:rPr>
                    <w:t>陆地石油和天然气开采：全部；</w:t>
                  </w:r>
                </w:p>
                <w:p w14:paraId="4D26D3CC">
                  <w:pPr>
                    <w:tabs>
                      <w:tab w:val="left" w:pos="0"/>
                    </w:tabs>
                    <w:adjustRightInd w:val="0"/>
                    <w:spacing w:before="24" w:after="24"/>
                    <w:jc w:val="left"/>
                    <w:textAlignment w:val="center"/>
                    <w:rPr>
                      <w:bCs/>
                      <w:snapToGrid w:val="0"/>
                      <w:sz w:val="21"/>
                      <w:szCs w:val="18"/>
                    </w:rPr>
                  </w:pPr>
                  <w:r>
                    <w:rPr>
                      <w:rFonts w:hint="eastAsia"/>
                      <w:bCs/>
                      <w:snapToGrid w:val="0"/>
                      <w:sz w:val="21"/>
                      <w:szCs w:val="18"/>
                    </w:rPr>
                    <w:t>地下水（含矿泉水）开采：全部；</w:t>
                  </w:r>
                </w:p>
                <w:p w14:paraId="65982920">
                  <w:pPr>
                    <w:tabs>
                      <w:tab w:val="left" w:pos="0"/>
                    </w:tabs>
                    <w:adjustRightInd w:val="0"/>
                    <w:spacing w:before="24" w:after="24"/>
                    <w:jc w:val="left"/>
                    <w:textAlignment w:val="center"/>
                    <w:rPr>
                      <w:bCs/>
                      <w:snapToGrid w:val="0"/>
                      <w:sz w:val="21"/>
                      <w:szCs w:val="18"/>
                    </w:rPr>
                  </w:pPr>
                  <w:r>
                    <w:rPr>
                      <w:rFonts w:hint="eastAsia"/>
                      <w:bCs/>
                      <w:snapToGrid w:val="0"/>
                      <w:sz w:val="21"/>
                      <w:szCs w:val="18"/>
                    </w:rPr>
                    <w:t>水利、水电、交通等：含穿越可溶岩地层隧道的项目</w:t>
                  </w:r>
                </w:p>
              </w:tc>
              <w:tc>
                <w:tcPr>
                  <w:tcW w:w="549" w:type="pct"/>
                  <w:tcBorders>
                    <w:tl2br w:val="nil"/>
                    <w:tr2bl w:val="nil"/>
                  </w:tcBorders>
                  <w:vAlign w:val="center"/>
                </w:tcPr>
                <w:p w14:paraId="196E9FAC">
                  <w:pPr>
                    <w:tabs>
                      <w:tab w:val="left" w:pos="0"/>
                    </w:tabs>
                    <w:adjustRightInd w:val="0"/>
                    <w:spacing w:before="24" w:after="24"/>
                    <w:jc w:val="left"/>
                    <w:textAlignment w:val="center"/>
                    <w:rPr>
                      <w:bCs/>
                      <w:snapToGrid w:val="0"/>
                      <w:sz w:val="21"/>
                      <w:szCs w:val="18"/>
                    </w:rPr>
                  </w:pPr>
                  <w:r>
                    <w:rPr>
                      <w:rFonts w:hint="eastAsia"/>
                      <w:bCs/>
                      <w:snapToGrid w:val="0"/>
                      <w:sz w:val="21"/>
                      <w:szCs w:val="18"/>
                    </w:rPr>
                    <w:t>不涉及</w:t>
                  </w:r>
                </w:p>
              </w:tc>
            </w:tr>
            <w:tr w14:paraId="73525F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 w:hRule="atLeast"/>
                <w:jc w:val="center"/>
              </w:trPr>
              <w:tc>
                <w:tcPr>
                  <w:tcW w:w="862" w:type="pct"/>
                  <w:tcBorders>
                    <w:tl2br w:val="nil"/>
                    <w:tr2bl w:val="nil"/>
                  </w:tcBorders>
                  <w:vAlign w:val="center"/>
                </w:tcPr>
                <w:p w14:paraId="73792E5D">
                  <w:pPr>
                    <w:tabs>
                      <w:tab w:val="left" w:pos="0"/>
                    </w:tabs>
                    <w:adjustRightInd w:val="0"/>
                    <w:spacing w:before="24" w:after="24"/>
                    <w:jc w:val="center"/>
                    <w:textAlignment w:val="center"/>
                    <w:rPr>
                      <w:bCs/>
                      <w:snapToGrid w:val="0"/>
                      <w:sz w:val="21"/>
                      <w:szCs w:val="18"/>
                    </w:rPr>
                  </w:pPr>
                  <w:r>
                    <w:rPr>
                      <w:rFonts w:hint="eastAsia"/>
                      <w:bCs/>
                      <w:snapToGrid w:val="0"/>
                      <w:sz w:val="21"/>
                      <w:szCs w:val="18"/>
                    </w:rPr>
                    <w:t>生态</w:t>
                  </w:r>
                </w:p>
              </w:tc>
              <w:tc>
                <w:tcPr>
                  <w:tcW w:w="3589" w:type="pct"/>
                  <w:tcBorders>
                    <w:tl2br w:val="nil"/>
                    <w:tr2bl w:val="nil"/>
                  </w:tcBorders>
                  <w:vAlign w:val="center"/>
                </w:tcPr>
                <w:p w14:paraId="0AF49150">
                  <w:pPr>
                    <w:tabs>
                      <w:tab w:val="left" w:pos="0"/>
                    </w:tabs>
                    <w:adjustRightInd w:val="0"/>
                    <w:spacing w:before="24" w:after="24"/>
                    <w:jc w:val="left"/>
                    <w:textAlignment w:val="center"/>
                    <w:rPr>
                      <w:bCs/>
                      <w:snapToGrid w:val="0"/>
                      <w:sz w:val="21"/>
                      <w:szCs w:val="18"/>
                    </w:rPr>
                  </w:pPr>
                  <w:r>
                    <w:rPr>
                      <w:rFonts w:hint="eastAsia"/>
                      <w:bCs/>
                      <w:snapToGrid w:val="0"/>
                      <w:sz w:val="21"/>
                      <w:szCs w:val="18"/>
                    </w:rPr>
                    <w:t>涉及环境敏感区（不包括饮用水水源保护区，以居住、医疗卫生、文化教育、科研、行政办公为主要功能的区域，以及文化保护单位）的项目</w:t>
                  </w:r>
                </w:p>
              </w:tc>
              <w:tc>
                <w:tcPr>
                  <w:tcW w:w="549" w:type="pct"/>
                  <w:tcBorders>
                    <w:tl2br w:val="nil"/>
                    <w:tr2bl w:val="nil"/>
                  </w:tcBorders>
                  <w:vAlign w:val="center"/>
                </w:tcPr>
                <w:p w14:paraId="63775059">
                  <w:pPr>
                    <w:tabs>
                      <w:tab w:val="left" w:pos="0"/>
                    </w:tabs>
                    <w:adjustRightInd w:val="0"/>
                    <w:spacing w:before="24" w:after="24"/>
                    <w:jc w:val="left"/>
                    <w:textAlignment w:val="center"/>
                    <w:rPr>
                      <w:bCs/>
                      <w:snapToGrid w:val="0"/>
                      <w:sz w:val="21"/>
                      <w:szCs w:val="18"/>
                    </w:rPr>
                  </w:pPr>
                  <w:r>
                    <w:rPr>
                      <w:rFonts w:hint="eastAsia"/>
                      <w:bCs/>
                      <w:snapToGrid w:val="0"/>
                      <w:sz w:val="21"/>
                      <w:szCs w:val="18"/>
                    </w:rPr>
                    <w:t>不涉及</w:t>
                  </w:r>
                </w:p>
              </w:tc>
            </w:tr>
            <w:tr w14:paraId="54357F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 w:hRule="atLeast"/>
                <w:jc w:val="center"/>
              </w:trPr>
              <w:tc>
                <w:tcPr>
                  <w:tcW w:w="862" w:type="pct"/>
                  <w:tcBorders>
                    <w:tl2br w:val="nil"/>
                    <w:tr2bl w:val="nil"/>
                  </w:tcBorders>
                  <w:vAlign w:val="center"/>
                </w:tcPr>
                <w:p w14:paraId="3A291378">
                  <w:pPr>
                    <w:tabs>
                      <w:tab w:val="left" w:pos="0"/>
                    </w:tabs>
                    <w:adjustRightInd w:val="0"/>
                    <w:spacing w:before="24" w:after="24"/>
                    <w:jc w:val="center"/>
                    <w:textAlignment w:val="center"/>
                    <w:rPr>
                      <w:bCs/>
                      <w:snapToGrid w:val="0"/>
                      <w:sz w:val="21"/>
                      <w:szCs w:val="18"/>
                    </w:rPr>
                  </w:pPr>
                  <w:r>
                    <w:rPr>
                      <w:rFonts w:hint="eastAsia"/>
                      <w:bCs/>
                      <w:snapToGrid w:val="0"/>
                      <w:sz w:val="21"/>
                      <w:szCs w:val="18"/>
                    </w:rPr>
                    <w:t>大气</w:t>
                  </w:r>
                </w:p>
              </w:tc>
              <w:tc>
                <w:tcPr>
                  <w:tcW w:w="3589" w:type="pct"/>
                  <w:tcBorders>
                    <w:tl2br w:val="nil"/>
                    <w:tr2bl w:val="nil"/>
                  </w:tcBorders>
                  <w:vAlign w:val="center"/>
                </w:tcPr>
                <w:p w14:paraId="54DCBBAF">
                  <w:pPr>
                    <w:tabs>
                      <w:tab w:val="left" w:pos="0"/>
                    </w:tabs>
                    <w:adjustRightInd w:val="0"/>
                    <w:spacing w:before="24" w:after="24"/>
                    <w:jc w:val="left"/>
                    <w:textAlignment w:val="center"/>
                    <w:rPr>
                      <w:bCs/>
                      <w:snapToGrid w:val="0"/>
                      <w:sz w:val="21"/>
                      <w:szCs w:val="18"/>
                    </w:rPr>
                  </w:pPr>
                  <w:r>
                    <w:rPr>
                      <w:rFonts w:hint="eastAsia"/>
                      <w:bCs/>
                      <w:snapToGrid w:val="0"/>
                      <w:sz w:val="21"/>
                      <w:szCs w:val="18"/>
                    </w:rPr>
                    <w:t>油气、液体化工码头：全部；</w:t>
                  </w:r>
                </w:p>
                <w:p w14:paraId="3319014A">
                  <w:pPr>
                    <w:tabs>
                      <w:tab w:val="left" w:pos="0"/>
                    </w:tabs>
                    <w:adjustRightInd w:val="0"/>
                    <w:spacing w:before="24" w:after="24"/>
                    <w:jc w:val="left"/>
                    <w:textAlignment w:val="center"/>
                    <w:rPr>
                      <w:bCs/>
                      <w:snapToGrid w:val="0"/>
                      <w:sz w:val="21"/>
                      <w:szCs w:val="18"/>
                    </w:rPr>
                  </w:pPr>
                  <w:r>
                    <w:rPr>
                      <w:rFonts w:hint="eastAsia"/>
                      <w:bCs/>
                      <w:snapToGrid w:val="0"/>
                      <w:sz w:val="21"/>
                      <w:szCs w:val="18"/>
                    </w:rPr>
                    <w:t>干散货（含煤炭、矿石）、件杂、多用途、通用码头：涉及粉尘、挥发性有机物排放的项目</w:t>
                  </w:r>
                </w:p>
              </w:tc>
              <w:tc>
                <w:tcPr>
                  <w:tcW w:w="549" w:type="pct"/>
                  <w:tcBorders>
                    <w:tl2br w:val="nil"/>
                    <w:tr2bl w:val="nil"/>
                  </w:tcBorders>
                  <w:vAlign w:val="center"/>
                </w:tcPr>
                <w:p w14:paraId="6153501E">
                  <w:pPr>
                    <w:tabs>
                      <w:tab w:val="left" w:pos="0"/>
                    </w:tabs>
                    <w:adjustRightInd w:val="0"/>
                    <w:spacing w:before="24" w:after="24"/>
                    <w:jc w:val="left"/>
                    <w:textAlignment w:val="center"/>
                    <w:rPr>
                      <w:bCs/>
                      <w:snapToGrid w:val="0"/>
                      <w:sz w:val="21"/>
                      <w:szCs w:val="18"/>
                    </w:rPr>
                  </w:pPr>
                  <w:r>
                    <w:rPr>
                      <w:rFonts w:hint="eastAsia"/>
                      <w:bCs/>
                      <w:snapToGrid w:val="0"/>
                      <w:sz w:val="21"/>
                      <w:szCs w:val="18"/>
                    </w:rPr>
                    <w:t>不涉及</w:t>
                  </w:r>
                </w:p>
              </w:tc>
            </w:tr>
            <w:tr w14:paraId="7E152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 w:hRule="atLeast"/>
                <w:jc w:val="center"/>
              </w:trPr>
              <w:tc>
                <w:tcPr>
                  <w:tcW w:w="862" w:type="pct"/>
                  <w:tcBorders>
                    <w:tl2br w:val="nil"/>
                    <w:tr2bl w:val="nil"/>
                  </w:tcBorders>
                  <w:vAlign w:val="center"/>
                </w:tcPr>
                <w:p w14:paraId="237264A2">
                  <w:pPr>
                    <w:tabs>
                      <w:tab w:val="left" w:pos="0"/>
                    </w:tabs>
                    <w:adjustRightInd w:val="0"/>
                    <w:spacing w:before="24" w:after="24"/>
                    <w:jc w:val="center"/>
                    <w:textAlignment w:val="center"/>
                    <w:rPr>
                      <w:bCs/>
                      <w:snapToGrid w:val="0"/>
                      <w:sz w:val="21"/>
                      <w:szCs w:val="18"/>
                    </w:rPr>
                  </w:pPr>
                  <w:r>
                    <w:rPr>
                      <w:rFonts w:hint="eastAsia"/>
                      <w:bCs/>
                      <w:snapToGrid w:val="0"/>
                      <w:sz w:val="21"/>
                      <w:szCs w:val="18"/>
                    </w:rPr>
                    <w:t>噪声</w:t>
                  </w:r>
                </w:p>
              </w:tc>
              <w:tc>
                <w:tcPr>
                  <w:tcW w:w="3589" w:type="pct"/>
                  <w:tcBorders>
                    <w:tl2br w:val="nil"/>
                    <w:tr2bl w:val="nil"/>
                  </w:tcBorders>
                  <w:vAlign w:val="center"/>
                </w:tcPr>
                <w:p w14:paraId="768B4EB3">
                  <w:pPr>
                    <w:tabs>
                      <w:tab w:val="left" w:pos="0"/>
                    </w:tabs>
                    <w:adjustRightInd w:val="0"/>
                    <w:spacing w:before="24" w:after="24"/>
                    <w:jc w:val="left"/>
                    <w:textAlignment w:val="center"/>
                    <w:rPr>
                      <w:bCs/>
                      <w:snapToGrid w:val="0"/>
                      <w:sz w:val="21"/>
                      <w:szCs w:val="18"/>
                    </w:rPr>
                  </w:pPr>
                  <w:r>
                    <w:rPr>
                      <w:rFonts w:hint="eastAsia"/>
                      <w:bCs/>
                      <w:snapToGrid w:val="0"/>
                      <w:sz w:val="21"/>
                      <w:szCs w:val="18"/>
                    </w:rPr>
                    <w:t>公路、铁路、机场等交通运输业涉及环境敏感区（以居住、医疗卫生、文化教育、科研、行政办公为主要功能的区域）的项目；城市道路（不含维护，不含支路、人行天桥、人行地道）：全部</w:t>
                  </w:r>
                </w:p>
              </w:tc>
              <w:tc>
                <w:tcPr>
                  <w:tcW w:w="549" w:type="pct"/>
                  <w:tcBorders>
                    <w:tl2br w:val="nil"/>
                    <w:tr2bl w:val="nil"/>
                  </w:tcBorders>
                  <w:vAlign w:val="center"/>
                </w:tcPr>
                <w:p w14:paraId="59571D8A">
                  <w:pPr>
                    <w:tabs>
                      <w:tab w:val="left" w:pos="0"/>
                    </w:tabs>
                    <w:adjustRightInd w:val="0"/>
                    <w:spacing w:before="24" w:after="24"/>
                    <w:jc w:val="left"/>
                    <w:textAlignment w:val="center"/>
                    <w:rPr>
                      <w:bCs/>
                      <w:snapToGrid w:val="0"/>
                      <w:sz w:val="21"/>
                      <w:szCs w:val="18"/>
                    </w:rPr>
                  </w:pPr>
                  <w:r>
                    <w:rPr>
                      <w:rFonts w:hint="eastAsia"/>
                      <w:bCs/>
                      <w:snapToGrid w:val="0"/>
                      <w:sz w:val="21"/>
                      <w:szCs w:val="18"/>
                    </w:rPr>
                    <w:t>不涉及</w:t>
                  </w:r>
                </w:p>
              </w:tc>
            </w:tr>
            <w:tr w14:paraId="6F18D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 w:hRule="atLeast"/>
                <w:jc w:val="center"/>
              </w:trPr>
              <w:tc>
                <w:tcPr>
                  <w:tcW w:w="862" w:type="pct"/>
                  <w:tcBorders>
                    <w:tl2br w:val="nil"/>
                    <w:tr2bl w:val="nil"/>
                  </w:tcBorders>
                  <w:vAlign w:val="center"/>
                </w:tcPr>
                <w:p w14:paraId="0BD3D421">
                  <w:pPr>
                    <w:tabs>
                      <w:tab w:val="left" w:pos="0"/>
                    </w:tabs>
                    <w:adjustRightInd w:val="0"/>
                    <w:spacing w:before="24" w:after="24"/>
                    <w:jc w:val="center"/>
                    <w:textAlignment w:val="center"/>
                    <w:rPr>
                      <w:bCs/>
                      <w:snapToGrid w:val="0"/>
                      <w:sz w:val="21"/>
                      <w:szCs w:val="18"/>
                    </w:rPr>
                  </w:pPr>
                  <w:r>
                    <w:rPr>
                      <w:rFonts w:hint="eastAsia"/>
                      <w:bCs/>
                      <w:snapToGrid w:val="0"/>
                      <w:sz w:val="21"/>
                      <w:szCs w:val="18"/>
                    </w:rPr>
                    <w:t>环境风险</w:t>
                  </w:r>
                </w:p>
              </w:tc>
              <w:tc>
                <w:tcPr>
                  <w:tcW w:w="3589" w:type="pct"/>
                  <w:tcBorders>
                    <w:tl2br w:val="nil"/>
                    <w:tr2bl w:val="nil"/>
                  </w:tcBorders>
                  <w:vAlign w:val="center"/>
                </w:tcPr>
                <w:p w14:paraId="587DAC29">
                  <w:pPr>
                    <w:tabs>
                      <w:tab w:val="left" w:pos="0"/>
                    </w:tabs>
                    <w:adjustRightInd w:val="0"/>
                    <w:spacing w:before="24" w:after="24"/>
                    <w:jc w:val="left"/>
                    <w:textAlignment w:val="center"/>
                    <w:rPr>
                      <w:bCs/>
                      <w:snapToGrid w:val="0"/>
                      <w:sz w:val="21"/>
                      <w:szCs w:val="18"/>
                    </w:rPr>
                  </w:pPr>
                  <w:r>
                    <w:rPr>
                      <w:rFonts w:hint="eastAsia"/>
                      <w:bCs/>
                      <w:snapToGrid w:val="0"/>
                      <w:sz w:val="21"/>
                      <w:szCs w:val="18"/>
                    </w:rPr>
                    <w:t>石油和天然气开采：全部；</w:t>
                  </w:r>
                </w:p>
                <w:p w14:paraId="6842873F">
                  <w:pPr>
                    <w:tabs>
                      <w:tab w:val="left" w:pos="0"/>
                    </w:tabs>
                    <w:adjustRightInd w:val="0"/>
                    <w:spacing w:before="24" w:after="24"/>
                    <w:jc w:val="left"/>
                    <w:textAlignment w:val="center"/>
                    <w:rPr>
                      <w:bCs/>
                      <w:snapToGrid w:val="0"/>
                      <w:sz w:val="21"/>
                      <w:szCs w:val="18"/>
                    </w:rPr>
                  </w:pPr>
                  <w:r>
                    <w:rPr>
                      <w:rFonts w:hint="eastAsia"/>
                      <w:bCs/>
                      <w:snapToGrid w:val="0"/>
                      <w:sz w:val="21"/>
                      <w:szCs w:val="18"/>
                    </w:rPr>
                    <w:t>油气、液体化工码头：全部；</w:t>
                  </w:r>
                </w:p>
                <w:p w14:paraId="5B4B5A5F">
                  <w:pPr>
                    <w:tabs>
                      <w:tab w:val="left" w:pos="0"/>
                    </w:tabs>
                    <w:adjustRightInd w:val="0"/>
                    <w:spacing w:before="24" w:after="24"/>
                    <w:jc w:val="left"/>
                    <w:textAlignment w:val="center"/>
                    <w:rPr>
                      <w:bCs/>
                      <w:snapToGrid w:val="0"/>
                      <w:sz w:val="21"/>
                      <w:szCs w:val="18"/>
                    </w:rPr>
                  </w:pPr>
                  <w:r>
                    <w:rPr>
                      <w:rFonts w:hint="eastAsia"/>
                      <w:bCs/>
                      <w:snapToGrid w:val="0"/>
                      <w:sz w:val="21"/>
                      <w:szCs w:val="18"/>
                    </w:rPr>
                    <w:t>原油、成品油、天然气管线（不含城镇天然气管线、企业厂区内管线），危险化学品输送管线（不含企业厂区内管线）：全部</w:t>
                  </w:r>
                </w:p>
              </w:tc>
              <w:tc>
                <w:tcPr>
                  <w:tcW w:w="549" w:type="pct"/>
                  <w:tcBorders>
                    <w:tl2br w:val="nil"/>
                    <w:tr2bl w:val="nil"/>
                  </w:tcBorders>
                  <w:vAlign w:val="center"/>
                </w:tcPr>
                <w:p w14:paraId="74D6CA39">
                  <w:pPr>
                    <w:tabs>
                      <w:tab w:val="left" w:pos="0"/>
                    </w:tabs>
                    <w:adjustRightInd w:val="0"/>
                    <w:spacing w:before="24" w:after="24"/>
                    <w:jc w:val="left"/>
                    <w:textAlignment w:val="center"/>
                    <w:rPr>
                      <w:bCs/>
                      <w:snapToGrid w:val="0"/>
                      <w:sz w:val="21"/>
                      <w:szCs w:val="18"/>
                    </w:rPr>
                  </w:pPr>
                  <w:r>
                    <w:rPr>
                      <w:rFonts w:hint="eastAsia"/>
                      <w:bCs/>
                      <w:snapToGrid w:val="0"/>
                      <w:sz w:val="21"/>
                      <w:szCs w:val="18"/>
                    </w:rPr>
                    <w:t>不涉及</w:t>
                  </w:r>
                </w:p>
              </w:tc>
            </w:tr>
          </w:tbl>
          <w:p w14:paraId="03984255">
            <w:pPr>
              <w:spacing w:line="360" w:lineRule="auto"/>
              <w:ind w:firstLine="480" w:firstLineChars="200"/>
              <w:jc w:val="left"/>
            </w:pPr>
          </w:p>
          <w:p w14:paraId="75EC8EAD">
            <w:pPr>
              <w:spacing w:line="360" w:lineRule="auto"/>
              <w:ind w:firstLine="480" w:firstLineChars="200"/>
            </w:pPr>
            <w:r>
              <w:rPr>
                <w:rFonts w:hint="eastAsia"/>
              </w:rPr>
              <w:t>“涉及环境敏感区”是指建设项目位于、穿（跨）越（无害化通过的除外）环境敏感区，或环境影响范围涵盖环境敏感区。根据《建设项目环境影响评价分类管理名录》中针对本类项目所列的敏感区为：（1）国家公园、自然保护区、风景名胜区、世界文化和自然遗产地、海洋特别保护区、饮用水水源保护区；（2）生态保护红线管控范围、重要水生生物的自然产卵场、索饵场、越冬场和洄游通道，天然渔场。</w:t>
            </w:r>
          </w:p>
          <w:p w14:paraId="178A2A60">
            <w:pPr>
              <w:spacing w:line="360" w:lineRule="auto"/>
              <w:ind w:firstLine="480" w:firstLineChars="200"/>
              <w:jc w:val="left"/>
            </w:pPr>
            <w:r>
              <w:rPr>
                <w:rFonts w:hint="eastAsia"/>
              </w:rPr>
              <w:t>本项目不涉及上述环境敏感区，因此本项目不涉及生态专项评价。</w:t>
            </w:r>
          </w:p>
          <w:p w14:paraId="3146ED5D">
            <w:pPr>
              <w:spacing w:line="360" w:lineRule="auto"/>
              <w:ind w:firstLine="480" w:firstLineChars="200"/>
              <w:jc w:val="left"/>
            </w:pPr>
          </w:p>
          <w:p w14:paraId="089B8766">
            <w:pPr>
              <w:autoSpaceDE w:val="0"/>
              <w:autoSpaceDN w:val="0"/>
              <w:adjustRightInd w:val="0"/>
              <w:snapToGrid w:val="0"/>
              <w:ind w:firstLine="480" w:firstLineChars="200"/>
            </w:pPr>
          </w:p>
        </w:tc>
      </w:tr>
      <w:tr w14:paraId="4592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6AC36F55">
            <w:pPr>
              <w:jc w:val="center"/>
              <w:rPr>
                <w:sz w:val="21"/>
                <w:szCs w:val="20"/>
              </w:rPr>
            </w:pPr>
            <w:r>
              <w:rPr>
                <w:rFonts w:hint="eastAsia" w:ascii="宋体" w:hAnsi="宋体" w:cs="宋体"/>
                <w:sz w:val="21"/>
                <w:szCs w:val="20"/>
              </w:rPr>
              <w:t>规划情况</w:t>
            </w:r>
          </w:p>
        </w:tc>
        <w:tc>
          <w:tcPr>
            <w:tcW w:w="7025" w:type="dxa"/>
            <w:gridSpan w:val="4"/>
            <w:vAlign w:val="center"/>
          </w:tcPr>
          <w:p w14:paraId="66930630">
            <w:pPr>
              <w:spacing w:line="360" w:lineRule="auto"/>
              <w:rPr>
                <w:rFonts w:hint="eastAsia" w:ascii="宋体" w:hAnsi="宋体" w:cs="宋体"/>
                <w:kern w:val="0"/>
              </w:rPr>
            </w:pPr>
            <w:r>
              <w:rPr>
                <w:rFonts w:hint="eastAsia" w:ascii="宋体" w:hAnsi="宋体" w:cs="宋体"/>
                <w:kern w:val="0"/>
              </w:rPr>
              <w:t>《水运“十四五”发展规划》（2022.1.29）（交规划发〔2021〕99号，交通运输部）；</w:t>
            </w:r>
          </w:p>
          <w:p w14:paraId="3161585F">
            <w:pPr>
              <w:spacing w:line="360" w:lineRule="auto"/>
            </w:pPr>
            <w:r>
              <w:rPr>
                <w:rFonts w:hint="eastAsia"/>
              </w:rPr>
              <w:t>《吉林省公路水路交通运输发展“十四五”规划》（吉交规划〔2022〕21号，吉林省交通运输厅）；</w:t>
            </w:r>
            <w:r>
              <w:t xml:space="preserve"> </w:t>
            </w:r>
          </w:p>
          <w:p w14:paraId="7E8814CB">
            <w:pPr>
              <w:spacing w:line="360" w:lineRule="auto"/>
            </w:pPr>
            <w:r>
              <w:rPr>
                <w:rFonts w:hint="eastAsia"/>
              </w:rPr>
              <w:t>《临江市国土空间总体规划》（2021—2035年）（吉林省人民政府，吉政函〔2024〕46号）。</w:t>
            </w:r>
          </w:p>
        </w:tc>
      </w:tr>
      <w:tr w14:paraId="5961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gridSpan w:val="2"/>
            <w:vAlign w:val="center"/>
          </w:tcPr>
          <w:p w14:paraId="240DD623">
            <w:pPr>
              <w:autoSpaceDE w:val="0"/>
              <w:autoSpaceDN w:val="0"/>
              <w:adjustRightInd w:val="0"/>
              <w:snapToGrid w:val="0"/>
              <w:jc w:val="center"/>
              <w:rPr>
                <w:sz w:val="21"/>
                <w:szCs w:val="20"/>
              </w:rPr>
            </w:pPr>
            <w:r>
              <w:rPr>
                <w:rFonts w:hint="eastAsia" w:ascii="宋体" w:hAnsi="宋体" w:cs="宋体"/>
                <w:sz w:val="21"/>
                <w:szCs w:val="20"/>
              </w:rPr>
              <w:t>规划环境影响评价情况</w:t>
            </w:r>
          </w:p>
        </w:tc>
        <w:tc>
          <w:tcPr>
            <w:tcW w:w="7025" w:type="dxa"/>
            <w:gridSpan w:val="4"/>
            <w:vAlign w:val="center"/>
          </w:tcPr>
          <w:p w14:paraId="4D7695E8">
            <w:pPr>
              <w:spacing w:line="360" w:lineRule="auto"/>
            </w:pPr>
            <w:r>
              <w:rPr>
                <w:rFonts w:hint="eastAsia" w:ascii="宋体" w:hAnsi="宋体" w:cs="宋体"/>
                <w:kern w:val="0"/>
              </w:rPr>
              <w:t>《临江市国土空间总体规划（2021—2035年）环境影响篇章》。</w:t>
            </w:r>
          </w:p>
        </w:tc>
      </w:tr>
      <w:tr w14:paraId="7673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8801C52">
            <w:pPr>
              <w:jc w:val="center"/>
              <w:rPr>
                <w:sz w:val="21"/>
                <w:szCs w:val="20"/>
              </w:rPr>
            </w:pPr>
            <w:r>
              <w:rPr>
                <w:rFonts w:hint="eastAsia" w:ascii="宋体" w:hAnsi="宋体" w:cs="宋体"/>
                <w:kern w:val="0"/>
                <w:sz w:val="21"/>
                <w:szCs w:val="20"/>
              </w:rPr>
              <w:t>规划及</w:t>
            </w:r>
            <w:r>
              <w:rPr>
                <w:rFonts w:hint="eastAsia" w:ascii="宋体" w:hAnsi="宋体" w:cs="宋体"/>
                <w:sz w:val="21"/>
                <w:szCs w:val="20"/>
              </w:rPr>
              <w:t>规划环境影响评价</w:t>
            </w:r>
            <w:r>
              <w:rPr>
                <w:rFonts w:hint="eastAsia" w:ascii="宋体" w:hAnsi="宋体" w:cs="宋体"/>
                <w:kern w:val="0"/>
                <w:sz w:val="21"/>
                <w:szCs w:val="20"/>
              </w:rPr>
              <w:t>符合性分析</w:t>
            </w:r>
          </w:p>
        </w:tc>
        <w:tc>
          <w:tcPr>
            <w:tcW w:w="7840" w:type="dxa"/>
            <w:gridSpan w:val="5"/>
            <w:vAlign w:val="center"/>
          </w:tcPr>
          <w:p w14:paraId="05CB382E">
            <w:pPr>
              <w:spacing w:line="360" w:lineRule="auto"/>
              <w:ind w:firstLine="480" w:firstLineChars="200"/>
              <w:jc w:val="left"/>
            </w:pPr>
            <w:r>
              <w:rPr>
                <w:rFonts w:hint="eastAsia"/>
              </w:rPr>
              <w:t>1、与</w:t>
            </w:r>
            <w:r>
              <w:rPr>
                <w:rFonts w:hint="eastAsia" w:ascii="宋体" w:hAnsi="宋体" w:cs="宋体"/>
                <w:kern w:val="0"/>
              </w:rPr>
              <w:t>《水运“十四五”发展规划》的相符性分析</w:t>
            </w:r>
          </w:p>
          <w:p w14:paraId="6036EDA3">
            <w:pPr>
              <w:spacing w:line="360" w:lineRule="auto"/>
              <w:ind w:firstLine="480" w:firstLineChars="200"/>
              <w:jc w:val="left"/>
            </w:pPr>
            <w:r>
              <w:rPr>
                <w:rFonts w:hint="eastAsia"/>
              </w:rPr>
              <w:t>交通运输部于</w:t>
            </w:r>
            <w:r>
              <w:t>2022</w:t>
            </w:r>
            <w:r>
              <w:rPr>
                <w:rFonts w:hint="eastAsia"/>
              </w:rPr>
              <w:t>年</w:t>
            </w:r>
            <w:r>
              <w:t>1</w:t>
            </w:r>
            <w:r>
              <w:rPr>
                <w:rFonts w:hint="eastAsia"/>
              </w:rPr>
              <w:t>月</w:t>
            </w:r>
            <w:r>
              <w:t>29</w:t>
            </w:r>
            <w:r>
              <w:rPr>
                <w:rFonts w:hint="eastAsia"/>
              </w:rPr>
              <w:t>日发布了《水运“十四五”发展规划》，根据该《规划》中的相关内容，本项目已列入了该规划中的“附表内河水运“十四五”重点建设项目表（正选）”之中，即本项目符合《水运“十四五”发展规划》。</w:t>
            </w:r>
          </w:p>
          <w:p w14:paraId="36477782">
            <w:pPr>
              <w:spacing w:line="360" w:lineRule="auto"/>
              <w:ind w:firstLine="480" w:firstLineChars="200"/>
              <w:jc w:val="left"/>
            </w:pPr>
            <w:r>
              <w:rPr>
                <w:rFonts w:hint="eastAsia"/>
              </w:rPr>
              <w:t>2、与《吉林省公路水路交通运输发展“十四五”规划》的相符性分析</w:t>
            </w:r>
          </w:p>
          <w:p w14:paraId="6EC08247">
            <w:pPr>
              <w:spacing w:line="360" w:lineRule="auto"/>
              <w:ind w:firstLine="480" w:firstLineChars="200"/>
              <w:jc w:val="left"/>
            </w:pPr>
            <w:r>
              <w:rPr>
                <w:rFonts w:hint="eastAsia"/>
              </w:rPr>
              <w:t>吉林省交通运输厅于2022年1月20日，以“吉交规划〔2022〕21号”文件发布了《吉林省公路水路交通运输发展“十四五”规划》，根据该规划中的相关内容，本项目于该《规划》的相符性分析如下表所示：</w:t>
            </w:r>
          </w:p>
          <w:p w14:paraId="6A52C5A4">
            <w:pPr>
              <w:spacing w:line="360" w:lineRule="auto"/>
              <w:ind w:firstLine="480" w:firstLineChars="200"/>
              <w:jc w:val="left"/>
            </w:pPr>
          </w:p>
          <w:p w14:paraId="04751B7E">
            <w:pPr>
              <w:spacing w:line="360" w:lineRule="auto"/>
              <w:jc w:val="center"/>
              <w:rPr>
                <w:b/>
                <w:bCs/>
              </w:rPr>
            </w:pPr>
            <w:r>
              <w:rPr>
                <w:rFonts w:hint="eastAsia"/>
                <w:b/>
                <w:bCs/>
              </w:rPr>
              <w:t>表2    本项目与“吉交规划〔2022〕21号”文件相符性分析一览表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2557"/>
              <w:gridCol w:w="817"/>
            </w:tblGrid>
            <w:tr w14:paraId="6CDB7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7" w:type="pct"/>
                  <w:vAlign w:val="center"/>
                </w:tcPr>
                <w:p w14:paraId="1BAC6E5E">
                  <w:pPr>
                    <w:jc w:val="center"/>
                    <w:rPr>
                      <w:rFonts w:hint="eastAsia" w:ascii="宋体" w:hAnsi="宋体" w:cs="Times New Roman"/>
                      <w:b/>
                      <w:bCs/>
                      <w:kern w:val="0"/>
                      <w:sz w:val="21"/>
                      <w:szCs w:val="16"/>
                    </w:rPr>
                  </w:pPr>
                  <w:r>
                    <w:rPr>
                      <w:rFonts w:hint="eastAsia" w:ascii="宋体" w:hAnsi="宋体" w:cs="Times New Roman"/>
                      <w:b/>
                      <w:bCs/>
                      <w:kern w:val="0"/>
                      <w:sz w:val="21"/>
                      <w:szCs w:val="16"/>
                    </w:rPr>
                    <w:t>《吉林省公路水路交通运输发展“十四五”规划》（摘录）</w:t>
                  </w:r>
                </w:p>
              </w:tc>
              <w:tc>
                <w:tcPr>
                  <w:tcW w:w="1677" w:type="pct"/>
                  <w:vAlign w:val="center"/>
                </w:tcPr>
                <w:p w14:paraId="4112CB77">
                  <w:pPr>
                    <w:jc w:val="center"/>
                    <w:rPr>
                      <w:rFonts w:hint="eastAsia" w:ascii="宋体" w:hAnsi="宋体" w:cs="Times New Roman"/>
                      <w:b/>
                      <w:bCs/>
                      <w:kern w:val="0"/>
                      <w:sz w:val="21"/>
                      <w:szCs w:val="16"/>
                    </w:rPr>
                  </w:pPr>
                  <w:r>
                    <w:rPr>
                      <w:rFonts w:hint="eastAsia" w:ascii="宋体" w:hAnsi="宋体" w:cs="Times New Roman"/>
                      <w:b/>
                      <w:bCs/>
                      <w:kern w:val="0"/>
                      <w:sz w:val="21"/>
                      <w:szCs w:val="16"/>
                    </w:rPr>
                    <w:t>本项目</w:t>
                  </w:r>
                </w:p>
              </w:tc>
              <w:tc>
                <w:tcPr>
                  <w:tcW w:w="536" w:type="pct"/>
                  <w:vAlign w:val="center"/>
                </w:tcPr>
                <w:p w14:paraId="09145A5E">
                  <w:pPr>
                    <w:jc w:val="center"/>
                    <w:rPr>
                      <w:rFonts w:hint="eastAsia" w:ascii="宋体" w:hAnsi="宋体" w:cs="Times New Roman"/>
                      <w:b/>
                      <w:bCs/>
                      <w:kern w:val="0"/>
                      <w:sz w:val="21"/>
                      <w:szCs w:val="16"/>
                    </w:rPr>
                  </w:pPr>
                  <w:r>
                    <w:rPr>
                      <w:rFonts w:hint="eastAsia" w:ascii="宋体" w:hAnsi="宋体" w:cs="Times New Roman"/>
                      <w:b/>
                      <w:bCs/>
                      <w:kern w:val="0"/>
                      <w:sz w:val="21"/>
                      <w:szCs w:val="16"/>
                    </w:rPr>
                    <w:t>相符性</w:t>
                  </w:r>
                </w:p>
              </w:tc>
            </w:tr>
            <w:tr w14:paraId="43E19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7" w:type="pct"/>
                  <w:vAlign w:val="center"/>
                </w:tcPr>
                <w:p w14:paraId="3B3979C3">
                  <w:pPr>
                    <w:ind w:firstLine="420" w:firstLineChars="200"/>
                    <w:jc w:val="left"/>
                    <w:rPr>
                      <w:rFonts w:hint="eastAsia" w:ascii="宋体" w:hAnsi="宋体" w:cs="Times New Roman"/>
                      <w:kern w:val="0"/>
                      <w:sz w:val="21"/>
                      <w:szCs w:val="16"/>
                    </w:rPr>
                  </w:pPr>
                  <w:r>
                    <w:rPr>
                      <w:rFonts w:hint="eastAsia" w:ascii="宋体" w:hAnsi="宋体" w:cs="Times New Roman"/>
                      <w:kern w:val="0"/>
                      <w:sz w:val="21"/>
                      <w:szCs w:val="16"/>
                    </w:rPr>
                    <w:t>稳步改善航道通航条件。抓住国家政策机遇，发挥水上运输优势，提等升级内河、界河航道，完善码头布局，深化基础研究，服务旅游业发展，维护国家权益。</w:t>
                  </w:r>
                </w:p>
                <w:p w14:paraId="27010CC7">
                  <w:pPr>
                    <w:ind w:firstLine="420" w:firstLineChars="200"/>
                    <w:jc w:val="left"/>
                    <w:rPr>
                      <w:rFonts w:hint="eastAsia" w:ascii="宋体" w:hAnsi="宋体" w:cs="Times New Roman"/>
                      <w:kern w:val="0"/>
                      <w:sz w:val="21"/>
                      <w:szCs w:val="16"/>
                    </w:rPr>
                  </w:pPr>
                  <w:r>
                    <w:rPr>
                      <w:rFonts w:hint="eastAsia" w:ascii="宋体" w:hAnsi="宋体" w:cs="Times New Roman"/>
                      <w:kern w:val="0"/>
                      <w:sz w:val="21"/>
                      <w:szCs w:val="16"/>
                    </w:rPr>
                    <w:t>支持吉林市发展沿江旅游，推动鸭绿江航道整治，建设界河航道码头。持续推进图们江出海复航基础技术研究工作，开展松辽运河重大工程规划建设必要性研究论证，为东北振兴发展增添可能的新动能。</w:t>
                  </w:r>
                </w:p>
              </w:tc>
              <w:tc>
                <w:tcPr>
                  <w:tcW w:w="1677" w:type="pct"/>
                  <w:vMerge w:val="restart"/>
                  <w:vAlign w:val="center"/>
                </w:tcPr>
                <w:p w14:paraId="6E53E716">
                  <w:pPr>
                    <w:ind w:firstLine="420" w:firstLineChars="200"/>
                    <w:jc w:val="left"/>
                    <w:rPr>
                      <w:rFonts w:hint="eastAsia" w:ascii="宋体" w:hAnsi="宋体" w:cs="Times New Roman"/>
                      <w:i/>
                      <w:iCs/>
                      <w:kern w:val="0"/>
                      <w:sz w:val="21"/>
                      <w:szCs w:val="16"/>
                      <w:u w:val="single"/>
                    </w:rPr>
                  </w:pPr>
                  <w:r>
                    <w:rPr>
                      <w:rFonts w:hint="eastAsia" w:ascii="宋体" w:hAnsi="宋体" w:cs="Times New Roman"/>
                      <w:i/>
                      <w:iCs/>
                      <w:kern w:val="0"/>
                      <w:sz w:val="21"/>
                      <w:szCs w:val="16"/>
                      <w:u w:val="single"/>
                    </w:rPr>
                    <w:t>吉林省航道管理局临江市分局航道养护辖区范围为鸭绿江八道沟至云峰大坝段，本项目为该单位为此段航道管理而建设的配套工程，以供航道维护船舶冬季卧泊。本项目建成后，可为界河航道管理提供便利条件，更好的为航道畅通提供保障，满足改善航道通航条件、推动鸭绿江航道整治的服务功能。</w:t>
                  </w:r>
                </w:p>
              </w:tc>
              <w:tc>
                <w:tcPr>
                  <w:tcW w:w="536" w:type="pct"/>
                  <w:vAlign w:val="center"/>
                </w:tcPr>
                <w:p w14:paraId="23D52B0F">
                  <w:pPr>
                    <w:jc w:val="center"/>
                    <w:rPr>
                      <w:rFonts w:hint="eastAsia" w:ascii="宋体" w:hAnsi="宋体" w:cs="Times New Roman"/>
                      <w:kern w:val="0"/>
                      <w:sz w:val="21"/>
                      <w:szCs w:val="16"/>
                    </w:rPr>
                  </w:pPr>
                  <w:r>
                    <w:rPr>
                      <w:rFonts w:hint="eastAsia" w:ascii="宋体" w:hAnsi="宋体" w:cs="Times New Roman"/>
                      <w:kern w:val="0"/>
                      <w:sz w:val="21"/>
                      <w:szCs w:val="16"/>
                    </w:rPr>
                    <w:t>符合</w:t>
                  </w:r>
                </w:p>
              </w:tc>
            </w:tr>
            <w:tr w14:paraId="52BCB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7" w:type="pct"/>
                  <w:vAlign w:val="center"/>
                </w:tcPr>
                <w:p w14:paraId="41BEAAB7">
                  <w:pPr>
                    <w:ind w:firstLine="420" w:firstLineChars="200"/>
                    <w:jc w:val="left"/>
                    <w:rPr>
                      <w:rFonts w:hint="eastAsia" w:ascii="宋体" w:hAnsi="宋体" w:cs="Times New Roman"/>
                      <w:kern w:val="0"/>
                      <w:sz w:val="21"/>
                      <w:szCs w:val="16"/>
                    </w:rPr>
                  </w:pPr>
                  <w:r>
                    <w:rPr>
                      <w:rFonts w:hint="eastAsia" w:ascii="宋体" w:hAnsi="宋体" w:cs="Times New Roman"/>
                      <w:kern w:val="0"/>
                      <w:sz w:val="21"/>
                      <w:szCs w:val="16"/>
                    </w:rPr>
                    <w:t>专栏4 航道任务</w:t>
                  </w:r>
                </w:p>
                <w:p w14:paraId="4AA8089E">
                  <w:pPr>
                    <w:ind w:firstLine="420" w:firstLineChars="200"/>
                    <w:jc w:val="left"/>
                    <w:rPr>
                      <w:rFonts w:hint="eastAsia" w:ascii="宋体" w:hAnsi="宋体" w:cs="Times New Roman"/>
                      <w:kern w:val="0"/>
                      <w:sz w:val="21"/>
                      <w:szCs w:val="16"/>
                    </w:rPr>
                  </w:pPr>
                  <w:r>
                    <w:rPr>
                      <w:rFonts w:hint="eastAsia" w:ascii="宋体" w:hAnsi="宋体" w:cs="Times New Roman"/>
                      <w:kern w:val="0"/>
                      <w:sz w:val="21"/>
                      <w:szCs w:val="16"/>
                    </w:rPr>
                    <w:t>界河项目：集安长川至安子哨段和临江洋鱼头至云峰大坝段航道整治工程，鸭绿江临江和图们江图们城区段界河航道码头。</w:t>
                  </w:r>
                </w:p>
              </w:tc>
              <w:tc>
                <w:tcPr>
                  <w:tcW w:w="1677" w:type="pct"/>
                  <w:vMerge w:val="continue"/>
                  <w:vAlign w:val="center"/>
                </w:tcPr>
                <w:p w14:paraId="2B5F82F2">
                  <w:pPr>
                    <w:ind w:firstLine="420" w:firstLineChars="200"/>
                    <w:jc w:val="left"/>
                    <w:rPr>
                      <w:rFonts w:hint="eastAsia" w:ascii="宋体" w:hAnsi="宋体" w:cs="Times New Roman"/>
                      <w:i/>
                      <w:iCs/>
                      <w:kern w:val="0"/>
                      <w:sz w:val="21"/>
                      <w:szCs w:val="16"/>
                      <w:u w:val="single"/>
                    </w:rPr>
                  </w:pPr>
                </w:p>
              </w:tc>
              <w:tc>
                <w:tcPr>
                  <w:tcW w:w="536" w:type="pct"/>
                  <w:vAlign w:val="center"/>
                </w:tcPr>
                <w:p w14:paraId="0A2F46D3">
                  <w:pPr>
                    <w:jc w:val="center"/>
                    <w:rPr>
                      <w:rFonts w:hint="eastAsia" w:ascii="宋体" w:hAnsi="宋体" w:cs="Times New Roman"/>
                      <w:kern w:val="0"/>
                      <w:sz w:val="21"/>
                      <w:szCs w:val="16"/>
                    </w:rPr>
                  </w:pPr>
                  <w:r>
                    <w:rPr>
                      <w:rFonts w:hint="eastAsia" w:ascii="宋体" w:hAnsi="宋体" w:cs="Times New Roman"/>
                      <w:kern w:val="0"/>
                      <w:sz w:val="21"/>
                      <w:szCs w:val="16"/>
                    </w:rPr>
                    <w:t>符合</w:t>
                  </w:r>
                </w:p>
              </w:tc>
            </w:tr>
          </w:tbl>
          <w:p w14:paraId="7C5CEC8B">
            <w:pPr>
              <w:spacing w:line="360" w:lineRule="auto"/>
              <w:ind w:firstLine="480" w:firstLineChars="200"/>
              <w:jc w:val="left"/>
            </w:pPr>
            <w:r>
              <w:rPr>
                <w:rFonts w:hint="eastAsia"/>
              </w:rPr>
              <w:t>根据上表内容可以看出，本项目符合该《规划》的相关要求。</w:t>
            </w:r>
          </w:p>
          <w:p w14:paraId="13EB78E0">
            <w:pPr>
              <w:spacing w:line="360" w:lineRule="auto"/>
              <w:ind w:firstLine="480" w:firstLineChars="200"/>
              <w:jc w:val="left"/>
            </w:pPr>
            <w:r>
              <w:rPr>
                <w:rFonts w:hint="eastAsia"/>
              </w:rPr>
              <w:t>3、与《临江市国土空间总体规划》（2021—2035年）相符性分析</w:t>
            </w:r>
          </w:p>
          <w:p w14:paraId="4B88DDE6">
            <w:pPr>
              <w:spacing w:line="360" w:lineRule="auto"/>
              <w:ind w:firstLine="480" w:firstLineChars="200"/>
              <w:jc w:val="left"/>
            </w:pPr>
            <w:r>
              <w:rPr>
                <w:rFonts w:hint="eastAsia"/>
              </w:rPr>
              <w:t>《临江市国土空间总体规划》（2021—2035年）已于2024年6月11日，由吉林省人民政府进行了批复，根据该《规划》中的相关内容，本项目与该规划的相符性分析如下表所示：</w:t>
            </w:r>
          </w:p>
          <w:p w14:paraId="1EFE9340">
            <w:pPr>
              <w:spacing w:line="360" w:lineRule="auto"/>
              <w:ind w:firstLine="480" w:firstLineChars="200"/>
              <w:jc w:val="left"/>
            </w:pPr>
          </w:p>
          <w:p w14:paraId="3FD6B082">
            <w:pPr>
              <w:spacing w:line="360" w:lineRule="auto"/>
              <w:jc w:val="center"/>
              <w:rPr>
                <w:b/>
                <w:bCs/>
              </w:rPr>
            </w:pPr>
            <w:r>
              <w:rPr>
                <w:rFonts w:hint="eastAsia"/>
                <w:b/>
                <w:bCs/>
              </w:rPr>
              <w:t>表3     本项目与《临江市国土空间总体规划》相符性分析一览表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9"/>
              <w:gridCol w:w="2411"/>
              <w:gridCol w:w="964"/>
            </w:tblGrid>
            <w:tr w14:paraId="70063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7" w:type="pct"/>
                  <w:vAlign w:val="center"/>
                </w:tcPr>
                <w:p w14:paraId="2A3E3EB3">
                  <w:pPr>
                    <w:jc w:val="center"/>
                    <w:rPr>
                      <w:rFonts w:hint="eastAsia" w:ascii="宋体" w:hAnsi="宋体" w:cs="Times New Roman"/>
                      <w:b/>
                      <w:bCs/>
                      <w:kern w:val="0"/>
                      <w:sz w:val="21"/>
                      <w:szCs w:val="16"/>
                    </w:rPr>
                  </w:pPr>
                  <w:r>
                    <w:rPr>
                      <w:rFonts w:hint="eastAsia" w:ascii="宋体" w:hAnsi="宋体" w:cs="Times New Roman"/>
                      <w:b/>
                      <w:bCs/>
                      <w:kern w:val="0"/>
                      <w:sz w:val="21"/>
                      <w:szCs w:val="16"/>
                    </w:rPr>
                    <w:t>《临江市国土空间总体规划》（2021—2035年）（摘录）</w:t>
                  </w:r>
                </w:p>
              </w:tc>
              <w:tc>
                <w:tcPr>
                  <w:tcW w:w="1581" w:type="pct"/>
                  <w:vAlign w:val="center"/>
                </w:tcPr>
                <w:p w14:paraId="30F819D7">
                  <w:pPr>
                    <w:jc w:val="center"/>
                    <w:rPr>
                      <w:rFonts w:hint="eastAsia" w:ascii="宋体" w:hAnsi="宋体" w:cs="Times New Roman"/>
                      <w:b/>
                      <w:bCs/>
                      <w:kern w:val="0"/>
                      <w:sz w:val="21"/>
                      <w:szCs w:val="16"/>
                    </w:rPr>
                  </w:pPr>
                  <w:r>
                    <w:rPr>
                      <w:rFonts w:hint="eastAsia" w:ascii="宋体" w:hAnsi="宋体" w:cs="Times New Roman"/>
                      <w:b/>
                      <w:bCs/>
                      <w:kern w:val="0"/>
                      <w:sz w:val="21"/>
                      <w:szCs w:val="16"/>
                    </w:rPr>
                    <w:t>本项目</w:t>
                  </w:r>
                </w:p>
              </w:tc>
              <w:tc>
                <w:tcPr>
                  <w:tcW w:w="632" w:type="pct"/>
                  <w:vAlign w:val="center"/>
                </w:tcPr>
                <w:p w14:paraId="39042B84">
                  <w:pPr>
                    <w:jc w:val="center"/>
                    <w:rPr>
                      <w:rFonts w:hint="eastAsia" w:ascii="宋体" w:hAnsi="宋体" w:cs="Times New Roman"/>
                      <w:b/>
                      <w:bCs/>
                      <w:kern w:val="0"/>
                      <w:sz w:val="21"/>
                      <w:szCs w:val="16"/>
                    </w:rPr>
                  </w:pPr>
                  <w:r>
                    <w:rPr>
                      <w:rFonts w:hint="eastAsia" w:ascii="宋体" w:hAnsi="宋体" w:cs="Times New Roman"/>
                      <w:b/>
                      <w:bCs/>
                      <w:kern w:val="0"/>
                      <w:sz w:val="21"/>
                      <w:szCs w:val="16"/>
                    </w:rPr>
                    <w:t>相符性</w:t>
                  </w:r>
                </w:p>
              </w:tc>
            </w:tr>
            <w:tr w14:paraId="3A348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7" w:type="pct"/>
                  <w:vAlign w:val="center"/>
                </w:tcPr>
                <w:p w14:paraId="3A2D0636">
                  <w:pPr>
                    <w:ind w:firstLine="420" w:firstLineChars="200"/>
                    <w:jc w:val="left"/>
                    <w:rPr>
                      <w:rFonts w:hint="eastAsia" w:ascii="宋体" w:hAnsi="宋体" w:cs="Times New Roman"/>
                      <w:kern w:val="0"/>
                      <w:sz w:val="21"/>
                      <w:szCs w:val="16"/>
                    </w:rPr>
                  </w:pPr>
                  <w:r>
                    <w:rPr>
                      <w:rFonts w:hint="eastAsia" w:ascii="宋体" w:hAnsi="宋体" w:cs="Times New Roman"/>
                      <w:kern w:val="0"/>
                      <w:sz w:val="21"/>
                      <w:szCs w:val="16"/>
                    </w:rPr>
                    <w:t>积极推进鸭绿江通航工程建设。治理鸭绿江临江至三道沟段，建设六级航道63千米；新建临江、苇沙河、金银峡码头，新建航道管理站1处。</w:t>
                  </w:r>
                </w:p>
              </w:tc>
              <w:tc>
                <w:tcPr>
                  <w:tcW w:w="1581" w:type="pct"/>
                  <w:vAlign w:val="center"/>
                </w:tcPr>
                <w:p w14:paraId="6C542AD8">
                  <w:pPr>
                    <w:ind w:firstLine="420" w:firstLineChars="200"/>
                    <w:jc w:val="left"/>
                    <w:rPr>
                      <w:rFonts w:hint="eastAsia" w:ascii="宋体" w:hAnsi="宋体" w:cs="Times New Roman"/>
                      <w:kern w:val="0"/>
                      <w:sz w:val="21"/>
                      <w:szCs w:val="16"/>
                    </w:rPr>
                  </w:pPr>
                  <w:r>
                    <w:rPr>
                      <w:rFonts w:hint="eastAsia" w:ascii="宋体" w:hAnsi="宋体" w:cs="Times New Roman"/>
                      <w:kern w:val="0"/>
                      <w:sz w:val="21"/>
                      <w:szCs w:val="16"/>
                    </w:rPr>
                    <w:t>本项目为鸭绿江临江航道码头建设工程，为前述码头工程之一。</w:t>
                  </w:r>
                </w:p>
              </w:tc>
              <w:tc>
                <w:tcPr>
                  <w:tcW w:w="632" w:type="pct"/>
                  <w:vAlign w:val="center"/>
                </w:tcPr>
                <w:p w14:paraId="73FC8984">
                  <w:pPr>
                    <w:jc w:val="center"/>
                    <w:rPr>
                      <w:rFonts w:hint="eastAsia" w:ascii="宋体" w:hAnsi="宋体" w:cs="Times New Roman"/>
                      <w:kern w:val="0"/>
                      <w:sz w:val="21"/>
                      <w:szCs w:val="16"/>
                    </w:rPr>
                  </w:pPr>
                  <w:r>
                    <w:rPr>
                      <w:rFonts w:hint="eastAsia" w:ascii="宋体" w:hAnsi="宋体" w:cs="Times New Roman"/>
                      <w:kern w:val="0"/>
                      <w:sz w:val="21"/>
                      <w:szCs w:val="16"/>
                    </w:rPr>
                    <w:t>符合</w:t>
                  </w:r>
                </w:p>
              </w:tc>
            </w:tr>
          </w:tbl>
          <w:p w14:paraId="0B299F87">
            <w:pPr>
              <w:spacing w:line="360" w:lineRule="auto"/>
              <w:ind w:firstLine="480" w:firstLineChars="200"/>
              <w:jc w:val="left"/>
            </w:pPr>
          </w:p>
          <w:p w14:paraId="18233BD0">
            <w:pPr>
              <w:spacing w:line="360" w:lineRule="auto"/>
              <w:ind w:firstLine="480" w:firstLineChars="200"/>
            </w:pPr>
            <w:r>
              <w:rPr>
                <w:rFonts w:hint="eastAsia"/>
              </w:rPr>
              <w:t>从上述内容可以看出，本项目符合《临江市国土空间总体规划》（2021—2035年）中的相关要求。</w:t>
            </w:r>
          </w:p>
          <w:p w14:paraId="5E5185B0">
            <w:pPr>
              <w:spacing w:line="360" w:lineRule="auto"/>
              <w:ind w:firstLine="482" w:firstLineChars="200"/>
              <w:rPr>
                <w:b/>
                <w:bCs/>
                <w:u w:val="single"/>
              </w:rPr>
            </w:pPr>
            <w:r>
              <w:rPr>
                <w:rFonts w:hint="eastAsia"/>
                <w:b/>
                <w:bCs/>
                <w:u w:val="single"/>
              </w:rPr>
              <w:t>4、港口规划相符性分析</w:t>
            </w:r>
          </w:p>
          <w:p w14:paraId="7882AA3E">
            <w:pPr>
              <w:spacing w:line="360" w:lineRule="auto"/>
              <w:ind w:firstLine="482" w:firstLineChars="200"/>
              <w:rPr>
                <w:b/>
                <w:bCs/>
                <w:u w:val="single"/>
              </w:rPr>
            </w:pPr>
            <w:r>
              <w:rPr>
                <w:rFonts w:hint="eastAsia"/>
                <w:b/>
                <w:bCs/>
                <w:u w:val="single"/>
              </w:rPr>
              <w:t>目前吉林省尚未正式发布港口规划，根据编制中的《吉林省内河航道与港口布局规划》（2023-2035年）中的相关内容，全省规划形成“三横一纵”的航道总体布局，其中“三横”中包括了鸭绿江航道。吉林省航道管理局临江市分局负责鸭绿江八道沟至云峰大坝段的航道养护工作，本项目为该单位为此段航道养护管理而建设的配套工程，以供航道维护船舶冬季卧泊。本项目建成后，本项目建成后，可为界河航道管理提供便利条件，更好的为航道畅通提供保障，满足对鸭绿江航道养护管理的服务功能，故符合《吉林省内河航道与港口布局规划》（2023-2035年）。</w:t>
            </w:r>
          </w:p>
          <w:p w14:paraId="7A533027">
            <w:pPr>
              <w:spacing w:line="360" w:lineRule="auto"/>
              <w:ind w:firstLine="482" w:firstLineChars="200"/>
              <w:rPr>
                <w:b/>
                <w:bCs/>
                <w:u w:val="single"/>
              </w:rPr>
            </w:pPr>
            <w:r>
              <w:rPr>
                <w:rFonts w:hint="eastAsia"/>
                <w:b/>
                <w:bCs/>
                <w:u w:val="single"/>
              </w:rPr>
              <w:t>5、流域规划相符性分析</w:t>
            </w:r>
          </w:p>
          <w:p w14:paraId="0162A618">
            <w:pPr>
              <w:spacing w:line="360" w:lineRule="auto"/>
              <w:ind w:firstLine="482" w:firstLineChars="200"/>
              <w:rPr>
                <w:b/>
                <w:bCs/>
                <w:u w:val="single"/>
              </w:rPr>
            </w:pPr>
            <w:r>
              <w:rPr>
                <w:rFonts w:hint="eastAsia"/>
                <w:b/>
                <w:bCs/>
                <w:u w:val="single"/>
              </w:rPr>
              <w:t>本项目所在流域的总体规划中将鸭绿江航道的建设纳入了考量，本项目属于为鸭绿江八道沟至云峰大坝段航道养护管理而建设的配套工程，项目建成后，可为界河航道管理提供便利条件，更好的为航道畅通提供保障，满足对鸭绿江航道养护管理的服务功能。并且本项目建成后可将鸭绿江河道冲淤变化控制在局部范围内，对河势演变影响较小，因此本项目符合所在流域的整体规划要求。</w:t>
            </w:r>
          </w:p>
          <w:p w14:paraId="56D9A3F5">
            <w:pPr>
              <w:spacing w:line="360" w:lineRule="auto"/>
              <w:ind w:firstLine="480" w:firstLineChars="200"/>
            </w:pPr>
          </w:p>
        </w:tc>
      </w:tr>
      <w:tr w14:paraId="05B9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52424117">
            <w:pPr>
              <w:jc w:val="center"/>
            </w:pPr>
            <w:bookmarkStart w:id="1" w:name="_Hlk56690880"/>
            <w:r>
              <w:rPr>
                <w:rFonts w:hint="eastAsia" w:ascii="宋体" w:hAnsi="宋体" w:cs="宋体"/>
                <w:kern w:val="0"/>
              </w:rPr>
              <w:t>其他符合性分析</w:t>
            </w:r>
            <w:bookmarkEnd w:id="1"/>
          </w:p>
        </w:tc>
        <w:tc>
          <w:tcPr>
            <w:tcW w:w="7840" w:type="dxa"/>
            <w:gridSpan w:val="5"/>
            <w:vAlign w:val="center"/>
          </w:tcPr>
          <w:p w14:paraId="52C7E67F">
            <w:pPr>
              <w:spacing w:line="360" w:lineRule="auto"/>
              <w:ind w:firstLine="480" w:firstLineChars="200"/>
            </w:pPr>
            <w:r>
              <w:rPr>
                <w:rFonts w:hint="eastAsia"/>
              </w:rPr>
              <w:t>1、产业政策相符性分析</w:t>
            </w:r>
          </w:p>
          <w:p w14:paraId="59E2797E">
            <w:pPr>
              <w:spacing w:line="360" w:lineRule="auto"/>
              <w:ind w:firstLine="480" w:firstLineChars="200"/>
            </w:pPr>
            <w:r>
              <w:rPr>
                <w:rFonts w:hint="eastAsia"/>
              </w:rPr>
              <w:t>根据《产业结构调整指导目录2024年本》中的相关内容，该《目录》由鼓励、限制和淘汰三类目录组成。本项目为界河航道码头建设项目，不属于该《目录》中明确的鼓励类、限制类、淘汰类产品及生产工艺，因此属于国家允许建设的项目。</w:t>
            </w:r>
          </w:p>
          <w:p w14:paraId="605BAB11">
            <w:pPr>
              <w:spacing w:line="360" w:lineRule="auto"/>
              <w:ind w:firstLine="480" w:firstLineChars="200"/>
            </w:pPr>
            <w:r>
              <w:rPr>
                <w:rFonts w:hint="eastAsia"/>
              </w:rPr>
              <w:t>2、生态环境分区管控的符合性分析</w:t>
            </w:r>
          </w:p>
          <w:p w14:paraId="37BE9247">
            <w:pPr>
              <w:spacing w:line="360" w:lineRule="auto"/>
              <w:ind w:firstLine="480" w:firstLineChars="200"/>
            </w:pPr>
            <w:r>
              <w:rPr>
                <w:rFonts w:hint="eastAsia"/>
              </w:rPr>
              <w:t>（1）“生态保护红线”的相符性分析</w:t>
            </w:r>
          </w:p>
          <w:p w14:paraId="24FE853C">
            <w:pPr>
              <w:spacing w:line="360" w:lineRule="auto"/>
              <w:ind w:firstLine="480" w:firstLineChars="200"/>
            </w:pPr>
            <w:r>
              <w:rPr>
                <w:rFonts w:hint="eastAsia"/>
              </w:rPr>
              <w:t>生态保护红线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按照“只能增加、不能减少”的基本要求，实施严格管控。</w:t>
            </w:r>
          </w:p>
          <w:p w14:paraId="534A27A9">
            <w:pPr>
              <w:spacing w:line="360" w:lineRule="auto"/>
              <w:ind w:firstLine="480" w:firstLineChars="200"/>
            </w:pPr>
            <w:r>
              <w:rPr>
                <w:rFonts w:hint="eastAsia"/>
              </w:rPr>
              <w:t>根据《吉林省人民政府关于加强吉林省 生态环境分区管控的实施意见》与《白山市人民政府办公室关于印发白山市生态环境分区管控实施方案的通知》中的相关内容，生态保护红线范围划分在优先保护单元范围内。本项目位于白山市重点管控区范围内，因此本项目不涉及生态保护红线范围。</w:t>
            </w:r>
          </w:p>
          <w:p w14:paraId="5EE06891">
            <w:pPr>
              <w:spacing w:line="360" w:lineRule="auto"/>
              <w:ind w:firstLine="480" w:firstLineChars="200"/>
            </w:pPr>
            <w:r>
              <w:rPr>
                <w:rFonts w:hint="eastAsia"/>
              </w:rPr>
              <w:t>（2）“环境质量底线”的相符性</w:t>
            </w:r>
          </w:p>
          <w:p w14:paraId="62186B46">
            <w:pPr>
              <w:spacing w:line="360" w:lineRule="auto"/>
              <w:ind w:firstLine="480" w:firstLineChars="200"/>
            </w:pPr>
            <w:r>
              <w:rPr>
                <w:rFonts w:hint="eastAsia"/>
              </w:rPr>
              <w:t>根据吉林省生态环境厅发布的《吉林省 2024年生态环境状况公报》，白山市 2024年 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年均浓度分别为 12ug/m</w:t>
            </w:r>
            <w:r>
              <w:rPr>
                <w:rFonts w:hint="eastAsia"/>
                <w:vertAlign w:val="superscript"/>
              </w:rPr>
              <w:t>3</w:t>
            </w:r>
            <w:r>
              <w:rPr>
                <w:rFonts w:hint="eastAsia"/>
              </w:rPr>
              <w:t>、20ug/m</w:t>
            </w:r>
            <w:r>
              <w:rPr>
                <w:rFonts w:hint="eastAsia"/>
                <w:vertAlign w:val="superscript"/>
              </w:rPr>
              <w:t>3</w:t>
            </w:r>
            <w:r>
              <w:rPr>
                <w:rFonts w:hint="eastAsia"/>
              </w:rPr>
              <w:t>、54ug/m</w:t>
            </w:r>
            <w:r>
              <w:rPr>
                <w:rFonts w:hint="eastAsia"/>
                <w:vertAlign w:val="superscript"/>
              </w:rPr>
              <w:t>3</w:t>
            </w:r>
            <w:r>
              <w:rPr>
                <w:rFonts w:hint="eastAsia"/>
              </w:rPr>
              <w:t>、23ug/m</w:t>
            </w:r>
            <w:r>
              <w:rPr>
                <w:rFonts w:hint="eastAsia"/>
                <w:vertAlign w:val="superscript"/>
              </w:rPr>
              <w:t>3</w:t>
            </w:r>
            <w:r>
              <w:rPr>
                <w:rFonts w:hint="eastAsia"/>
              </w:rPr>
              <w:t>；CO 24小时平均第95百分位数为 1.2mg/m</w:t>
            </w:r>
            <w:r>
              <w:rPr>
                <w:rFonts w:hint="eastAsia"/>
                <w:vertAlign w:val="superscript"/>
              </w:rPr>
              <w:t>3</w:t>
            </w:r>
            <w:r>
              <w:rPr>
                <w:rFonts w:hint="eastAsia"/>
              </w:rPr>
              <w:t>，O3日最大8小时平均第90 百分位数为129ug/m</w:t>
            </w:r>
            <w:r>
              <w:rPr>
                <w:rFonts w:hint="eastAsia"/>
                <w:vertAlign w:val="superscript"/>
              </w:rPr>
              <w:t>3</w:t>
            </w:r>
            <w:r>
              <w:rPr>
                <w:rFonts w:hint="eastAsia"/>
              </w:rPr>
              <w:t>，为环境空气达标区。项目所在区域地表水为鸭绿江根据《吉林省 2024年生态环境状况公报》，鸭绿江水系水质优，保持稳定，其上13个国控河流断面，Ⅰ～Ⅲ类水质断面比例为100%，其中，2个省界断面为Ⅱ类水质。从本项目补充监测结果可以看出，本项目所在区域环境空气质量能够满足《环境空气质量标准》（GB 3095-2012）中二级标准、水环境质量满足《地表水环境质量标准》（GB 3838-2002）中Ⅲ类水质标准要求。本项目建成后，项目的运营对区域环境质量的影响在可接受的范围内，区域环境空气质量、水环境质量未超出“三线一单”中有关环境质量底线的要求最低值。</w:t>
            </w:r>
          </w:p>
          <w:p w14:paraId="5DD84C25">
            <w:pPr>
              <w:spacing w:line="360" w:lineRule="auto"/>
              <w:ind w:firstLine="480" w:firstLineChars="200"/>
            </w:pPr>
            <w:r>
              <w:rPr>
                <w:rFonts w:hint="eastAsia"/>
              </w:rPr>
              <w:t>本项目位于临江市大栗子街道，本项目建成后不涉及大气污染物的大规模排放，不会对区域环境空气质量产生明显的影响，不会突破区域大气环境质量底线；本项目运营期员工生活污水集中收集，定期清掏处理，不向地表水体排放水污染物，不会突破区域地表水环境质量底线。综上，本项目建成后对区域环境质量的影响在可接受的范围内，不会突破区域环境质量底线。</w:t>
            </w:r>
          </w:p>
          <w:p w14:paraId="4DEE20F9">
            <w:pPr>
              <w:spacing w:line="360" w:lineRule="auto"/>
              <w:ind w:firstLine="480" w:firstLineChars="200"/>
            </w:pPr>
            <w:r>
              <w:rPr>
                <w:rFonts w:hint="eastAsia"/>
              </w:rPr>
              <w:t>（3）“资源利用上线”的相符性</w:t>
            </w:r>
          </w:p>
          <w:p w14:paraId="4373E220">
            <w:pPr>
              <w:spacing w:line="360" w:lineRule="auto"/>
              <w:ind w:firstLine="480" w:firstLineChars="200"/>
            </w:pPr>
            <w:r>
              <w:rPr>
                <w:rFonts w:hint="eastAsia"/>
              </w:rPr>
              <w:t>本项目为航道码头建设项目，用地性质为滩地，不涉及侵占耕地；运营期不涉及煤炭等的消耗，且本项目运营期不涉及大量新鲜水的消耗，因此本项目的建设运营，不会突破区域“资源利用上线”的要求。</w:t>
            </w:r>
          </w:p>
          <w:p w14:paraId="4FB6AE28">
            <w:pPr>
              <w:spacing w:line="360" w:lineRule="auto"/>
              <w:ind w:firstLine="480" w:firstLineChars="200"/>
            </w:pPr>
            <w:r>
              <w:rPr>
                <w:rFonts w:hint="eastAsia"/>
              </w:rPr>
              <w:t>（4）与区域生态环境准入清单的相符性</w:t>
            </w:r>
          </w:p>
          <w:p w14:paraId="2E4407C7">
            <w:pPr>
              <w:spacing w:line="360" w:lineRule="auto"/>
              <w:ind w:firstLine="480" w:firstLineChars="200"/>
              <w:rPr>
                <w:rFonts w:cs="Times New Roman"/>
                <w:szCs w:val="24"/>
              </w:rPr>
            </w:pPr>
            <w:r>
              <w:rPr>
                <w:rFonts w:hint="eastAsia" w:cs="Times New Roman"/>
                <w:szCs w:val="24"/>
              </w:rPr>
              <w:t>本项目压覆的环境管控单元为：临江市大气环境弱扩散重点管控区，环境管控单元编码为：</w:t>
            </w:r>
            <w:r>
              <w:rPr>
                <w:rFonts w:cs="Times New Roman"/>
                <w:szCs w:val="24"/>
              </w:rPr>
              <w:t>ZH22068120004</w:t>
            </w:r>
            <w:r>
              <w:rPr>
                <w:rFonts w:hint="eastAsia" w:cs="Times New Roman"/>
                <w:szCs w:val="24"/>
              </w:rPr>
              <w:t>，管控单元分类为：重点管控单元。</w:t>
            </w:r>
            <w:r>
              <w:rPr>
                <w:rFonts w:hint="eastAsia"/>
              </w:rPr>
              <w:t>本项目管控单元情况详见附图1。</w:t>
            </w:r>
          </w:p>
          <w:p w14:paraId="02EB2F91">
            <w:pPr>
              <w:spacing w:line="360" w:lineRule="auto"/>
              <w:ind w:firstLine="480" w:firstLineChars="200"/>
            </w:pPr>
            <w:r>
              <w:rPr>
                <w:rFonts w:cs="Times New Roman"/>
                <w:szCs w:val="24"/>
              </w:rPr>
              <w:t>根据</w:t>
            </w:r>
            <w:r>
              <w:rPr>
                <w:rFonts w:hint="eastAsia" w:cs="Times New Roman"/>
                <w:szCs w:val="24"/>
              </w:rPr>
              <w:t>《白山市人民政府办公室关于印发白山市生态环境分区管控实施方案的通知》（白山政办发〔2024〕11号）</w:t>
            </w:r>
            <w:r>
              <w:rPr>
                <w:rFonts w:cs="Times New Roman"/>
                <w:szCs w:val="24"/>
              </w:rPr>
              <w:t>文件中的相关内容，以及</w:t>
            </w:r>
            <w:r>
              <w:rPr>
                <w:rFonts w:hint="eastAsia" w:cs="Times New Roman"/>
                <w:szCs w:val="24"/>
              </w:rPr>
              <w:t>白山</w:t>
            </w:r>
            <w:r>
              <w:rPr>
                <w:rFonts w:cs="Times New Roman"/>
                <w:szCs w:val="24"/>
              </w:rPr>
              <w:t>市生态环境准入清单内容，明确本项目位于白</w:t>
            </w:r>
            <w:r>
              <w:rPr>
                <w:rFonts w:hint="eastAsia" w:cs="Times New Roman"/>
                <w:szCs w:val="24"/>
              </w:rPr>
              <w:t>山</w:t>
            </w:r>
            <w:r>
              <w:rPr>
                <w:rFonts w:cs="Times New Roman"/>
                <w:szCs w:val="24"/>
              </w:rPr>
              <w:t>市重点管控单元，本项目与区域</w:t>
            </w:r>
            <w:r>
              <w:rPr>
                <w:rFonts w:hint="eastAsia" w:cs="Times New Roman"/>
                <w:szCs w:val="24"/>
              </w:rPr>
              <w:t>及所在管控单元</w:t>
            </w:r>
            <w:r>
              <w:rPr>
                <w:rFonts w:cs="Times New Roman"/>
                <w:szCs w:val="24"/>
              </w:rPr>
              <w:t>环境准入清单的相符性如下表所示</w:t>
            </w:r>
            <w:r>
              <w:rPr>
                <w:rFonts w:hint="eastAsia"/>
              </w:rPr>
              <w:t>：</w:t>
            </w:r>
          </w:p>
          <w:p w14:paraId="3F22F8B3">
            <w:pPr>
              <w:spacing w:line="360" w:lineRule="auto"/>
              <w:ind w:firstLine="480" w:firstLineChars="200"/>
            </w:pPr>
          </w:p>
          <w:p w14:paraId="12CD299E">
            <w:pPr>
              <w:autoSpaceDE w:val="0"/>
              <w:autoSpaceDN w:val="0"/>
              <w:adjustRightInd w:val="0"/>
              <w:snapToGrid w:val="0"/>
              <w:spacing w:line="360" w:lineRule="auto"/>
              <w:jc w:val="center"/>
              <w:rPr>
                <w:b/>
                <w:bCs/>
              </w:rPr>
            </w:pPr>
            <w:r>
              <w:rPr>
                <w:rFonts w:hint="eastAsia"/>
                <w:b/>
                <w:bCs/>
              </w:rPr>
              <w:t>表4     本项目与区域生态环境准入清单的相符性</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427"/>
              <w:gridCol w:w="4192"/>
              <w:gridCol w:w="1903"/>
              <w:gridCol w:w="622"/>
            </w:tblGrid>
            <w:tr w14:paraId="05F23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95" w:type="pct"/>
                  <w:gridSpan w:val="2"/>
                  <w:vAlign w:val="center"/>
                </w:tcPr>
                <w:p w14:paraId="63C251C9">
                  <w:pPr>
                    <w:jc w:val="center"/>
                    <w:rPr>
                      <w:rFonts w:hint="eastAsia" w:ascii="宋体" w:hAnsi="宋体" w:cs="Times New Roman"/>
                      <w:b/>
                      <w:bCs/>
                      <w:kern w:val="0"/>
                      <w:sz w:val="21"/>
                      <w:szCs w:val="21"/>
                    </w:rPr>
                  </w:pPr>
                  <w:r>
                    <w:rPr>
                      <w:rFonts w:ascii="宋体" w:hAnsi="宋体" w:cs="Times New Roman"/>
                      <w:b/>
                      <w:bCs/>
                      <w:kern w:val="0"/>
                      <w:sz w:val="21"/>
                      <w:szCs w:val="21"/>
                    </w:rPr>
                    <w:t>管控类别</w:t>
                  </w:r>
                </w:p>
              </w:tc>
              <w:tc>
                <w:tcPr>
                  <w:tcW w:w="2749" w:type="pct"/>
                  <w:vAlign w:val="center"/>
                </w:tcPr>
                <w:p w14:paraId="30C87F7C">
                  <w:pPr>
                    <w:jc w:val="center"/>
                    <w:rPr>
                      <w:rFonts w:hint="eastAsia" w:ascii="宋体" w:hAnsi="宋体" w:cs="Times New Roman"/>
                      <w:b/>
                      <w:bCs/>
                      <w:kern w:val="0"/>
                      <w:sz w:val="21"/>
                      <w:szCs w:val="21"/>
                    </w:rPr>
                  </w:pPr>
                  <w:r>
                    <w:rPr>
                      <w:rFonts w:ascii="宋体" w:hAnsi="宋体" w:cs="Times New Roman"/>
                      <w:b/>
                      <w:bCs/>
                      <w:kern w:val="0"/>
                      <w:sz w:val="21"/>
                      <w:szCs w:val="21"/>
                    </w:rPr>
                    <w:t>环境准入及管控要求</w:t>
                  </w:r>
                </w:p>
              </w:tc>
              <w:tc>
                <w:tcPr>
                  <w:tcW w:w="1248" w:type="pct"/>
                  <w:vAlign w:val="center"/>
                </w:tcPr>
                <w:p w14:paraId="16CF8E5E">
                  <w:pPr>
                    <w:jc w:val="center"/>
                    <w:rPr>
                      <w:rFonts w:hint="eastAsia" w:ascii="宋体" w:hAnsi="宋体" w:cs="Times New Roman"/>
                      <w:b/>
                      <w:bCs/>
                      <w:kern w:val="0"/>
                      <w:sz w:val="21"/>
                      <w:szCs w:val="21"/>
                    </w:rPr>
                  </w:pPr>
                  <w:r>
                    <w:rPr>
                      <w:rFonts w:ascii="宋体" w:hAnsi="宋体" w:cs="Times New Roman"/>
                      <w:b/>
                      <w:bCs/>
                      <w:kern w:val="0"/>
                      <w:sz w:val="21"/>
                      <w:szCs w:val="21"/>
                    </w:rPr>
                    <w:t>本项目情况</w:t>
                  </w:r>
                </w:p>
              </w:tc>
              <w:tc>
                <w:tcPr>
                  <w:tcW w:w="408" w:type="pct"/>
                  <w:vAlign w:val="center"/>
                </w:tcPr>
                <w:p w14:paraId="33956937">
                  <w:pPr>
                    <w:jc w:val="center"/>
                    <w:rPr>
                      <w:rFonts w:hint="eastAsia" w:ascii="宋体" w:hAnsi="宋体" w:cs="Times New Roman"/>
                      <w:b/>
                      <w:bCs/>
                      <w:kern w:val="0"/>
                      <w:sz w:val="21"/>
                      <w:szCs w:val="21"/>
                    </w:rPr>
                  </w:pPr>
                  <w:r>
                    <w:rPr>
                      <w:rFonts w:ascii="宋体" w:hAnsi="宋体" w:cs="Times New Roman"/>
                      <w:b/>
                      <w:bCs/>
                      <w:kern w:val="0"/>
                      <w:sz w:val="21"/>
                      <w:szCs w:val="21"/>
                    </w:rPr>
                    <w:t>相符性</w:t>
                  </w:r>
                </w:p>
              </w:tc>
            </w:tr>
            <w:tr w14:paraId="01D53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94AB381">
                  <w:pPr>
                    <w:jc w:val="center"/>
                    <w:rPr>
                      <w:rFonts w:hint="eastAsia" w:ascii="宋体" w:hAnsi="宋体" w:cs="Times New Roman"/>
                      <w:b/>
                      <w:bCs/>
                      <w:kern w:val="0"/>
                      <w:sz w:val="21"/>
                      <w:szCs w:val="21"/>
                    </w:rPr>
                  </w:pPr>
                  <w:r>
                    <w:rPr>
                      <w:rFonts w:hint="eastAsia" w:ascii="宋体" w:hAnsi="宋体" w:cs="Times New Roman"/>
                      <w:b/>
                      <w:bCs/>
                      <w:kern w:val="0"/>
                      <w:sz w:val="21"/>
                      <w:szCs w:val="21"/>
                    </w:rPr>
                    <w:t>白山市生态环境准入清单</w:t>
                  </w:r>
                </w:p>
              </w:tc>
            </w:tr>
            <w:tr w14:paraId="61753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gridSpan w:val="2"/>
                  <w:vMerge w:val="restart"/>
                  <w:vAlign w:val="center"/>
                </w:tcPr>
                <w:p w14:paraId="6B2C6F8D">
                  <w:pPr>
                    <w:jc w:val="center"/>
                    <w:rPr>
                      <w:rFonts w:hint="eastAsia" w:ascii="宋体" w:hAnsi="宋体" w:cs="Times New Roman"/>
                      <w:kern w:val="0"/>
                      <w:sz w:val="21"/>
                      <w:szCs w:val="21"/>
                    </w:rPr>
                  </w:pPr>
                  <w:r>
                    <w:rPr>
                      <w:rFonts w:ascii="宋体" w:hAnsi="宋体" w:cs="Times New Roman"/>
                      <w:kern w:val="0"/>
                      <w:sz w:val="21"/>
                      <w:szCs w:val="21"/>
                    </w:rPr>
                    <w:t>空间布局约束</w:t>
                  </w:r>
                </w:p>
              </w:tc>
              <w:tc>
                <w:tcPr>
                  <w:tcW w:w="2749" w:type="pct"/>
                  <w:vAlign w:val="center"/>
                </w:tcPr>
                <w:p w14:paraId="22C07029">
                  <w:pPr>
                    <w:rPr>
                      <w:rFonts w:hint="eastAsia" w:ascii="宋体" w:hAnsi="宋体" w:cs="Times New Roman"/>
                      <w:kern w:val="0"/>
                      <w:sz w:val="21"/>
                      <w:szCs w:val="21"/>
                    </w:rPr>
                  </w:pPr>
                  <w:r>
                    <w:rPr>
                      <w:rFonts w:hint="eastAsia" w:ascii="宋体" w:hAnsi="宋体" w:cs="Times New Roman"/>
                      <w:kern w:val="0"/>
                      <w:sz w:val="21"/>
                      <w:szCs w:val="21"/>
                    </w:rPr>
                    <w:t>禁止新建、扩建《产业结构调整指导目录》（现行）明确的淘汰类项目和引入《市场准入负面清单》（现行）禁止准入类事项，引入项目应符合园区规划、规划环境影响评价和区域产业准入负面清单要求。</w:t>
                  </w:r>
                </w:p>
              </w:tc>
              <w:tc>
                <w:tcPr>
                  <w:tcW w:w="1248" w:type="pct"/>
                  <w:vAlign w:val="center"/>
                </w:tcPr>
                <w:p w14:paraId="4B9B89B8">
                  <w:pPr>
                    <w:rPr>
                      <w:rFonts w:hint="eastAsia" w:ascii="宋体" w:hAnsi="宋体" w:cs="Times New Roman"/>
                      <w:kern w:val="0"/>
                      <w:sz w:val="21"/>
                      <w:szCs w:val="21"/>
                    </w:rPr>
                  </w:pPr>
                  <w:r>
                    <w:rPr>
                      <w:rFonts w:ascii="宋体" w:hAnsi="宋体" w:cs="Times New Roman"/>
                      <w:kern w:val="0"/>
                      <w:sz w:val="21"/>
                      <w:szCs w:val="21"/>
                    </w:rPr>
                    <w:t>本项目不涉及地区生态保护红线，不涉及前述法律法规要求</w:t>
                  </w:r>
                  <w:r>
                    <w:rPr>
                      <w:rFonts w:hint="eastAsia" w:ascii="宋体" w:hAnsi="宋体" w:cs="Times New Roman"/>
                      <w:kern w:val="0"/>
                      <w:sz w:val="21"/>
                      <w:szCs w:val="21"/>
                    </w:rPr>
                    <w:t>。</w:t>
                  </w:r>
                </w:p>
              </w:tc>
              <w:tc>
                <w:tcPr>
                  <w:tcW w:w="408" w:type="pct"/>
                  <w:vAlign w:val="center"/>
                </w:tcPr>
                <w:p w14:paraId="28FF33DC">
                  <w:pPr>
                    <w:jc w:val="center"/>
                    <w:rPr>
                      <w:rFonts w:hint="eastAsia" w:ascii="宋体" w:hAnsi="宋体" w:cs="Times New Roman"/>
                      <w:kern w:val="0"/>
                      <w:sz w:val="21"/>
                      <w:szCs w:val="21"/>
                    </w:rPr>
                  </w:pPr>
                  <w:r>
                    <w:rPr>
                      <w:rFonts w:ascii="宋体" w:hAnsi="宋体" w:cs="Times New Roman"/>
                      <w:kern w:val="0"/>
                      <w:sz w:val="21"/>
                      <w:szCs w:val="21"/>
                    </w:rPr>
                    <w:t>符合</w:t>
                  </w:r>
                </w:p>
              </w:tc>
            </w:tr>
            <w:tr w14:paraId="3A61D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gridSpan w:val="2"/>
                  <w:vMerge w:val="continue"/>
                  <w:vAlign w:val="center"/>
                </w:tcPr>
                <w:p w14:paraId="686BC11A">
                  <w:pPr>
                    <w:jc w:val="center"/>
                    <w:rPr>
                      <w:rFonts w:hint="eastAsia" w:ascii="宋体" w:hAnsi="宋体" w:cs="Times New Roman"/>
                      <w:kern w:val="0"/>
                      <w:sz w:val="21"/>
                      <w:szCs w:val="21"/>
                    </w:rPr>
                  </w:pPr>
                </w:p>
              </w:tc>
              <w:tc>
                <w:tcPr>
                  <w:tcW w:w="2749" w:type="pct"/>
                  <w:vAlign w:val="center"/>
                </w:tcPr>
                <w:p w14:paraId="08DC01E7">
                  <w:pPr>
                    <w:rPr>
                      <w:rFonts w:hint="eastAsia" w:ascii="宋体" w:hAnsi="宋体" w:cs="Times New Roman"/>
                      <w:kern w:val="0"/>
                      <w:sz w:val="21"/>
                      <w:szCs w:val="21"/>
                    </w:rPr>
                  </w:pPr>
                  <w:r>
                    <w:rPr>
                      <w:rFonts w:hint="eastAsia" w:ascii="宋体" w:hAnsi="宋体" w:cs="Times New Roman"/>
                      <w:kern w:val="0"/>
                      <w:sz w:val="21"/>
                      <w:szCs w:val="21"/>
                    </w:rPr>
                    <w:t>新建化工类“两高”项目必须进入已认定的化工园区、有色金属冶炼、平板玻璃项目应布局在依法合规设立并经规划环评的产业园区内，在已认定的化工园区外，禁止新（扩）建危险化学品和化工项目；同时严禁“两高”项目盲目上马。</w:t>
                  </w:r>
                </w:p>
              </w:tc>
              <w:tc>
                <w:tcPr>
                  <w:tcW w:w="1248" w:type="pct"/>
                  <w:vAlign w:val="center"/>
                </w:tcPr>
                <w:p w14:paraId="7B41AD44">
                  <w:pPr>
                    <w:rPr>
                      <w:rFonts w:hint="eastAsia" w:ascii="宋体" w:hAnsi="宋体" w:cs="Times New Roman"/>
                      <w:kern w:val="0"/>
                      <w:sz w:val="21"/>
                      <w:szCs w:val="21"/>
                    </w:rPr>
                  </w:pPr>
                  <w:r>
                    <w:rPr>
                      <w:rFonts w:ascii="宋体" w:hAnsi="宋体" w:cs="Times New Roman"/>
                      <w:kern w:val="0"/>
                      <w:sz w:val="21"/>
                      <w:szCs w:val="21"/>
                    </w:rPr>
                    <w:t>本项目不涉及前述内容</w:t>
                  </w:r>
                  <w:r>
                    <w:rPr>
                      <w:rFonts w:hint="eastAsia" w:ascii="宋体" w:hAnsi="宋体" w:cs="Times New Roman"/>
                      <w:kern w:val="0"/>
                      <w:sz w:val="21"/>
                      <w:szCs w:val="21"/>
                    </w:rPr>
                    <w:t>。</w:t>
                  </w:r>
                </w:p>
              </w:tc>
              <w:tc>
                <w:tcPr>
                  <w:tcW w:w="408" w:type="pct"/>
                  <w:vAlign w:val="center"/>
                </w:tcPr>
                <w:p w14:paraId="21A10C4E">
                  <w:pPr>
                    <w:jc w:val="center"/>
                    <w:rPr>
                      <w:rFonts w:hint="eastAsia" w:ascii="宋体" w:hAnsi="宋体" w:cs="Times New Roman"/>
                      <w:kern w:val="0"/>
                      <w:sz w:val="21"/>
                      <w:szCs w:val="21"/>
                    </w:rPr>
                  </w:pPr>
                  <w:r>
                    <w:rPr>
                      <w:rFonts w:ascii="宋体" w:hAnsi="宋体" w:cs="Times New Roman"/>
                      <w:kern w:val="0"/>
                      <w:sz w:val="21"/>
                      <w:szCs w:val="21"/>
                    </w:rPr>
                    <w:t>符合</w:t>
                  </w:r>
                </w:p>
              </w:tc>
            </w:tr>
            <w:tr w14:paraId="7D1FC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gridSpan w:val="2"/>
                  <w:vMerge w:val="continue"/>
                  <w:vAlign w:val="center"/>
                </w:tcPr>
                <w:p w14:paraId="567DB867">
                  <w:pPr>
                    <w:jc w:val="center"/>
                    <w:rPr>
                      <w:rFonts w:hint="eastAsia" w:ascii="宋体" w:hAnsi="宋体" w:cs="Times New Roman"/>
                      <w:kern w:val="0"/>
                      <w:sz w:val="21"/>
                      <w:szCs w:val="21"/>
                    </w:rPr>
                  </w:pPr>
                </w:p>
              </w:tc>
              <w:tc>
                <w:tcPr>
                  <w:tcW w:w="2749" w:type="pct"/>
                  <w:vAlign w:val="center"/>
                </w:tcPr>
                <w:p w14:paraId="30181D83">
                  <w:pPr>
                    <w:rPr>
                      <w:rFonts w:hint="eastAsia" w:ascii="宋体" w:hAnsi="宋体" w:cs="Times New Roman"/>
                      <w:kern w:val="0"/>
                      <w:sz w:val="21"/>
                      <w:szCs w:val="21"/>
                    </w:rPr>
                  </w:pPr>
                  <w:r>
                    <w:rPr>
                      <w:rFonts w:hint="eastAsia" w:ascii="宋体" w:hAnsi="宋体" w:cs="Times New Roman"/>
                      <w:kern w:val="0"/>
                      <w:sz w:val="21"/>
                      <w:szCs w:val="21"/>
                    </w:rPr>
                    <w:t>禁止在下列林地的采伐迹地种植人参：（1）自然保护区、森林公园、景区及其附近林地；（2）江河源头和两岸林地；（3）水库、湖泊周围等生态重要区位林地；（4）国道、省道、县道两侧第一层山脊内林地；（5）坡度在25度以上的林地；（6）山脊、沟壑等林地；（7）不符合人参种植标准和要求的其他林地。</w:t>
                  </w:r>
                </w:p>
              </w:tc>
              <w:tc>
                <w:tcPr>
                  <w:tcW w:w="1248" w:type="pct"/>
                  <w:vAlign w:val="center"/>
                </w:tcPr>
                <w:p w14:paraId="2830F91E">
                  <w:pPr>
                    <w:rPr>
                      <w:rFonts w:hint="eastAsia" w:ascii="宋体" w:hAnsi="宋体" w:cs="Times New Roman"/>
                      <w:kern w:val="0"/>
                      <w:sz w:val="21"/>
                      <w:szCs w:val="21"/>
                    </w:rPr>
                  </w:pPr>
                  <w:r>
                    <w:rPr>
                      <w:rFonts w:ascii="宋体" w:hAnsi="宋体" w:cs="Times New Roman"/>
                      <w:kern w:val="0"/>
                      <w:sz w:val="21"/>
                      <w:szCs w:val="21"/>
                    </w:rPr>
                    <w:t>本项目不涉及前述内容</w:t>
                  </w:r>
                  <w:r>
                    <w:rPr>
                      <w:rFonts w:hint="eastAsia" w:ascii="宋体" w:hAnsi="宋体" w:cs="Times New Roman"/>
                      <w:kern w:val="0"/>
                      <w:sz w:val="21"/>
                      <w:szCs w:val="21"/>
                    </w:rPr>
                    <w:t>。</w:t>
                  </w:r>
                </w:p>
              </w:tc>
              <w:tc>
                <w:tcPr>
                  <w:tcW w:w="408" w:type="pct"/>
                  <w:vAlign w:val="center"/>
                </w:tcPr>
                <w:p w14:paraId="79D1B528">
                  <w:pPr>
                    <w:jc w:val="center"/>
                    <w:rPr>
                      <w:rFonts w:hint="eastAsia" w:ascii="宋体" w:hAnsi="宋体" w:cs="Times New Roman"/>
                      <w:kern w:val="0"/>
                      <w:sz w:val="21"/>
                      <w:szCs w:val="21"/>
                    </w:rPr>
                  </w:pPr>
                  <w:r>
                    <w:rPr>
                      <w:rFonts w:ascii="宋体" w:hAnsi="宋体" w:cs="Times New Roman"/>
                      <w:kern w:val="0"/>
                      <w:sz w:val="21"/>
                      <w:szCs w:val="21"/>
                    </w:rPr>
                    <w:t>符合</w:t>
                  </w:r>
                </w:p>
              </w:tc>
            </w:tr>
            <w:tr w14:paraId="257B2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14:paraId="473EF348">
                  <w:pPr>
                    <w:jc w:val="center"/>
                    <w:rPr>
                      <w:rFonts w:hint="eastAsia" w:ascii="宋体" w:hAnsi="宋体" w:cs="Times New Roman"/>
                      <w:kern w:val="0"/>
                      <w:sz w:val="21"/>
                      <w:szCs w:val="21"/>
                    </w:rPr>
                  </w:pPr>
                  <w:r>
                    <w:rPr>
                      <w:rFonts w:ascii="宋体" w:hAnsi="宋体" w:cs="Times New Roman"/>
                      <w:kern w:val="0"/>
                      <w:sz w:val="21"/>
                      <w:szCs w:val="21"/>
                    </w:rPr>
                    <w:t>污染物排放管控</w:t>
                  </w:r>
                </w:p>
              </w:tc>
              <w:tc>
                <w:tcPr>
                  <w:tcW w:w="280" w:type="pct"/>
                  <w:vMerge w:val="restart"/>
                  <w:vAlign w:val="center"/>
                </w:tcPr>
                <w:p w14:paraId="5507E599">
                  <w:pPr>
                    <w:jc w:val="center"/>
                    <w:rPr>
                      <w:rFonts w:hint="eastAsia" w:ascii="宋体" w:hAnsi="宋体" w:cs="Times New Roman"/>
                      <w:kern w:val="0"/>
                      <w:sz w:val="21"/>
                      <w:szCs w:val="21"/>
                    </w:rPr>
                  </w:pPr>
                  <w:r>
                    <w:rPr>
                      <w:rFonts w:ascii="宋体" w:hAnsi="宋体" w:cs="Times New Roman"/>
                      <w:kern w:val="0"/>
                      <w:sz w:val="21"/>
                      <w:szCs w:val="21"/>
                    </w:rPr>
                    <w:t>环境质量目标</w:t>
                  </w:r>
                </w:p>
              </w:tc>
              <w:tc>
                <w:tcPr>
                  <w:tcW w:w="2749" w:type="pct"/>
                  <w:vAlign w:val="center"/>
                </w:tcPr>
                <w:p w14:paraId="2B00139F">
                  <w:pPr>
                    <w:rPr>
                      <w:rFonts w:hint="eastAsia" w:ascii="宋体" w:hAnsi="宋体" w:cs="Times New Roman"/>
                      <w:kern w:val="0"/>
                      <w:sz w:val="21"/>
                      <w:szCs w:val="21"/>
                    </w:rPr>
                  </w:pPr>
                  <w:r>
                    <w:rPr>
                      <w:rFonts w:ascii="宋体" w:hAnsi="宋体" w:cs="Times New Roman"/>
                      <w:kern w:val="0"/>
                      <w:sz w:val="21"/>
                      <w:szCs w:val="21"/>
                    </w:rPr>
                    <w:t>大气环境质量持续改善。2025年全市PM</w:t>
                  </w:r>
                  <w:r>
                    <w:rPr>
                      <w:rFonts w:ascii="宋体" w:hAnsi="宋体" w:cs="Times New Roman"/>
                      <w:kern w:val="0"/>
                      <w:sz w:val="21"/>
                      <w:szCs w:val="21"/>
                      <w:vertAlign w:val="subscript"/>
                    </w:rPr>
                    <w:t>2.5</w:t>
                  </w:r>
                  <w:r>
                    <w:rPr>
                      <w:rFonts w:ascii="宋体" w:hAnsi="宋体" w:cs="Times New Roman"/>
                      <w:kern w:val="0"/>
                      <w:sz w:val="21"/>
                      <w:szCs w:val="21"/>
                    </w:rPr>
                    <w:t>年均浓度</w:t>
                  </w:r>
                  <w:r>
                    <w:rPr>
                      <w:rFonts w:hint="eastAsia" w:ascii="宋体" w:hAnsi="宋体" w:cs="Times New Roman"/>
                      <w:kern w:val="0"/>
                      <w:sz w:val="21"/>
                      <w:szCs w:val="21"/>
                    </w:rPr>
                    <w:t>达到25</w:t>
                  </w:r>
                  <w:r>
                    <w:rPr>
                      <w:rFonts w:ascii="宋体" w:hAnsi="宋体" w:cs="Times New Roman"/>
                      <w:kern w:val="0"/>
                      <w:sz w:val="21"/>
                      <w:szCs w:val="21"/>
                    </w:rPr>
                    <w:t>微克/立方米</w:t>
                  </w:r>
                  <w:r>
                    <w:rPr>
                      <w:rFonts w:hint="eastAsia" w:ascii="宋体" w:hAnsi="宋体" w:cs="Times New Roman"/>
                      <w:kern w:val="0"/>
                      <w:sz w:val="21"/>
                      <w:szCs w:val="21"/>
                    </w:rPr>
                    <w:t>，优良天数比例保持在98%左右，2035年允许波动，不能恶化（沙尘影响不计入）</w:t>
                  </w:r>
                  <w:r>
                    <w:rPr>
                      <w:rFonts w:ascii="宋体" w:hAnsi="宋体" w:cs="Times New Roman"/>
                      <w:kern w:val="0"/>
                      <w:sz w:val="21"/>
                      <w:szCs w:val="21"/>
                    </w:rPr>
                    <w:t>。</w:t>
                  </w:r>
                </w:p>
              </w:tc>
              <w:tc>
                <w:tcPr>
                  <w:tcW w:w="1248" w:type="pct"/>
                  <w:vAlign w:val="center"/>
                </w:tcPr>
                <w:p w14:paraId="3CFD89F6">
                  <w:pPr>
                    <w:rPr>
                      <w:rFonts w:hint="eastAsia" w:ascii="宋体" w:hAnsi="宋体" w:cs="Times New Roman"/>
                      <w:kern w:val="0"/>
                      <w:sz w:val="21"/>
                      <w:szCs w:val="21"/>
                    </w:rPr>
                  </w:pPr>
                  <w:r>
                    <w:rPr>
                      <w:rFonts w:ascii="宋体" w:hAnsi="宋体" w:cs="Times New Roman"/>
                      <w:kern w:val="0"/>
                      <w:sz w:val="21"/>
                      <w:szCs w:val="21"/>
                    </w:rPr>
                    <w:t>本项目所在区域环境空气质量满足前述标准要求。</w:t>
                  </w:r>
                </w:p>
              </w:tc>
              <w:tc>
                <w:tcPr>
                  <w:tcW w:w="408" w:type="pct"/>
                  <w:vAlign w:val="center"/>
                </w:tcPr>
                <w:p w14:paraId="65A27BFB">
                  <w:pPr>
                    <w:jc w:val="center"/>
                    <w:rPr>
                      <w:rFonts w:hint="eastAsia" w:ascii="宋体" w:hAnsi="宋体" w:cs="Times New Roman"/>
                      <w:kern w:val="0"/>
                      <w:sz w:val="21"/>
                      <w:szCs w:val="21"/>
                    </w:rPr>
                  </w:pPr>
                  <w:r>
                    <w:rPr>
                      <w:rFonts w:ascii="宋体" w:hAnsi="宋体" w:cs="Times New Roman"/>
                      <w:kern w:val="0"/>
                      <w:sz w:val="21"/>
                      <w:szCs w:val="21"/>
                    </w:rPr>
                    <w:t>符合</w:t>
                  </w:r>
                </w:p>
              </w:tc>
            </w:tr>
            <w:tr w14:paraId="49606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5" w:type="pct"/>
                  <w:vMerge w:val="continue"/>
                  <w:vAlign w:val="center"/>
                </w:tcPr>
                <w:p w14:paraId="01D2F5D2">
                  <w:pPr>
                    <w:jc w:val="center"/>
                    <w:rPr>
                      <w:rFonts w:hint="eastAsia" w:ascii="宋体" w:hAnsi="宋体" w:cs="Times New Roman"/>
                      <w:kern w:val="0"/>
                      <w:sz w:val="21"/>
                      <w:szCs w:val="21"/>
                    </w:rPr>
                  </w:pPr>
                </w:p>
              </w:tc>
              <w:tc>
                <w:tcPr>
                  <w:tcW w:w="280" w:type="pct"/>
                  <w:vMerge w:val="continue"/>
                  <w:vAlign w:val="center"/>
                </w:tcPr>
                <w:p w14:paraId="152D2008">
                  <w:pPr>
                    <w:jc w:val="center"/>
                    <w:rPr>
                      <w:rFonts w:hint="eastAsia" w:ascii="宋体" w:hAnsi="宋体" w:cs="Times New Roman"/>
                      <w:kern w:val="0"/>
                      <w:sz w:val="21"/>
                      <w:szCs w:val="21"/>
                    </w:rPr>
                  </w:pPr>
                </w:p>
              </w:tc>
              <w:tc>
                <w:tcPr>
                  <w:tcW w:w="2749" w:type="pct"/>
                  <w:vAlign w:val="center"/>
                </w:tcPr>
                <w:p w14:paraId="7F3282DC">
                  <w:pPr>
                    <w:rPr>
                      <w:rFonts w:hint="eastAsia" w:ascii="宋体" w:hAnsi="宋体" w:cs="Times New Roman"/>
                      <w:kern w:val="0"/>
                      <w:sz w:val="21"/>
                      <w:szCs w:val="21"/>
                    </w:rPr>
                  </w:pPr>
                  <w:r>
                    <w:rPr>
                      <w:rFonts w:ascii="宋体" w:hAnsi="宋体" w:cs="Times New Roman"/>
                      <w:kern w:val="0"/>
                      <w:sz w:val="21"/>
                      <w:szCs w:val="21"/>
                    </w:rPr>
                    <w:t>水环境质量持续改善。2025年</w:t>
                  </w:r>
                  <w:r>
                    <w:rPr>
                      <w:rFonts w:hint="eastAsia" w:ascii="宋体" w:hAnsi="宋体" w:cs="Times New Roman"/>
                      <w:kern w:val="0"/>
                      <w:sz w:val="21"/>
                      <w:szCs w:val="21"/>
                    </w:rPr>
                    <w:t>地表水国控断面达到或由于Ⅲ类水体比例保持100%，饮用水水源地水质稳定达标</w:t>
                  </w:r>
                  <w:r>
                    <w:rPr>
                      <w:rFonts w:ascii="宋体" w:hAnsi="宋体" w:cs="Times New Roman"/>
                      <w:kern w:val="0"/>
                      <w:sz w:val="21"/>
                      <w:szCs w:val="21"/>
                    </w:rPr>
                    <w:t>。</w:t>
                  </w:r>
                </w:p>
              </w:tc>
              <w:tc>
                <w:tcPr>
                  <w:tcW w:w="1248" w:type="pct"/>
                  <w:vAlign w:val="center"/>
                </w:tcPr>
                <w:p w14:paraId="4FD32C5B">
                  <w:pPr>
                    <w:rPr>
                      <w:rFonts w:hint="eastAsia" w:ascii="宋体" w:hAnsi="宋体" w:cs="Times New Roman"/>
                      <w:kern w:val="0"/>
                      <w:sz w:val="21"/>
                      <w:szCs w:val="21"/>
                    </w:rPr>
                  </w:pPr>
                  <w:r>
                    <w:rPr>
                      <w:rFonts w:ascii="宋体" w:hAnsi="宋体" w:cs="Times New Roman"/>
                      <w:kern w:val="0"/>
                      <w:sz w:val="21"/>
                      <w:szCs w:val="21"/>
                    </w:rPr>
                    <w:t>本项目</w:t>
                  </w:r>
                  <w:r>
                    <w:rPr>
                      <w:rFonts w:hint="eastAsia" w:ascii="宋体" w:hAnsi="宋体" w:cs="Times New Roman"/>
                      <w:kern w:val="0"/>
                      <w:sz w:val="21"/>
                      <w:szCs w:val="21"/>
                    </w:rPr>
                    <w:t>为工作码头建设工程，运营期不直接排放水污染物，正常情况下不会对区域水环境产生明显影响</w:t>
                  </w:r>
                  <w:r>
                    <w:rPr>
                      <w:rFonts w:ascii="宋体" w:hAnsi="宋体" w:cs="Times New Roman"/>
                      <w:kern w:val="0"/>
                      <w:sz w:val="21"/>
                      <w:szCs w:val="21"/>
                    </w:rPr>
                    <w:t>。</w:t>
                  </w:r>
                </w:p>
              </w:tc>
              <w:tc>
                <w:tcPr>
                  <w:tcW w:w="408" w:type="pct"/>
                  <w:vAlign w:val="center"/>
                </w:tcPr>
                <w:p w14:paraId="73597167">
                  <w:pPr>
                    <w:jc w:val="center"/>
                    <w:rPr>
                      <w:rFonts w:hint="eastAsia" w:ascii="宋体" w:hAnsi="宋体" w:cs="Times New Roman"/>
                      <w:kern w:val="0"/>
                      <w:sz w:val="21"/>
                      <w:szCs w:val="21"/>
                    </w:rPr>
                  </w:pPr>
                  <w:r>
                    <w:rPr>
                      <w:rFonts w:ascii="宋体" w:hAnsi="宋体" w:cs="Times New Roman"/>
                      <w:kern w:val="0"/>
                      <w:sz w:val="21"/>
                      <w:szCs w:val="21"/>
                    </w:rPr>
                    <w:t>符合</w:t>
                  </w:r>
                </w:p>
              </w:tc>
            </w:tr>
            <w:tr w14:paraId="326F5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gridSpan w:val="2"/>
                  <w:vMerge w:val="restart"/>
                  <w:vAlign w:val="center"/>
                </w:tcPr>
                <w:p w14:paraId="136EEA8C">
                  <w:pPr>
                    <w:jc w:val="center"/>
                    <w:rPr>
                      <w:rFonts w:hint="eastAsia" w:ascii="宋体" w:hAnsi="宋体" w:cs="Times New Roman"/>
                      <w:kern w:val="0"/>
                      <w:sz w:val="21"/>
                      <w:szCs w:val="21"/>
                    </w:rPr>
                  </w:pPr>
                  <w:r>
                    <w:rPr>
                      <w:rFonts w:ascii="宋体" w:hAnsi="宋体" w:cs="Times New Roman"/>
                      <w:kern w:val="0"/>
                      <w:sz w:val="21"/>
                      <w:szCs w:val="21"/>
                    </w:rPr>
                    <w:t>环境风险防控</w:t>
                  </w:r>
                </w:p>
              </w:tc>
              <w:tc>
                <w:tcPr>
                  <w:tcW w:w="2749" w:type="pct"/>
                  <w:vAlign w:val="center"/>
                </w:tcPr>
                <w:p w14:paraId="2128B38F">
                  <w:pPr>
                    <w:rPr>
                      <w:rFonts w:hint="eastAsia" w:ascii="宋体" w:hAnsi="宋体" w:cs="Times New Roman"/>
                      <w:kern w:val="0"/>
                      <w:sz w:val="21"/>
                      <w:szCs w:val="21"/>
                    </w:rPr>
                  </w:pPr>
                  <w:r>
                    <w:rPr>
                      <w:rFonts w:hint="eastAsia" w:ascii="宋体" w:hAnsi="宋体" w:cs="Times New Roman"/>
                      <w:kern w:val="0"/>
                      <w:sz w:val="21"/>
                      <w:szCs w:val="21"/>
                    </w:rPr>
                    <w:t>加强饮用水水源地环境风险管控，完善风险防控与应急能力建设和相关管理措施，保证饮用水水源水质达标和饮水安全。</w:t>
                  </w:r>
                </w:p>
              </w:tc>
              <w:tc>
                <w:tcPr>
                  <w:tcW w:w="1248" w:type="pct"/>
                  <w:vAlign w:val="center"/>
                </w:tcPr>
                <w:p w14:paraId="317D3F5B">
                  <w:pPr>
                    <w:rPr>
                      <w:rFonts w:hint="eastAsia" w:ascii="宋体" w:hAnsi="宋体" w:cs="Times New Roman"/>
                      <w:kern w:val="0"/>
                      <w:sz w:val="21"/>
                      <w:szCs w:val="21"/>
                    </w:rPr>
                  </w:pPr>
                  <w:r>
                    <w:rPr>
                      <w:rFonts w:ascii="宋体" w:hAnsi="宋体" w:cs="Times New Roman"/>
                      <w:kern w:val="0"/>
                      <w:sz w:val="21"/>
                      <w:szCs w:val="21"/>
                    </w:rPr>
                    <w:t>本项目不涉及前述内容</w:t>
                  </w:r>
                </w:p>
              </w:tc>
              <w:tc>
                <w:tcPr>
                  <w:tcW w:w="408" w:type="pct"/>
                  <w:vAlign w:val="center"/>
                </w:tcPr>
                <w:p w14:paraId="2CF447B3">
                  <w:pPr>
                    <w:jc w:val="center"/>
                    <w:rPr>
                      <w:rFonts w:hint="eastAsia" w:ascii="宋体" w:hAnsi="宋体" w:cs="Times New Roman"/>
                      <w:kern w:val="0"/>
                      <w:sz w:val="21"/>
                      <w:szCs w:val="21"/>
                    </w:rPr>
                  </w:pPr>
                  <w:r>
                    <w:rPr>
                      <w:rFonts w:ascii="宋体" w:hAnsi="宋体" w:cs="Times New Roman"/>
                      <w:kern w:val="0"/>
                      <w:sz w:val="21"/>
                      <w:szCs w:val="21"/>
                    </w:rPr>
                    <w:t>符合</w:t>
                  </w:r>
                </w:p>
              </w:tc>
            </w:tr>
            <w:tr w14:paraId="5B313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gridSpan w:val="2"/>
                  <w:vMerge w:val="continue"/>
                  <w:vAlign w:val="center"/>
                </w:tcPr>
                <w:p w14:paraId="74430BC6">
                  <w:pPr>
                    <w:jc w:val="center"/>
                    <w:rPr>
                      <w:rFonts w:hint="eastAsia" w:ascii="宋体" w:hAnsi="宋体" w:cs="Times New Roman"/>
                      <w:kern w:val="0"/>
                      <w:sz w:val="21"/>
                      <w:szCs w:val="21"/>
                    </w:rPr>
                  </w:pPr>
                </w:p>
              </w:tc>
              <w:tc>
                <w:tcPr>
                  <w:tcW w:w="2749" w:type="pct"/>
                  <w:vAlign w:val="center"/>
                </w:tcPr>
                <w:p w14:paraId="4B279999">
                  <w:pPr>
                    <w:rPr>
                      <w:rFonts w:hint="eastAsia" w:ascii="宋体" w:hAnsi="宋体" w:cs="Times New Roman"/>
                      <w:kern w:val="0"/>
                      <w:sz w:val="21"/>
                      <w:szCs w:val="21"/>
                    </w:rPr>
                  </w:pPr>
                  <w:r>
                    <w:rPr>
                      <w:rFonts w:hint="eastAsia" w:ascii="宋体" w:hAnsi="宋体" w:cs="Times New Roman"/>
                      <w:kern w:val="0"/>
                      <w:sz w:val="21"/>
                      <w:szCs w:val="21"/>
                    </w:rPr>
                    <w:t>建立防渗层系统防治尾矿坝的渗滤液污染地表水和地下水，设置截洪沟、排水沟防止雨水进入尾矿坝和污染地表水，加强尾矿坝边坡的护坡、拦渣、植被措施防止尾矿坝滑坡等突发环境事件对水体的环境污染。</w:t>
                  </w:r>
                </w:p>
              </w:tc>
              <w:tc>
                <w:tcPr>
                  <w:tcW w:w="1248" w:type="pct"/>
                  <w:vAlign w:val="center"/>
                </w:tcPr>
                <w:p w14:paraId="493C675C">
                  <w:pPr>
                    <w:rPr>
                      <w:rFonts w:hint="eastAsia" w:ascii="宋体" w:hAnsi="宋体" w:cs="Times New Roman"/>
                      <w:kern w:val="0"/>
                      <w:sz w:val="21"/>
                      <w:szCs w:val="21"/>
                    </w:rPr>
                  </w:pPr>
                  <w:r>
                    <w:rPr>
                      <w:rFonts w:ascii="宋体" w:hAnsi="宋体" w:cs="Times New Roman"/>
                      <w:kern w:val="0"/>
                      <w:sz w:val="21"/>
                      <w:szCs w:val="21"/>
                    </w:rPr>
                    <w:t>本项目不涉及前述内容</w:t>
                  </w:r>
                </w:p>
              </w:tc>
              <w:tc>
                <w:tcPr>
                  <w:tcW w:w="408" w:type="pct"/>
                  <w:vAlign w:val="center"/>
                </w:tcPr>
                <w:p w14:paraId="2D561A07">
                  <w:pPr>
                    <w:jc w:val="center"/>
                    <w:rPr>
                      <w:rFonts w:hint="eastAsia" w:ascii="宋体" w:hAnsi="宋体" w:cs="Times New Roman"/>
                      <w:kern w:val="0"/>
                      <w:sz w:val="21"/>
                      <w:szCs w:val="21"/>
                    </w:rPr>
                  </w:pPr>
                  <w:r>
                    <w:rPr>
                      <w:rFonts w:hint="eastAsia" w:ascii="宋体" w:hAnsi="宋体" w:cs="Times New Roman"/>
                      <w:kern w:val="0"/>
                      <w:sz w:val="21"/>
                      <w:szCs w:val="21"/>
                    </w:rPr>
                    <w:t>符合</w:t>
                  </w:r>
                </w:p>
              </w:tc>
            </w:tr>
            <w:tr w14:paraId="05831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14:paraId="0B192751">
                  <w:pPr>
                    <w:jc w:val="center"/>
                    <w:rPr>
                      <w:rFonts w:hint="eastAsia" w:ascii="宋体" w:hAnsi="宋体" w:cs="Times New Roman"/>
                      <w:kern w:val="0"/>
                      <w:sz w:val="21"/>
                      <w:szCs w:val="21"/>
                    </w:rPr>
                  </w:pPr>
                  <w:r>
                    <w:rPr>
                      <w:rFonts w:ascii="宋体" w:hAnsi="宋体" w:cs="Times New Roman"/>
                      <w:kern w:val="0"/>
                      <w:sz w:val="21"/>
                      <w:szCs w:val="21"/>
                    </w:rPr>
                    <w:t>资源利用要求</w:t>
                  </w:r>
                </w:p>
              </w:tc>
              <w:tc>
                <w:tcPr>
                  <w:tcW w:w="280" w:type="pct"/>
                  <w:vAlign w:val="center"/>
                </w:tcPr>
                <w:p w14:paraId="5F060ABE">
                  <w:pPr>
                    <w:jc w:val="center"/>
                    <w:rPr>
                      <w:rFonts w:hint="eastAsia" w:ascii="宋体" w:hAnsi="宋体" w:cs="Times New Roman"/>
                      <w:kern w:val="0"/>
                      <w:sz w:val="21"/>
                      <w:szCs w:val="21"/>
                    </w:rPr>
                  </w:pPr>
                  <w:r>
                    <w:rPr>
                      <w:rFonts w:ascii="宋体" w:hAnsi="宋体" w:cs="Times New Roman"/>
                      <w:kern w:val="0"/>
                      <w:sz w:val="21"/>
                      <w:szCs w:val="21"/>
                    </w:rPr>
                    <w:t>水资源</w:t>
                  </w:r>
                </w:p>
              </w:tc>
              <w:tc>
                <w:tcPr>
                  <w:tcW w:w="2749" w:type="pct"/>
                  <w:vAlign w:val="center"/>
                </w:tcPr>
                <w:p w14:paraId="05D6FD55">
                  <w:pPr>
                    <w:rPr>
                      <w:rFonts w:hint="eastAsia" w:ascii="宋体" w:hAnsi="宋体" w:cs="Times New Roman"/>
                      <w:kern w:val="0"/>
                      <w:sz w:val="21"/>
                      <w:szCs w:val="21"/>
                    </w:rPr>
                  </w:pPr>
                  <w:r>
                    <w:rPr>
                      <w:rFonts w:ascii="宋体" w:hAnsi="宋体" w:cs="Times New Roman"/>
                      <w:kern w:val="0"/>
                      <w:sz w:val="21"/>
                      <w:szCs w:val="21"/>
                    </w:rPr>
                    <w:t>2025年</w:t>
                  </w:r>
                  <w:r>
                    <w:rPr>
                      <w:rFonts w:hint="eastAsia" w:ascii="宋体" w:hAnsi="宋体" w:cs="Times New Roman"/>
                      <w:kern w:val="0"/>
                      <w:sz w:val="21"/>
                      <w:szCs w:val="21"/>
                    </w:rPr>
                    <w:t>用水量控制在2.24亿立方米，2035年用水量控制在4.8亿立方米</w:t>
                  </w:r>
                  <w:r>
                    <w:rPr>
                      <w:rFonts w:ascii="宋体" w:hAnsi="宋体" w:cs="Times New Roman"/>
                      <w:kern w:val="0"/>
                      <w:sz w:val="21"/>
                      <w:szCs w:val="21"/>
                    </w:rPr>
                    <w:t>。</w:t>
                  </w:r>
                </w:p>
              </w:tc>
              <w:tc>
                <w:tcPr>
                  <w:tcW w:w="1248" w:type="pct"/>
                  <w:vAlign w:val="center"/>
                </w:tcPr>
                <w:p w14:paraId="23C16558">
                  <w:pPr>
                    <w:rPr>
                      <w:rFonts w:hint="eastAsia" w:ascii="宋体" w:hAnsi="宋体" w:cs="Times New Roman"/>
                      <w:kern w:val="0"/>
                      <w:sz w:val="21"/>
                      <w:szCs w:val="21"/>
                    </w:rPr>
                  </w:pPr>
                  <w:r>
                    <w:rPr>
                      <w:rFonts w:ascii="宋体" w:hAnsi="宋体" w:cs="Times New Roman"/>
                      <w:kern w:val="0"/>
                      <w:sz w:val="21"/>
                      <w:szCs w:val="21"/>
                    </w:rPr>
                    <w:t>本项目运营</w:t>
                  </w:r>
                  <w:r>
                    <w:rPr>
                      <w:rFonts w:hint="eastAsia" w:ascii="宋体" w:hAnsi="宋体" w:cs="Times New Roman"/>
                      <w:kern w:val="0"/>
                      <w:sz w:val="21"/>
                      <w:szCs w:val="21"/>
                    </w:rPr>
                    <w:t>期不涉及大量新鲜水的使用，</w:t>
                  </w:r>
                  <w:r>
                    <w:rPr>
                      <w:rFonts w:ascii="宋体" w:hAnsi="宋体" w:cs="Times New Roman"/>
                      <w:kern w:val="0"/>
                      <w:sz w:val="21"/>
                      <w:szCs w:val="21"/>
                    </w:rPr>
                    <w:t>不会导致突破区域水资源管理控制指标</w:t>
                  </w:r>
                  <w:r>
                    <w:rPr>
                      <w:rFonts w:hint="eastAsia" w:ascii="宋体" w:hAnsi="宋体" w:cs="Times New Roman"/>
                      <w:kern w:val="0"/>
                      <w:sz w:val="21"/>
                      <w:szCs w:val="21"/>
                    </w:rPr>
                    <w:t>。</w:t>
                  </w:r>
                </w:p>
              </w:tc>
              <w:tc>
                <w:tcPr>
                  <w:tcW w:w="408" w:type="pct"/>
                  <w:vAlign w:val="center"/>
                </w:tcPr>
                <w:p w14:paraId="4D59B50A">
                  <w:pPr>
                    <w:jc w:val="center"/>
                    <w:rPr>
                      <w:rFonts w:hint="eastAsia" w:ascii="宋体" w:hAnsi="宋体" w:cs="Times New Roman"/>
                      <w:kern w:val="0"/>
                      <w:sz w:val="21"/>
                      <w:szCs w:val="21"/>
                    </w:rPr>
                  </w:pPr>
                  <w:r>
                    <w:rPr>
                      <w:rFonts w:ascii="宋体" w:hAnsi="宋体" w:cs="Times New Roman"/>
                      <w:kern w:val="0"/>
                      <w:sz w:val="21"/>
                      <w:szCs w:val="21"/>
                    </w:rPr>
                    <w:t>符合</w:t>
                  </w:r>
                </w:p>
              </w:tc>
            </w:tr>
            <w:tr w14:paraId="5DBB5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5" w:type="pct"/>
                  <w:vMerge w:val="continue"/>
                  <w:vAlign w:val="center"/>
                </w:tcPr>
                <w:p w14:paraId="107632D3">
                  <w:pPr>
                    <w:jc w:val="center"/>
                    <w:rPr>
                      <w:rFonts w:hint="eastAsia" w:ascii="宋体" w:hAnsi="宋体" w:cs="Times New Roman"/>
                      <w:kern w:val="0"/>
                      <w:sz w:val="21"/>
                      <w:szCs w:val="21"/>
                    </w:rPr>
                  </w:pPr>
                </w:p>
              </w:tc>
              <w:tc>
                <w:tcPr>
                  <w:tcW w:w="280" w:type="pct"/>
                  <w:vAlign w:val="center"/>
                </w:tcPr>
                <w:p w14:paraId="21887A08">
                  <w:pPr>
                    <w:jc w:val="center"/>
                    <w:rPr>
                      <w:rFonts w:hint="eastAsia" w:ascii="宋体" w:hAnsi="宋体" w:cs="Times New Roman"/>
                      <w:kern w:val="0"/>
                      <w:sz w:val="21"/>
                      <w:szCs w:val="21"/>
                    </w:rPr>
                  </w:pPr>
                  <w:r>
                    <w:rPr>
                      <w:rFonts w:ascii="宋体" w:hAnsi="宋体" w:cs="Times New Roman"/>
                      <w:kern w:val="0"/>
                      <w:sz w:val="21"/>
                      <w:szCs w:val="21"/>
                    </w:rPr>
                    <w:t>土地资源</w:t>
                  </w:r>
                </w:p>
              </w:tc>
              <w:tc>
                <w:tcPr>
                  <w:tcW w:w="2749" w:type="pct"/>
                  <w:vAlign w:val="center"/>
                </w:tcPr>
                <w:p w14:paraId="0BBE5349">
                  <w:pPr>
                    <w:rPr>
                      <w:rFonts w:hint="eastAsia" w:ascii="宋体" w:hAnsi="宋体" w:cs="Times New Roman"/>
                      <w:kern w:val="0"/>
                      <w:sz w:val="21"/>
                      <w:szCs w:val="21"/>
                    </w:rPr>
                  </w:pPr>
                  <w:r>
                    <w:rPr>
                      <w:rFonts w:hint="eastAsia" w:ascii="宋体" w:hAnsi="宋体" w:cs="Times New Roman"/>
                      <w:kern w:val="0"/>
                      <w:sz w:val="21"/>
                      <w:szCs w:val="21"/>
                    </w:rPr>
                    <w:t>2025年耕地保有量不低于1059.01平方千米；永久基本农田保护面积不低于708.71平方千米；城镇开发边界控制在184.25平方千米以内</w:t>
                  </w:r>
                  <w:r>
                    <w:rPr>
                      <w:rFonts w:ascii="宋体" w:hAnsi="宋体" w:cs="Times New Roman"/>
                      <w:kern w:val="0"/>
                      <w:sz w:val="21"/>
                      <w:szCs w:val="21"/>
                    </w:rPr>
                    <w:t>。</w:t>
                  </w:r>
                </w:p>
              </w:tc>
              <w:tc>
                <w:tcPr>
                  <w:tcW w:w="1248" w:type="pct"/>
                  <w:vAlign w:val="center"/>
                </w:tcPr>
                <w:p w14:paraId="1F8DCAD9">
                  <w:pPr>
                    <w:rPr>
                      <w:rFonts w:hint="eastAsia" w:ascii="宋体" w:hAnsi="宋体" w:cs="Times New Roman"/>
                      <w:kern w:val="0"/>
                      <w:sz w:val="21"/>
                      <w:szCs w:val="21"/>
                    </w:rPr>
                  </w:pPr>
                  <w:r>
                    <w:rPr>
                      <w:rFonts w:ascii="宋体" w:hAnsi="宋体" w:cs="Times New Roman"/>
                      <w:kern w:val="0"/>
                      <w:sz w:val="21"/>
                      <w:szCs w:val="21"/>
                    </w:rPr>
                    <w:t>本项目</w:t>
                  </w:r>
                  <w:r>
                    <w:rPr>
                      <w:rFonts w:hint="eastAsia" w:ascii="宋体" w:hAnsi="宋体" w:cs="Times New Roman"/>
                      <w:kern w:val="0"/>
                      <w:sz w:val="21"/>
                      <w:szCs w:val="21"/>
                    </w:rPr>
                    <w:t>所用地块土地利用现状为内陆滩涂</w:t>
                  </w:r>
                  <w:r>
                    <w:rPr>
                      <w:rFonts w:ascii="宋体" w:hAnsi="宋体" w:cs="Times New Roman"/>
                      <w:kern w:val="0"/>
                      <w:sz w:val="21"/>
                      <w:szCs w:val="21"/>
                    </w:rPr>
                    <w:t>，不涉及侵占农业生产用地。</w:t>
                  </w:r>
                </w:p>
              </w:tc>
              <w:tc>
                <w:tcPr>
                  <w:tcW w:w="408" w:type="pct"/>
                  <w:vAlign w:val="center"/>
                </w:tcPr>
                <w:p w14:paraId="1DABAA92">
                  <w:pPr>
                    <w:jc w:val="center"/>
                    <w:rPr>
                      <w:rFonts w:hint="eastAsia" w:ascii="宋体" w:hAnsi="宋体" w:cs="Times New Roman"/>
                      <w:kern w:val="0"/>
                      <w:sz w:val="21"/>
                      <w:szCs w:val="21"/>
                    </w:rPr>
                  </w:pPr>
                  <w:r>
                    <w:rPr>
                      <w:rFonts w:ascii="宋体" w:hAnsi="宋体" w:cs="Times New Roman"/>
                      <w:kern w:val="0"/>
                      <w:sz w:val="21"/>
                      <w:szCs w:val="21"/>
                    </w:rPr>
                    <w:t>符合</w:t>
                  </w:r>
                </w:p>
              </w:tc>
            </w:tr>
            <w:tr w14:paraId="2FB81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5" w:type="pct"/>
                  <w:vMerge w:val="continue"/>
                  <w:vAlign w:val="center"/>
                </w:tcPr>
                <w:p w14:paraId="781DCA2C">
                  <w:pPr>
                    <w:jc w:val="center"/>
                    <w:rPr>
                      <w:rFonts w:hint="eastAsia" w:ascii="宋体" w:hAnsi="宋体" w:cs="Times New Roman"/>
                      <w:kern w:val="0"/>
                      <w:sz w:val="21"/>
                      <w:szCs w:val="21"/>
                    </w:rPr>
                  </w:pPr>
                </w:p>
              </w:tc>
              <w:tc>
                <w:tcPr>
                  <w:tcW w:w="280" w:type="pct"/>
                  <w:vAlign w:val="center"/>
                </w:tcPr>
                <w:p w14:paraId="29E1F325">
                  <w:pPr>
                    <w:jc w:val="center"/>
                    <w:rPr>
                      <w:rFonts w:hint="eastAsia" w:ascii="宋体" w:hAnsi="宋体" w:cs="Times New Roman"/>
                      <w:kern w:val="0"/>
                      <w:sz w:val="21"/>
                      <w:szCs w:val="21"/>
                    </w:rPr>
                  </w:pPr>
                  <w:r>
                    <w:rPr>
                      <w:rFonts w:ascii="宋体" w:hAnsi="宋体" w:cs="Times New Roman"/>
                      <w:kern w:val="0"/>
                      <w:sz w:val="21"/>
                      <w:szCs w:val="21"/>
                    </w:rPr>
                    <w:t>能源</w:t>
                  </w:r>
                </w:p>
              </w:tc>
              <w:tc>
                <w:tcPr>
                  <w:tcW w:w="2749" w:type="pct"/>
                  <w:vAlign w:val="center"/>
                </w:tcPr>
                <w:p w14:paraId="5C39A157">
                  <w:pPr>
                    <w:rPr>
                      <w:rFonts w:hint="eastAsia" w:ascii="宋体" w:hAnsi="宋体" w:cs="Times New Roman"/>
                      <w:kern w:val="0"/>
                      <w:sz w:val="21"/>
                      <w:szCs w:val="21"/>
                    </w:rPr>
                  </w:pPr>
                  <w:r>
                    <w:rPr>
                      <w:rFonts w:hint="eastAsia" w:ascii="宋体" w:hAnsi="宋体" w:cs="Times New Roman"/>
                      <w:kern w:val="0"/>
                      <w:sz w:val="21"/>
                      <w:szCs w:val="21"/>
                    </w:rPr>
                    <w:t>2025年煤炭消费总量控制在451.74万吨以内，非化石能源消费比重达到15%</w:t>
                  </w:r>
                  <w:r>
                    <w:rPr>
                      <w:rFonts w:ascii="宋体" w:hAnsi="宋体" w:cs="Times New Roman"/>
                      <w:kern w:val="0"/>
                      <w:sz w:val="21"/>
                      <w:szCs w:val="21"/>
                    </w:rPr>
                    <w:t>。</w:t>
                  </w:r>
                </w:p>
              </w:tc>
              <w:tc>
                <w:tcPr>
                  <w:tcW w:w="1248" w:type="pct"/>
                  <w:vAlign w:val="center"/>
                </w:tcPr>
                <w:p w14:paraId="29EF6AB6">
                  <w:pPr>
                    <w:rPr>
                      <w:rFonts w:hint="eastAsia" w:ascii="宋体" w:hAnsi="宋体" w:cs="Times New Roman"/>
                      <w:kern w:val="0"/>
                      <w:sz w:val="21"/>
                      <w:szCs w:val="21"/>
                    </w:rPr>
                  </w:pPr>
                  <w:r>
                    <w:rPr>
                      <w:rFonts w:hint="eastAsia" w:ascii="宋体" w:hAnsi="宋体" w:cs="Times New Roman"/>
                      <w:kern w:val="0"/>
                      <w:sz w:val="21"/>
                      <w:szCs w:val="21"/>
                    </w:rPr>
                    <w:t>本项目不涉及煤炭消费。</w:t>
                  </w:r>
                </w:p>
              </w:tc>
              <w:tc>
                <w:tcPr>
                  <w:tcW w:w="408" w:type="pct"/>
                  <w:vAlign w:val="center"/>
                </w:tcPr>
                <w:p w14:paraId="60DD955E">
                  <w:pPr>
                    <w:jc w:val="center"/>
                    <w:rPr>
                      <w:rFonts w:hint="eastAsia" w:ascii="宋体" w:hAnsi="宋体" w:cs="Times New Roman"/>
                      <w:kern w:val="0"/>
                      <w:sz w:val="21"/>
                      <w:szCs w:val="21"/>
                    </w:rPr>
                  </w:pPr>
                  <w:r>
                    <w:rPr>
                      <w:rFonts w:ascii="宋体" w:hAnsi="宋体" w:cs="Times New Roman"/>
                      <w:kern w:val="0"/>
                      <w:sz w:val="21"/>
                      <w:szCs w:val="21"/>
                    </w:rPr>
                    <w:t>符合</w:t>
                  </w:r>
                </w:p>
              </w:tc>
            </w:tr>
            <w:tr w14:paraId="2FE32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4500199B">
                  <w:pPr>
                    <w:jc w:val="center"/>
                    <w:rPr>
                      <w:rFonts w:hint="eastAsia" w:ascii="宋体" w:hAnsi="宋体" w:cs="Times New Roman"/>
                      <w:kern w:val="0"/>
                      <w:sz w:val="21"/>
                      <w:szCs w:val="21"/>
                    </w:rPr>
                  </w:pPr>
                  <w:r>
                    <w:rPr>
                      <w:rFonts w:hint="eastAsia" w:ascii="宋体" w:hAnsi="宋体" w:cs="Times New Roman"/>
                      <w:b/>
                      <w:bCs/>
                      <w:kern w:val="0"/>
                      <w:sz w:val="21"/>
                      <w:szCs w:val="21"/>
                    </w:rPr>
                    <w:t>所在管控单元生态环境准入清单</w:t>
                  </w:r>
                </w:p>
              </w:tc>
            </w:tr>
            <w:tr w14:paraId="0488B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gridSpan w:val="2"/>
                  <w:vAlign w:val="center"/>
                </w:tcPr>
                <w:p w14:paraId="3901C4BA">
                  <w:pPr>
                    <w:jc w:val="center"/>
                    <w:rPr>
                      <w:rFonts w:hint="eastAsia" w:ascii="宋体" w:hAnsi="宋体" w:cs="Times New Roman"/>
                      <w:kern w:val="0"/>
                      <w:sz w:val="21"/>
                      <w:szCs w:val="21"/>
                    </w:rPr>
                  </w:pPr>
                  <w:r>
                    <w:rPr>
                      <w:rFonts w:hint="eastAsia" w:ascii="宋体" w:hAnsi="宋体" w:cs="Times New Roman"/>
                      <w:kern w:val="0"/>
                      <w:sz w:val="21"/>
                      <w:szCs w:val="21"/>
                    </w:rPr>
                    <w:t>空间布局约束</w:t>
                  </w:r>
                </w:p>
              </w:tc>
              <w:tc>
                <w:tcPr>
                  <w:tcW w:w="2749" w:type="pct"/>
                  <w:vAlign w:val="center"/>
                </w:tcPr>
                <w:p w14:paraId="13E4E88B">
                  <w:pPr>
                    <w:rPr>
                      <w:rFonts w:hint="eastAsia" w:ascii="宋体" w:hAnsi="宋体" w:cs="Times New Roman"/>
                      <w:kern w:val="0"/>
                      <w:sz w:val="21"/>
                      <w:szCs w:val="21"/>
                    </w:rPr>
                  </w:pPr>
                  <w:r>
                    <w:rPr>
                      <w:rFonts w:hint="eastAsia" w:ascii="宋体" w:hAnsi="宋体" w:cs="Times New Roman"/>
                      <w:kern w:val="0"/>
                      <w:sz w:val="21"/>
                      <w:szCs w:val="21"/>
                    </w:rPr>
                    <w:t>1、除在安全或者产业布局等方面有特殊要求的项目外，宜避免大规模排放大气污染物的项目布局建设。</w:t>
                  </w:r>
                </w:p>
                <w:p w14:paraId="4FB9CF39">
                  <w:pPr>
                    <w:rPr>
                      <w:rFonts w:hint="eastAsia" w:ascii="宋体" w:hAnsi="宋体" w:cs="Times New Roman"/>
                      <w:kern w:val="0"/>
                      <w:sz w:val="21"/>
                      <w:szCs w:val="21"/>
                    </w:rPr>
                  </w:pPr>
                  <w:r>
                    <w:rPr>
                      <w:rFonts w:hint="eastAsia" w:ascii="宋体" w:hAnsi="宋体" w:cs="Times New Roman"/>
                      <w:kern w:val="0"/>
                      <w:sz w:val="21"/>
                      <w:szCs w:val="21"/>
                    </w:rPr>
                    <w:t>2、重点矿区严格矿山地质环境保护准入管理，新建矿山矿产资源开发利用方案与矿山地质环境保护与土地复垦方案同步编制、同步审查、同步实施，编制绿色矿山建设实施方案。采矿权人应当严格执行经批准的矿山地质环境保护与土地复垦方案，开采矿产资源造成矿山地质环境破坏的，由采矿权人负责治理恢复。</w:t>
                  </w:r>
                </w:p>
              </w:tc>
              <w:tc>
                <w:tcPr>
                  <w:tcW w:w="1248" w:type="pct"/>
                  <w:vAlign w:val="center"/>
                </w:tcPr>
                <w:p w14:paraId="264F966D">
                  <w:pPr>
                    <w:rPr>
                      <w:rFonts w:hint="eastAsia" w:ascii="宋体" w:hAnsi="宋体" w:cs="Times New Roman"/>
                      <w:kern w:val="0"/>
                      <w:sz w:val="21"/>
                      <w:szCs w:val="21"/>
                    </w:rPr>
                  </w:pPr>
                  <w:r>
                    <w:rPr>
                      <w:rFonts w:hint="eastAsia" w:ascii="宋体" w:hAnsi="宋体" w:cs="Times New Roman"/>
                      <w:kern w:val="0"/>
                      <w:sz w:val="21"/>
                      <w:szCs w:val="21"/>
                    </w:rPr>
                    <w:t>本项目不涉及前述内容。</w:t>
                  </w:r>
                </w:p>
              </w:tc>
              <w:tc>
                <w:tcPr>
                  <w:tcW w:w="408" w:type="pct"/>
                  <w:vAlign w:val="center"/>
                </w:tcPr>
                <w:p w14:paraId="564A8978">
                  <w:pPr>
                    <w:jc w:val="center"/>
                    <w:rPr>
                      <w:rFonts w:hint="eastAsia" w:ascii="宋体" w:hAnsi="宋体" w:cs="Times New Roman"/>
                      <w:kern w:val="0"/>
                      <w:sz w:val="21"/>
                      <w:szCs w:val="21"/>
                    </w:rPr>
                  </w:pPr>
                  <w:r>
                    <w:rPr>
                      <w:rFonts w:hint="eastAsia" w:ascii="宋体" w:hAnsi="宋体" w:cs="Times New Roman"/>
                      <w:kern w:val="0"/>
                      <w:sz w:val="21"/>
                      <w:szCs w:val="21"/>
                    </w:rPr>
                    <w:t>符合</w:t>
                  </w:r>
                </w:p>
              </w:tc>
            </w:tr>
            <w:tr w14:paraId="5A50A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 w:type="pct"/>
                  <w:gridSpan w:val="2"/>
                  <w:vAlign w:val="center"/>
                </w:tcPr>
                <w:p w14:paraId="0B0BDE4C">
                  <w:pPr>
                    <w:jc w:val="center"/>
                    <w:rPr>
                      <w:rFonts w:hint="eastAsia" w:ascii="宋体" w:hAnsi="宋体" w:cs="Times New Roman"/>
                      <w:kern w:val="0"/>
                      <w:sz w:val="21"/>
                      <w:szCs w:val="21"/>
                    </w:rPr>
                  </w:pPr>
                  <w:r>
                    <w:rPr>
                      <w:rFonts w:hint="eastAsia" w:ascii="宋体" w:hAnsi="宋体" w:cs="Times New Roman"/>
                      <w:kern w:val="0"/>
                      <w:sz w:val="21"/>
                      <w:szCs w:val="21"/>
                    </w:rPr>
                    <w:t>污染物排放管控</w:t>
                  </w:r>
                </w:p>
              </w:tc>
              <w:tc>
                <w:tcPr>
                  <w:tcW w:w="2749" w:type="pct"/>
                  <w:vAlign w:val="center"/>
                </w:tcPr>
                <w:p w14:paraId="615BBD75">
                  <w:pPr>
                    <w:rPr>
                      <w:rFonts w:hint="eastAsia" w:ascii="宋体" w:hAnsi="宋体" w:cs="Times New Roman"/>
                      <w:kern w:val="0"/>
                      <w:sz w:val="21"/>
                      <w:szCs w:val="21"/>
                    </w:rPr>
                  </w:pPr>
                  <w:r>
                    <w:rPr>
                      <w:rFonts w:hint="eastAsia" w:ascii="宋体" w:hAnsi="宋体" w:cs="Times New Roman"/>
                      <w:kern w:val="0"/>
                      <w:sz w:val="21"/>
                      <w:szCs w:val="21"/>
                    </w:rPr>
                    <w:t>1、深入推进秸秆禁烧管控，实行秸秆全域禁烧。加快淘汰老旧车辆；强化道路扬尘控制。2、实施化肥农药减量增效行动和农膜回收行动；采取积极措施，推进养殖业大气氨减排。</w:t>
                  </w:r>
                </w:p>
              </w:tc>
              <w:tc>
                <w:tcPr>
                  <w:tcW w:w="1248" w:type="pct"/>
                  <w:vAlign w:val="center"/>
                </w:tcPr>
                <w:p w14:paraId="17802605">
                  <w:pPr>
                    <w:rPr>
                      <w:rFonts w:hint="eastAsia" w:ascii="宋体" w:hAnsi="宋体" w:cs="Times New Roman"/>
                      <w:kern w:val="0"/>
                      <w:sz w:val="21"/>
                      <w:szCs w:val="21"/>
                    </w:rPr>
                  </w:pPr>
                  <w:r>
                    <w:rPr>
                      <w:rFonts w:hint="eastAsia" w:ascii="宋体" w:hAnsi="宋体" w:cs="Times New Roman"/>
                      <w:kern w:val="0"/>
                      <w:sz w:val="21"/>
                      <w:szCs w:val="21"/>
                    </w:rPr>
                    <w:t>本项目不涉及前述内容。</w:t>
                  </w:r>
                </w:p>
              </w:tc>
              <w:tc>
                <w:tcPr>
                  <w:tcW w:w="408" w:type="pct"/>
                  <w:vAlign w:val="center"/>
                </w:tcPr>
                <w:p w14:paraId="2A3F529A">
                  <w:pPr>
                    <w:jc w:val="center"/>
                    <w:rPr>
                      <w:rFonts w:hint="eastAsia" w:ascii="宋体" w:hAnsi="宋体" w:cs="Times New Roman"/>
                      <w:kern w:val="0"/>
                      <w:sz w:val="21"/>
                      <w:szCs w:val="21"/>
                    </w:rPr>
                  </w:pPr>
                  <w:r>
                    <w:rPr>
                      <w:rFonts w:hint="eastAsia" w:ascii="宋体" w:hAnsi="宋体" w:cs="Times New Roman"/>
                      <w:kern w:val="0"/>
                      <w:sz w:val="21"/>
                      <w:szCs w:val="21"/>
                    </w:rPr>
                    <w:t>符合</w:t>
                  </w:r>
                </w:p>
              </w:tc>
            </w:tr>
          </w:tbl>
          <w:p w14:paraId="6431BC80">
            <w:pPr>
              <w:spacing w:line="360" w:lineRule="auto"/>
              <w:ind w:firstLine="480" w:firstLineChars="200"/>
            </w:pPr>
          </w:p>
          <w:p w14:paraId="631978E7">
            <w:pPr>
              <w:spacing w:line="360" w:lineRule="auto"/>
              <w:ind w:firstLine="480" w:firstLineChars="200"/>
            </w:pPr>
            <w:r>
              <w:rPr>
                <w:rFonts w:hint="eastAsia"/>
              </w:rPr>
              <w:t>综上所述，本项目符合</w:t>
            </w:r>
            <w:r>
              <w:rPr>
                <w:rFonts w:hint="eastAsia"/>
                <w:kern w:val="0"/>
              </w:rPr>
              <w:t>所在地、所在管控单元的生态环境分区</w:t>
            </w:r>
            <w:r>
              <w:rPr>
                <w:rFonts w:hint="eastAsia"/>
              </w:rPr>
              <w:t>的要求。</w:t>
            </w:r>
          </w:p>
          <w:p w14:paraId="6340202A">
            <w:pPr>
              <w:spacing w:line="360" w:lineRule="auto"/>
              <w:ind w:firstLine="480" w:firstLineChars="200"/>
            </w:pPr>
            <w:r>
              <w:rPr>
                <w:rFonts w:hint="eastAsia"/>
              </w:rPr>
              <w:t>3、与法律法规、政策等的相符性分析</w:t>
            </w:r>
          </w:p>
          <w:p w14:paraId="2E1EDAD4">
            <w:pPr>
              <w:spacing w:line="360" w:lineRule="auto"/>
              <w:ind w:firstLine="480" w:firstLineChars="200"/>
            </w:pPr>
            <w:r>
              <w:rPr>
                <w:rFonts w:hint="eastAsia"/>
              </w:rPr>
              <w:t>（1）与《港口建设项目环境影响评价文件审批原则》的相符性分析</w:t>
            </w:r>
          </w:p>
          <w:p w14:paraId="70BDBC3F">
            <w:pPr>
              <w:spacing w:line="360" w:lineRule="auto"/>
              <w:ind w:firstLine="480" w:firstLineChars="200"/>
            </w:pPr>
            <w:r>
              <w:rPr>
                <w:rFonts w:hint="eastAsia"/>
              </w:rPr>
              <w:t>《港口建设项目环境影响评价文件审批原则》适用于沿海、内河港口建设项目环境影响评价文件的审批，本项目参照该《审批原则》中的相关要求执行，本项目与该《审批原则》的相符性分析如下表所示：</w:t>
            </w:r>
          </w:p>
          <w:p w14:paraId="4716D10C">
            <w:pPr>
              <w:spacing w:line="360" w:lineRule="auto"/>
              <w:ind w:firstLine="480" w:firstLineChars="200"/>
            </w:pPr>
          </w:p>
          <w:p w14:paraId="32971FFD">
            <w:pPr>
              <w:spacing w:line="360" w:lineRule="auto"/>
              <w:jc w:val="center"/>
              <w:rPr>
                <w:b/>
                <w:bCs/>
              </w:rPr>
            </w:pPr>
            <w:r>
              <w:rPr>
                <w:rFonts w:hint="eastAsia"/>
                <w:b/>
                <w:bCs/>
              </w:rPr>
              <w:t>表5    与《港口建设项目环境影响评价文件审批原则》相符性</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0"/>
              <w:gridCol w:w="2693"/>
              <w:gridCol w:w="671"/>
            </w:tblGrid>
            <w:tr w14:paraId="540565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6AB2FDE8">
                  <w:pPr>
                    <w:jc w:val="center"/>
                    <w:rPr>
                      <w:rFonts w:cs="Times New Roman"/>
                      <w:b/>
                      <w:bCs/>
                      <w:kern w:val="0"/>
                      <w:sz w:val="21"/>
                      <w:szCs w:val="21"/>
                    </w:rPr>
                  </w:pPr>
                  <w:r>
                    <w:rPr>
                      <w:rFonts w:hint="eastAsia" w:cs="Times New Roman"/>
                      <w:b/>
                      <w:bCs/>
                      <w:kern w:val="0"/>
                      <w:sz w:val="21"/>
                      <w:szCs w:val="21"/>
                    </w:rPr>
                    <w:t>《港口建设项目环境影响评价文件审批原则》摘录</w:t>
                  </w:r>
                </w:p>
              </w:tc>
              <w:tc>
                <w:tcPr>
                  <w:tcW w:w="2693" w:type="dxa"/>
                  <w:vAlign w:val="center"/>
                </w:tcPr>
                <w:p w14:paraId="6FC394AE">
                  <w:pPr>
                    <w:jc w:val="center"/>
                    <w:rPr>
                      <w:rFonts w:cs="Times New Roman"/>
                      <w:b/>
                      <w:bCs/>
                      <w:kern w:val="0"/>
                      <w:sz w:val="21"/>
                      <w:szCs w:val="21"/>
                    </w:rPr>
                  </w:pPr>
                  <w:r>
                    <w:rPr>
                      <w:rFonts w:hint="eastAsia" w:cs="Times New Roman"/>
                      <w:b/>
                      <w:bCs/>
                      <w:kern w:val="0"/>
                      <w:sz w:val="21"/>
                      <w:szCs w:val="21"/>
                    </w:rPr>
                    <w:t>本项目</w:t>
                  </w:r>
                </w:p>
              </w:tc>
              <w:tc>
                <w:tcPr>
                  <w:tcW w:w="671" w:type="dxa"/>
                  <w:vAlign w:val="center"/>
                </w:tcPr>
                <w:p w14:paraId="3D2BCA87">
                  <w:pPr>
                    <w:jc w:val="center"/>
                    <w:rPr>
                      <w:rFonts w:cs="Times New Roman"/>
                      <w:b/>
                      <w:bCs/>
                      <w:kern w:val="0"/>
                      <w:sz w:val="21"/>
                      <w:szCs w:val="21"/>
                    </w:rPr>
                  </w:pPr>
                  <w:r>
                    <w:rPr>
                      <w:rFonts w:hint="eastAsia" w:cs="Times New Roman"/>
                      <w:b/>
                      <w:bCs/>
                      <w:kern w:val="0"/>
                      <w:sz w:val="21"/>
                      <w:szCs w:val="21"/>
                    </w:rPr>
                    <w:t>相符性</w:t>
                  </w:r>
                </w:p>
              </w:tc>
            </w:tr>
            <w:tr w14:paraId="671EFD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6E13ABC6">
                  <w:pPr>
                    <w:ind w:firstLine="420" w:firstLineChars="200"/>
                    <w:rPr>
                      <w:rFonts w:cs="Times New Roman"/>
                      <w:kern w:val="0"/>
                      <w:sz w:val="21"/>
                      <w:szCs w:val="21"/>
                    </w:rPr>
                  </w:pPr>
                  <w:r>
                    <w:rPr>
                      <w:rFonts w:hint="eastAsia" w:cs="Times New Roman"/>
                      <w:kern w:val="0"/>
                      <w:sz w:val="21"/>
                      <w:szCs w:val="21"/>
                    </w:rPr>
                    <w:t>项目符合环境保护相关法律法规和政策要求，与主体功能区规划、近岸海域环境功能区划、水环境功能区划、生态功能区划、海洋功能区划、生态环境保护规划、港口总体规划、流域规划等相协调，满足相关规划环评要求。</w:t>
                  </w:r>
                </w:p>
              </w:tc>
              <w:tc>
                <w:tcPr>
                  <w:tcW w:w="2693" w:type="dxa"/>
                  <w:vAlign w:val="center"/>
                </w:tcPr>
                <w:p w14:paraId="03B1C7B0">
                  <w:pPr>
                    <w:ind w:firstLine="420" w:firstLineChars="200"/>
                    <w:rPr>
                      <w:rFonts w:cs="Times New Roman"/>
                      <w:kern w:val="0"/>
                      <w:sz w:val="21"/>
                      <w:szCs w:val="21"/>
                    </w:rPr>
                  </w:pPr>
                  <w:r>
                    <w:rPr>
                      <w:rFonts w:hint="eastAsia" w:cs="Times New Roman"/>
                      <w:kern w:val="0"/>
                      <w:sz w:val="21"/>
                      <w:szCs w:val="21"/>
                    </w:rPr>
                    <w:t>本项目符合主体功能区划、水环境功能区划、当地生态环境保护规划等规划的要求。</w:t>
                  </w:r>
                  <w:r>
                    <w:rPr>
                      <w:rFonts w:hint="eastAsia" w:cs="Times New Roman"/>
                      <w:i/>
                      <w:iCs/>
                      <w:kern w:val="0"/>
                      <w:sz w:val="21"/>
                      <w:szCs w:val="21"/>
                      <w:u w:val="single"/>
                    </w:rPr>
                    <w:t>本项目不违背吉林省港口布局要求，不违背所在流域的整体规划要求。</w:t>
                  </w:r>
                </w:p>
              </w:tc>
              <w:tc>
                <w:tcPr>
                  <w:tcW w:w="671" w:type="dxa"/>
                  <w:vAlign w:val="center"/>
                </w:tcPr>
                <w:p w14:paraId="56466F0C">
                  <w:pPr>
                    <w:jc w:val="center"/>
                    <w:rPr>
                      <w:rFonts w:cs="Times New Roman"/>
                      <w:kern w:val="0"/>
                      <w:sz w:val="21"/>
                      <w:szCs w:val="21"/>
                    </w:rPr>
                  </w:pPr>
                  <w:r>
                    <w:rPr>
                      <w:rFonts w:hint="eastAsia" w:cs="Times New Roman"/>
                      <w:kern w:val="0"/>
                      <w:sz w:val="21"/>
                      <w:szCs w:val="21"/>
                    </w:rPr>
                    <w:t>符合</w:t>
                  </w:r>
                </w:p>
              </w:tc>
            </w:tr>
            <w:tr w14:paraId="48913A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2AEEC3D4">
                  <w:pPr>
                    <w:ind w:firstLine="420" w:firstLineChars="200"/>
                    <w:rPr>
                      <w:rFonts w:cs="Times New Roman"/>
                      <w:kern w:val="0"/>
                      <w:sz w:val="21"/>
                      <w:szCs w:val="21"/>
                    </w:rPr>
                  </w:pPr>
                  <w:r>
                    <w:rPr>
                      <w:rFonts w:hint="eastAsia" w:cs="Times New Roman"/>
                      <w:kern w:val="0"/>
                      <w:sz w:val="21"/>
                      <w:szCs w:val="21"/>
                    </w:rPr>
                    <w:t>项目选址、施工布置不占用自然保护区、风景名胜区、世界文化和自然遗产地、饮用水水源保护区以及其他生态保护红线等环境敏感区中法律法规禁止占用的区域。通过优化项目主要污染源和风险源的平面布置，与居民集中区等环境敏感区的距离科学合理。</w:t>
                  </w:r>
                </w:p>
              </w:tc>
              <w:tc>
                <w:tcPr>
                  <w:tcW w:w="2693" w:type="dxa"/>
                  <w:vAlign w:val="center"/>
                </w:tcPr>
                <w:p w14:paraId="24DB70B0">
                  <w:pPr>
                    <w:ind w:firstLine="420" w:firstLineChars="200"/>
                    <w:rPr>
                      <w:rFonts w:cs="Times New Roman"/>
                      <w:kern w:val="0"/>
                      <w:sz w:val="21"/>
                      <w:szCs w:val="21"/>
                    </w:rPr>
                  </w:pPr>
                  <w:r>
                    <w:rPr>
                      <w:rFonts w:hint="eastAsia" w:cs="Times New Roman"/>
                      <w:kern w:val="0"/>
                      <w:sz w:val="21"/>
                      <w:szCs w:val="21"/>
                    </w:rPr>
                    <w:t>本项目选址、施工布置均不涉及占用前述列出的禁止占用区域，本项目500m范围内无居民集中区等环境敏感区，且本项目与居民集中区之间有山体相隔。</w:t>
                  </w:r>
                </w:p>
              </w:tc>
              <w:tc>
                <w:tcPr>
                  <w:tcW w:w="671" w:type="dxa"/>
                  <w:vAlign w:val="center"/>
                </w:tcPr>
                <w:p w14:paraId="117ECD28">
                  <w:pPr>
                    <w:jc w:val="center"/>
                    <w:rPr>
                      <w:rFonts w:cs="Times New Roman"/>
                      <w:kern w:val="0"/>
                      <w:sz w:val="21"/>
                      <w:szCs w:val="21"/>
                    </w:rPr>
                  </w:pPr>
                  <w:r>
                    <w:rPr>
                      <w:rFonts w:hint="eastAsia" w:cs="Times New Roman"/>
                      <w:kern w:val="0"/>
                      <w:sz w:val="21"/>
                      <w:szCs w:val="21"/>
                    </w:rPr>
                    <w:t>符合</w:t>
                  </w:r>
                </w:p>
              </w:tc>
            </w:tr>
            <w:tr w14:paraId="2732B0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067902E4">
                  <w:pPr>
                    <w:ind w:firstLine="420" w:firstLineChars="200"/>
                    <w:rPr>
                      <w:rFonts w:cs="Times New Roman"/>
                      <w:kern w:val="0"/>
                      <w:sz w:val="21"/>
                      <w:szCs w:val="21"/>
                    </w:rPr>
                  </w:pPr>
                  <w:r>
                    <w:rPr>
                      <w:rFonts w:hint="eastAsia" w:cs="Times New Roman"/>
                      <w:kern w:val="0"/>
                      <w:sz w:val="21"/>
                      <w:szCs w:val="21"/>
                    </w:rPr>
                    <w:t>项目对鱼类等水生生物的洄游通道及“三场”等重要生境、物种多样性及资源量产生不利影响的，提出了工程设计和施工方案优化、施工噪声及振动控制、施工期监控驱赶救助、迁地保护、增殖放流、人工鱼礁及其他生态修复措施。对湿地生态系统结构和功能、河湖生态缓冲带造成不利影响的，提出了优化工程设计、生态修复等措施。对陆域生态造成不利影响的，提出了避让环境敏感区、生态修复等对策。</w:t>
                  </w:r>
                </w:p>
              </w:tc>
              <w:tc>
                <w:tcPr>
                  <w:tcW w:w="2693" w:type="dxa"/>
                  <w:vAlign w:val="center"/>
                </w:tcPr>
                <w:p w14:paraId="6B709707">
                  <w:pPr>
                    <w:ind w:firstLine="420" w:firstLineChars="200"/>
                    <w:rPr>
                      <w:rFonts w:cs="Times New Roman"/>
                      <w:kern w:val="0"/>
                      <w:sz w:val="21"/>
                      <w:szCs w:val="21"/>
                    </w:rPr>
                  </w:pPr>
                  <w:r>
                    <w:rPr>
                      <w:rFonts w:hint="eastAsia" w:cs="Times New Roman"/>
                      <w:kern w:val="0"/>
                      <w:sz w:val="21"/>
                      <w:szCs w:val="21"/>
                    </w:rPr>
                    <w:t>本项目不涉及前述内容。</w:t>
                  </w:r>
                </w:p>
              </w:tc>
              <w:tc>
                <w:tcPr>
                  <w:tcW w:w="671" w:type="dxa"/>
                  <w:vAlign w:val="center"/>
                </w:tcPr>
                <w:p w14:paraId="595EDC35">
                  <w:pPr>
                    <w:jc w:val="center"/>
                    <w:rPr>
                      <w:rFonts w:cs="Times New Roman"/>
                      <w:kern w:val="0"/>
                      <w:sz w:val="21"/>
                      <w:szCs w:val="21"/>
                    </w:rPr>
                  </w:pPr>
                  <w:r>
                    <w:rPr>
                      <w:rFonts w:hint="eastAsia" w:cs="Times New Roman"/>
                      <w:kern w:val="0"/>
                      <w:sz w:val="21"/>
                      <w:szCs w:val="21"/>
                    </w:rPr>
                    <w:t>符合</w:t>
                  </w:r>
                </w:p>
              </w:tc>
            </w:tr>
            <w:tr w14:paraId="48575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5E98B18C">
                  <w:pPr>
                    <w:ind w:firstLine="420" w:firstLineChars="200"/>
                    <w:rPr>
                      <w:rFonts w:cs="Times New Roman"/>
                      <w:kern w:val="0"/>
                      <w:sz w:val="21"/>
                      <w:szCs w:val="21"/>
                    </w:rPr>
                  </w:pPr>
                  <w:r>
                    <w:rPr>
                      <w:rFonts w:hint="eastAsia" w:cs="Times New Roman"/>
                      <w:kern w:val="0"/>
                      <w:sz w:val="21"/>
                      <w:szCs w:val="21"/>
                    </w:rPr>
                    <w:t>项目布置及水工构筑物改变水文情势，造成水体交换、水污染物扩散能力降低且影响水质的，提出了工程优化调整措施。针对冲洗污水、初期雨污水、含尘废水、含油污水、洗箱（罐）废水、生活污水等，提出了收集、处置措施。</w:t>
                  </w:r>
                </w:p>
              </w:tc>
              <w:tc>
                <w:tcPr>
                  <w:tcW w:w="2693" w:type="dxa"/>
                  <w:vAlign w:val="center"/>
                </w:tcPr>
                <w:p w14:paraId="22E024FF">
                  <w:pPr>
                    <w:ind w:firstLine="420" w:firstLineChars="200"/>
                    <w:rPr>
                      <w:rFonts w:cs="Times New Roman"/>
                      <w:i/>
                      <w:iCs/>
                      <w:kern w:val="0"/>
                      <w:sz w:val="21"/>
                      <w:szCs w:val="21"/>
                      <w:u w:val="single"/>
                    </w:rPr>
                  </w:pPr>
                  <w:r>
                    <w:rPr>
                      <w:rFonts w:hint="eastAsia" w:cs="Times New Roman"/>
                      <w:i/>
                      <w:iCs/>
                      <w:kern w:val="0"/>
                      <w:sz w:val="21"/>
                      <w:szCs w:val="21"/>
                      <w:u w:val="single"/>
                    </w:rPr>
                    <w:t>本项目不涉及明显改变水文情势、造成水体交换、水污染物扩散能力降低且影响水质。本项目运营期针对船舶冲洗废水、生活污水提出了集中收集措施，定期清运至临江市污水处理厂统一处理，本项目码头来往船只靠岸后，定期采用移动式吸污车将含油污水抽出，并委托长春市瀚拓工业有限公司处理，不在本项目码头处暂存，本项目不设置收集、暂存措施。</w:t>
                  </w:r>
                </w:p>
              </w:tc>
              <w:tc>
                <w:tcPr>
                  <w:tcW w:w="671" w:type="dxa"/>
                  <w:vAlign w:val="center"/>
                </w:tcPr>
                <w:p w14:paraId="0BF81C03">
                  <w:pPr>
                    <w:jc w:val="center"/>
                    <w:rPr>
                      <w:rFonts w:cs="Times New Roman"/>
                      <w:kern w:val="0"/>
                      <w:sz w:val="21"/>
                      <w:szCs w:val="21"/>
                    </w:rPr>
                  </w:pPr>
                  <w:r>
                    <w:rPr>
                      <w:rFonts w:hint="eastAsia" w:cs="Times New Roman"/>
                      <w:kern w:val="0"/>
                      <w:sz w:val="21"/>
                      <w:szCs w:val="21"/>
                    </w:rPr>
                    <w:t>符合</w:t>
                  </w:r>
                </w:p>
              </w:tc>
            </w:tr>
            <w:tr w14:paraId="7CA7C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5A888504">
                  <w:pPr>
                    <w:ind w:firstLine="420" w:firstLineChars="200"/>
                    <w:rPr>
                      <w:rFonts w:cs="Times New Roman"/>
                      <w:kern w:val="0"/>
                      <w:sz w:val="21"/>
                      <w:szCs w:val="21"/>
                    </w:rPr>
                  </w:pPr>
                  <w:r>
                    <w:rPr>
                      <w:rFonts w:hint="eastAsia" w:cs="Times New Roman"/>
                      <w:kern w:val="0"/>
                      <w:sz w:val="21"/>
                      <w:szCs w:val="21"/>
                    </w:rPr>
                    <w:t>煤炭、矿石等干散货码头项目，综合考虑建设性质、运营方式、货种等特点，针对物料装卸、输送和堆场储存提出了必要可行的封闭工艺优化方案，以及防风抑尘网、喷淋湿式抑尘等措施。油气、化工等液体散货码头项目，提出了必要可行的挥发性气体控制、油气回收处理等措施。散装粮食、木材及其制品等采用熏蒸工艺的，提出了采用符合国家相关规定的工艺、药剂的要求以及控制气体挥发强度的措施。根据国家相关规划或政策规定，提出了配备岸电设施要求。</w:t>
                  </w:r>
                </w:p>
              </w:tc>
              <w:tc>
                <w:tcPr>
                  <w:tcW w:w="2693" w:type="dxa"/>
                  <w:vAlign w:val="center"/>
                </w:tcPr>
                <w:p w14:paraId="4263DB12">
                  <w:pPr>
                    <w:ind w:firstLine="420" w:firstLineChars="200"/>
                    <w:rPr>
                      <w:rFonts w:cs="Times New Roman"/>
                      <w:kern w:val="0"/>
                      <w:sz w:val="21"/>
                      <w:szCs w:val="21"/>
                    </w:rPr>
                  </w:pPr>
                  <w:r>
                    <w:rPr>
                      <w:rFonts w:hint="eastAsia" w:cs="Times New Roman"/>
                      <w:kern w:val="0"/>
                      <w:sz w:val="21"/>
                      <w:szCs w:val="21"/>
                    </w:rPr>
                    <w:t>本项目为工作码头，不涉及各类货物的运输、装卸工序。</w:t>
                  </w:r>
                </w:p>
              </w:tc>
              <w:tc>
                <w:tcPr>
                  <w:tcW w:w="671" w:type="dxa"/>
                  <w:vAlign w:val="center"/>
                </w:tcPr>
                <w:p w14:paraId="0BD81B9B">
                  <w:pPr>
                    <w:jc w:val="center"/>
                    <w:rPr>
                      <w:rFonts w:cs="Times New Roman"/>
                      <w:kern w:val="0"/>
                      <w:sz w:val="21"/>
                      <w:szCs w:val="21"/>
                    </w:rPr>
                  </w:pPr>
                  <w:r>
                    <w:rPr>
                      <w:rFonts w:hint="eastAsia" w:cs="Times New Roman"/>
                      <w:kern w:val="0"/>
                      <w:sz w:val="21"/>
                      <w:szCs w:val="21"/>
                    </w:rPr>
                    <w:t>符合</w:t>
                  </w:r>
                </w:p>
              </w:tc>
            </w:tr>
            <w:tr w14:paraId="1EA952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4BEAE6B5">
                  <w:pPr>
                    <w:ind w:firstLine="420" w:firstLineChars="200"/>
                    <w:rPr>
                      <w:rFonts w:cs="Times New Roman"/>
                      <w:kern w:val="0"/>
                      <w:sz w:val="21"/>
                      <w:szCs w:val="21"/>
                    </w:rPr>
                  </w:pPr>
                  <w:r>
                    <w:rPr>
                      <w:rFonts w:hint="eastAsia" w:cs="Times New Roman"/>
                      <w:kern w:val="0"/>
                      <w:sz w:val="21"/>
                      <w:szCs w:val="21"/>
                    </w:rPr>
                    <w:t>对声环境敏感目标产生不利影响的，提出了优化平面布置、选用低噪声设备、隔声减振等措施。按照国家相关规定，提出了一般固体废物、危险废物的收集、贮存、运输及处置要求。</w:t>
                  </w:r>
                </w:p>
              </w:tc>
              <w:tc>
                <w:tcPr>
                  <w:tcW w:w="2693" w:type="dxa"/>
                  <w:vAlign w:val="center"/>
                </w:tcPr>
                <w:p w14:paraId="0DA17D1B">
                  <w:pPr>
                    <w:ind w:firstLine="420" w:firstLineChars="200"/>
                    <w:rPr>
                      <w:rFonts w:cs="Times New Roman"/>
                      <w:kern w:val="0"/>
                      <w:sz w:val="21"/>
                      <w:szCs w:val="21"/>
                    </w:rPr>
                  </w:pPr>
                  <w:r>
                    <w:rPr>
                      <w:rFonts w:hint="eastAsia" w:cs="Times New Roman"/>
                      <w:kern w:val="0"/>
                      <w:sz w:val="21"/>
                      <w:szCs w:val="21"/>
                    </w:rPr>
                    <w:t>本项目运营期不涉及对区域声环境敏感目标产生不利影响。同时按照国家相关规定，提出了一般固体废物、危险废物的收集、贮存、运输及处置要求。</w:t>
                  </w:r>
                </w:p>
              </w:tc>
              <w:tc>
                <w:tcPr>
                  <w:tcW w:w="671" w:type="dxa"/>
                  <w:vAlign w:val="center"/>
                </w:tcPr>
                <w:p w14:paraId="07493600">
                  <w:pPr>
                    <w:jc w:val="center"/>
                    <w:rPr>
                      <w:rFonts w:cs="Times New Roman"/>
                      <w:kern w:val="0"/>
                      <w:sz w:val="21"/>
                      <w:szCs w:val="21"/>
                    </w:rPr>
                  </w:pPr>
                  <w:r>
                    <w:rPr>
                      <w:rFonts w:hint="eastAsia" w:cs="Times New Roman"/>
                      <w:kern w:val="0"/>
                      <w:sz w:val="21"/>
                      <w:szCs w:val="21"/>
                    </w:rPr>
                    <w:t>符合</w:t>
                  </w:r>
                </w:p>
              </w:tc>
            </w:tr>
            <w:tr w14:paraId="0163B0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60CFC52E">
                  <w:pPr>
                    <w:ind w:firstLine="420" w:firstLineChars="200"/>
                    <w:rPr>
                      <w:rFonts w:cs="Times New Roman"/>
                      <w:kern w:val="0"/>
                      <w:sz w:val="21"/>
                      <w:szCs w:val="21"/>
                    </w:rPr>
                  </w:pPr>
                  <w:r>
                    <w:rPr>
                      <w:rFonts w:hint="eastAsia" w:cs="Times New Roman"/>
                      <w:kern w:val="0"/>
                      <w:sz w:val="21"/>
                      <w:szCs w:val="21"/>
                    </w:rPr>
                    <w:t>根据相关规划和政策要求，提出了船舶污水、船舶垃圾、船舶压载水及沉积物等接收处置措施。</w:t>
                  </w:r>
                </w:p>
              </w:tc>
              <w:tc>
                <w:tcPr>
                  <w:tcW w:w="2693" w:type="dxa"/>
                  <w:vAlign w:val="center"/>
                </w:tcPr>
                <w:p w14:paraId="1DCC6222">
                  <w:pPr>
                    <w:ind w:firstLine="420" w:firstLineChars="200"/>
                    <w:rPr>
                      <w:rFonts w:cs="Times New Roman"/>
                      <w:kern w:val="0"/>
                      <w:sz w:val="21"/>
                      <w:szCs w:val="21"/>
                    </w:rPr>
                  </w:pPr>
                  <w:r>
                    <w:rPr>
                      <w:rFonts w:hint="eastAsia" w:cs="Times New Roman"/>
                      <w:kern w:val="0"/>
                      <w:sz w:val="21"/>
                      <w:szCs w:val="21"/>
                    </w:rPr>
                    <w:t>本项目运营期来往船舶舱底油污水在船内进行油水分离处理后，由移动式吸污车抽出，并送相应单位统一处理。来往船舶垃圾直接交环卫部门处理。本项目不涉及船舶压载水及沉积物。</w:t>
                  </w:r>
                </w:p>
              </w:tc>
              <w:tc>
                <w:tcPr>
                  <w:tcW w:w="671" w:type="dxa"/>
                  <w:vAlign w:val="center"/>
                </w:tcPr>
                <w:p w14:paraId="44DD85D2">
                  <w:pPr>
                    <w:jc w:val="center"/>
                    <w:rPr>
                      <w:rFonts w:cs="Times New Roman"/>
                      <w:kern w:val="0"/>
                      <w:sz w:val="21"/>
                      <w:szCs w:val="21"/>
                    </w:rPr>
                  </w:pPr>
                  <w:r>
                    <w:rPr>
                      <w:rFonts w:hint="eastAsia" w:cs="Times New Roman"/>
                      <w:kern w:val="0"/>
                      <w:sz w:val="21"/>
                      <w:szCs w:val="21"/>
                    </w:rPr>
                    <w:t>符合</w:t>
                  </w:r>
                </w:p>
              </w:tc>
            </w:tr>
            <w:tr w14:paraId="037C4F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6875A3A3">
                  <w:pPr>
                    <w:ind w:firstLine="420" w:firstLineChars="200"/>
                    <w:rPr>
                      <w:rFonts w:cs="Times New Roman"/>
                      <w:kern w:val="0"/>
                      <w:sz w:val="21"/>
                      <w:szCs w:val="21"/>
                    </w:rPr>
                  </w:pPr>
                  <w:r>
                    <w:rPr>
                      <w:rFonts w:hint="eastAsia" w:cs="Times New Roman"/>
                      <w:kern w:val="0"/>
                      <w:sz w:val="21"/>
                      <w:szCs w:val="21"/>
                    </w:rPr>
                    <w:t>项目施工组织方案具有环境合理性，对取、弃土（渣）场、施工场地（道路）等提出了水土流失防治和生态修复等措施。根据环境保护相关标准和要求，对施工期各类废（污）水、废气、噪声、固体废物等提出防治或处置措施。其中，涉水施工对水质造成不利影响的，提出了施工方案优化及悬浮物控制等措施；针对施工产生的疏浚物，提出了符合相关规定的处置或综合利用方案。</w:t>
                  </w:r>
                </w:p>
              </w:tc>
              <w:tc>
                <w:tcPr>
                  <w:tcW w:w="2693" w:type="dxa"/>
                  <w:vAlign w:val="center"/>
                </w:tcPr>
                <w:p w14:paraId="04139F54">
                  <w:pPr>
                    <w:ind w:firstLine="420" w:firstLineChars="200"/>
                    <w:rPr>
                      <w:rFonts w:cs="Times New Roman"/>
                      <w:kern w:val="0"/>
                      <w:sz w:val="21"/>
                      <w:szCs w:val="21"/>
                    </w:rPr>
                  </w:pPr>
                  <w:r>
                    <w:rPr>
                      <w:rFonts w:hint="eastAsia" w:cs="Times New Roman"/>
                      <w:kern w:val="0"/>
                      <w:sz w:val="21"/>
                      <w:szCs w:val="21"/>
                    </w:rPr>
                    <w:t>本项目施工期较短，且不设置弃土（渣）场，本项目施工过程中港池疏浚产生的疏浚物全部用于陆域回填。</w:t>
                  </w:r>
                </w:p>
              </w:tc>
              <w:tc>
                <w:tcPr>
                  <w:tcW w:w="671" w:type="dxa"/>
                  <w:vAlign w:val="center"/>
                </w:tcPr>
                <w:p w14:paraId="7FD402CC">
                  <w:pPr>
                    <w:jc w:val="center"/>
                    <w:rPr>
                      <w:rFonts w:cs="Times New Roman"/>
                      <w:kern w:val="0"/>
                      <w:sz w:val="21"/>
                      <w:szCs w:val="21"/>
                    </w:rPr>
                  </w:pPr>
                  <w:r>
                    <w:rPr>
                      <w:rFonts w:hint="eastAsia" w:cs="Times New Roman"/>
                      <w:kern w:val="0"/>
                      <w:sz w:val="21"/>
                      <w:szCs w:val="21"/>
                    </w:rPr>
                    <w:t>符合</w:t>
                  </w:r>
                </w:p>
              </w:tc>
            </w:tr>
            <w:tr w14:paraId="511F99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53040553">
                  <w:pPr>
                    <w:ind w:firstLine="420" w:firstLineChars="200"/>
                    <w:rPr>
                      <w:rFonts w:cs="Times New Roman"/>
                      <w:kern w:val="0"/>
                      <w:sz w:val="21"/>
                      <w:szCs w:val="21"/>
                    </w:rPr>
                  </w:pPr>
                  <w:r>
                    <w:rPr>
                      <w:rFonts w:hint="eastAsia" w:cs="Times New Roman"/>
                      <w:kern w:val="0"/>
                      <w:sz w:val="21"/>
                      <w:szCs w:val="21"/>
                    </w:rPr>
                    <w:t>针对码头、港区航道等存在的溢油或危险化学品泄漏等环境风险，提出了工程防控、应急资源配备、事故池、事故污水处置等风险防范措施，以及环境应急预案编制、与地方人民政府及相关部门、有关单位建立应急联动机制等要求。</w:t>
                  </w:r>
                </w:p>
              </w:tc>
              <w:tc>
                <w:tcPr>
                  <w:tcW w:w="2693" w:type="dxa"/>
                  <w:vAlign w:val="center"/>
                </w:tcPr>
                <w:p w14:paraId="5C4D10BA">
                  <w:pPr>
                    <w:ind w:firstLine="420" w:firstLineChars="200"/>
                    <w:rPr>
                      <w:rFonts w:cs="Times New Roman"/>
                      <w:kern w:val="0"/>
                      <w:sz w:val="21"/>
                      <w:szCs w:val="21"/>
                    </w:rPr>
                  </w:pPr>
                  <w:r>
                    <w:rPr>
                      <w:rFonts w:hint="eastAsia" w:cs="Times New Roman"/>
                      <w:kern w:val="0"/>
                      <w:sz w:val="21"/>
                      <w:szCs w:val="21"/>
                    </w:rPr>
                    <w:t>本项目建成后，将严格按照国家有关要求开展突发环境事件应急预案编制、配备应急物质等应急管理工作。</w:t>
                  </w:r>
                </w:p>
              </w:tc>
              <w:tc>
                <w:tcPr>
                  <w:tcW w:w="671" w:type="dxa"/>
                  <w:vAlign w:val="center"/>
                </w:tcPr>
                <w:p w14:paraId="138785AA">
                  <w:pPr>
                    <w:jc w:val="center"/>
                    <w:rPr>
                      <w:rFonts w:cs="Times New Roman"/>
                      <w:kern w:val="0"/>
                      <w:sz w:val="21"/>
                      <w:szCs w:val="21"/>
                    </w:rPr>
                  </w:pPr>
                  <w:r>
                    <w:rPr>
                      <w:rFonts w:hint="eastAsia" w:cs="Times New Roman"/>
                      <w:kern w:val="0"/>
                      <w:sz w:val="21"/>
                      <w:szCs w:val="21"/>
                    </w:rPr>
                    <w:t>符合</w:t>
                  </w:r>
                </w:p>
              </w:tc>
            </w:tr>
            <w:tr w14:paraId="652435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444846C8">
                  <w:pPr>
                    <w:ind w:firstLine="420" w:firstLineChars="200"/>
                    <w:rPr>
                      <w:rFonts w:cs="Times New Roman"/>
                      <w:kern w:val="0"/>
                      <w:sz w:val="21"/>
                      <w:szCs w:val="21"/>
                    </w:rPr>
                  </w:pPr>
                  <w:r>
                    <w:rPr>
                      <w:rFonts w:hint="eastAsia" w:cs="Times New Roman"/>
                      <w:kern w:val="0"/>
                      <w:sz w:val="21"/>
                      <w:szCs w:val="21"/>
                    </w:rPr>
                    <w:t>按相关导则及规定要求，制定了水生生态、水环境、大气环境、噪声等环境监测计划，明确了监测网点、因子、频次等有关要求，提出了开展环境影响后评价、根据监测评估结果优化环境保护措施的要求。根据需要和相关规定，提出了环境保护设计、开展相关科学研究、环境管理等要求。</w:t>
                  </w:r>
                </w:p>
              </w:tc>
              <w:tc>
                <w:tcPr>
                  <w:tcW w:w="2693" w:type="dxa"/>
                  <w:vAlign w:val="center"/>
                </w:tcPr>
                <w:p w14:paraId="23D04884">
                  <w:pPr>
                    <w:ind w:firstLine="420" w:firstLineChars="200"/>
                    <w:rPr>
                      <w:rFonts w:cs="Times New Roman"/>
                      <w:kern w:val="0"/>
                      <w:sz w:val="21"/>
                      <w:szCs w:val="21"/>
                    </w:rPr>
                  </w:pPr>
                  <w:r>
                    <w:rPr>
                      <w:rFonts w:hint="eastAsia" w:cs="Times New Roman"/>
                      <w:kern w:val="0"/>
                      <w:sz w:val="21"/>
                      <w:szCs w:val="21"/>
                    </w:rPr>
                    <w:t>本次评价严格按照国家有关要求，制定并实施水生生态、水环境、大气环境、噪声等环境监测计划。</w:t>
                  </w:r>
                </w:p>
              </w:tc>
              <w:tc>
                <w:tcPr>
                  <w:tcW w:w="671" w:type="dxa"/>
                  <w:vAlign w:val="center"/>
                </w:tcPr>
                <w:p w14:paraId="087AABF9">
                  <w:pPr>
                    <w:jc w:val="center"/>
                    <w:rPr>
                      <w:rFonts w:cs="Times New Roman"/>
                      <w:kern w:val="0"/>
                      <w:sz w:val="21"/>
                      <w:szCs w:val="21"/>
                    </w:rPr>
                  </w:pPr>
                  <w:r>
                    <w:rPr>
                      <w:rFonts w:hint="eastAsia" w:cs="Times New Roman"/>
                      <w:kern w:val="0"/>
                      <w:sz w:val="21"/>
                      <w:szCs w:val="21"/>
                    </w:rPr>
                    <w:t>符合</w:t>
                  </w:r>
                </w:p>
              </w:tc>
            </w:tr>
            <w:tr w14:paraId="0737D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0" w:type="dxa"/>
                  <w:vAlign w:val="center"/>
                </w:tcPr>
                <w:p w14:paraId="39343BC7">
                  <w:pPr>
                    <w:ind w:firstLine="420" w:firstLineChars="200"/>
                    <w:rPr>
                      <w:rFonts w:cs="Times New Roman"/>
                      <w:kern w:val="0"/>
                      <w:sz w:val="21"/>
                      <w:szCs w:val="21"/>
                    </w:rPr>
                  </w:pPr>
                  <w:r>
                    <w:rPr>
                      <w:rFonts w:hint="eastAsia" w:cs="Times New Roman"/>
                      <w:kern w:val="0"/>
                      <w:sz w:val="21"/>
                      <w:szCs w:val="21"/>
                    </w:rPr>
                    <w:t>按相关规定开展了信息公开和公众参与。</w:t>
                  </w:r>
                </w:p>
              </w:tc>
              <w:tc>
                <w:tcPr>
                  <w:tcW w:w="2693" w:type="dxa"/>
                  <w:vAlign w:val="center"/>
                </w:tcPr>
                <w:p w14:paraId="23E613DE">
                  <w:pPr>
                    <w:ind w:firstLine="420" w:firstLineChars="200"/>
                    <w:rPr>
                      <w:rFonts w:cs="Times New Roman"/>
                      <w:kern w:val="0"/>
                      <w:sz w:val="21"/>
                      <w:szCs w:val="21"/>
                    </w:rPr>
                  </w:pPr>
                  <w:r>
                    <w:rPr>
                      <w:rFonts w:hint="eastAsia" w:cs="Times New Roman"/>
                      <w:kern w:val="0"/>
                      <w:sz w:val="21"/>
                      <w:szCs w:val="21"/>
                    </w:rPr>
                    <w:t>按照《环境影响评价公众参与办法》，本项目无需开展公众参与调查。</w:t>
                  </w:r>
                </w:p>
              </w:tc>
              <w:tc>
                <w:tcPr>
                  <w:tcW w:w="671" w:type="dxa"/>
                  <w:vAlign w:val="center"/>
                </w:tcPr>
                <w:p w14:paraId="4C94E591">
                  <w:pPr>
                    <w:jc w:val="center"/>
                    <w:rPr>
                      <w:rFonts w:cs="Times New Roman"/>
                      <w:kern w:val="0"/>
                      <w:sz w:val="21"/>
                      <w:szCs w:val="21"/>
                    </w:rPr>
                  </w:pPr>
                  <w:r>
                    <w:rPr>
                      <w:rFonts w:hint="eastAsia" w:cs="Times New Roman"/>
                      <w:kern w:val="0"/>
                      <w:sz w:val="21"/>
                      <w:szCs w:val="21"/>
                    </w:rPr>
                    <w:t>符合</w:t>
                  </w:r>
                </w:p>
              </w:tc>
            </w:tr>
          </w:tbl>
          <w:p w14:paraId="03F9EF9A">
            <w:pPr>
              <w:spacing w:line="360" w:lineRule="auto"/>
              <w:ind w:firstLine="480" w:firstLineChars="200"/>
            </w:pPr>
          </w:p>
          <w:p w14:paraId="266988AA">
            <w:pPr>
              <w:spacing w:line="360" w:lineRule="auto"/>
              <w:ind w:firstLine="480" w:firstLineChars="200"/>
            </w:pPr>
            <w:r>
              <w:rPr>
                <w:rFonts w:hint="eastAsia"/>
              </w:rPr>
              <w:t>可见，本项目符合《港口建设项目环境影响评价文件审批原则》的要求。</w:t>
            </w:r>
          </w:p>
          <w:p w14:paraId="39ACB18F">
            <w:pPr>
              <w:spacing w:line="360" w:lineRule="auto"/>
              <w:ind w:firstLine="480" w:firstLineChars="200"/>
            </w:pPr>
            <w:r>
              <w:rPr>
                <w:rFonts w:hint="eastAsia"/>
              </w:rPr>
              <w:t>（2）与《吉林省大气污染防治条例》的相符性分析</w:t>
            </w:r>
          </w:p>
          <w:p w14:paraId="31247F96">
            <w:pPr>
              <w:spacing w:line="360" w:lineRule="auto"/>
              <w:ind w:firstLine="480" w:firstLineChars="200"/>
            </w:pPr>
            <w:r>
              <w:rPr>
                <w:rFonts w:hint="eastAsia"/>
              </w:rPr>
              <w:t>2022年7月28日吉林省第十三届人民代表大会常务委员会第三十五次会议修订《吉林省大气污染防治条例》，本项目与该《条例》的相符性分析如下：</w:t>
            </w:r>
          </w:p>
          <w:p w14:paraId="603F5FA7">
            <w:pPr>
              <w:spacing w:line="360" w:lineRule="auto"/>
              <w:ind w:firstLine="480" w:firstLineChars="200"/>
            </w:pPr>
          </w:p>
          <w:p w14:paraId="7A45726A">
            <w:pPr>
              <w:autoSpaceDE w:val="0"/>
              <w:autoSpaceDN w:val="0"/>
              <w:adjustRightInd w:val="0"/>
              <w:snapToGrid w:val="0"/>
              <w:spacing w:line="360" w:lineRule="auto"/>
              <w:jc w:val="center"/>
              <w:rPr>
                <w:b/>
                <w:bCs/>
                <w:kern w:val="0"/>
              </w:rPr>
            </w:pPr>
            <w:r>
              <w:rPr>
                <w:b/>
                <w:bCs/>
                <w:kern w:val="0"/>
              </w:rPr>
              <w:t>表</w:t>
            </w:r>
            <w:r>
              <w:rPr>
                <w:rFonts w:hint="eastAsia"/>
                <w:b/>
                <w:bCs/>
                <w:kern w:val="0"/>
              </w:rPr>
              <w:t>6</w:t>
            </w:r>
            <w:r>
              <w:rPr>
                <w:b/>
                <w:bCs/>
                <w:kern w:val="0"/>
              </w:rPr>
              <w:t xml:space="preserve">    与《</w:t>
            </w:r>
            <w:r>
              <w:rPr>
                <w:rFonts w:hint="eastAsia"/>
                <w:b/>
                <w:bCs/>
                <w:kern w:val="0"/>
              </w:rPr>
              <w:t>吉林省大气污染防治条例</w:t>
            </w:r>
            <w:r>
              <w:rPr>
                <w:b/>
                <w:bCs/>
                <w:kern w:val="0"/>
              </w:rPr>
              <w:t>》符合性</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6"/>
              <w:gridCol w:w="2836"/>
              <w:gridCol w:w="822"/>
            </w:tblGrid>
            <w:tr w14:paraId="5491A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pct"/>
                  <w:vAlign w:val="center"/>
                </w:tcPr>
                <w:p w14:paraId="55434A29">
                  <w:pPr>
                    <w:adjustRightInd w:val="0"/>
                    <w:snapToGrid w:val="0"/>
                    <w:jc w:val="center"/>
                    <w:rPr>
                      <w:b/>
                      <w:sz w:val="21"/>
                      <w:szCs w:val="18"/>
                    </w:rPr>
                  </w:pPr>
                  <w:r>
                    <w:rPr>
                      <w:b/>
                      <w:bCs/>
                      <w:sz w:val="21"/>
                      <w:szCs w:val="18"/>
                    </w:rPr>
                    <w:t>《</w:t>
                  </w:r>
                  <w:r>
                    <w:rPr>
                      <w:rFonts w:hint="eastAsia"/>
                      <w:b/>
                      <w:bCs/>
                      <w:sz w:val="21"/>
                      <w:szCs w:val="18"/>
                    </w:rPr>
                    <w:t>吉林省大气污染防治条例</w:t>
                  </w:r>
                  <w:r>
                    <w:rPr>
                      <w:b/>
                      <w:bCs/>
                      <w:sz w:val="21"/>
                      <w:szCs w:val="18"/>
                    </w:rPr>
                    <w:t>》摘录</w:t>
                  </w:r>
                </w:p>
              </w:tc>
              <w:tc>
                <w:tcPr>
                  <w:tcW w:w="1860" w:type="pct"/>
                  <w:vAlign w:val="center"/>
                </w:tcPr>
                <w:p w14:paraId="1180F844">
                  <w:pPr>
                    <w:adjustRightInd w:val="0"/>
                    <w:snapToGrid w:val="0"/>
                    <w:jc w:val="center"/>
                    <w:rPr>
                      <w:b/>
                      <w:sz w:val="21"/>
                      <w:szCs w:val="18"/>
                    </w:rPr>
                  </w:pPr>
                  <w:r>
                    <w:rPr>
                      <w:rFonts w:hint="eastAsia"/>
                      <w:b/>
                      <w:sz w:val="21"/>
                      <w:szCs w:val="18"/>
                    </w:rPr>
                    <w:t>本项目</w:t>
                  </w:r>
                </w:p>
              </w:tc>
              <w:tc>
                <w:tcPr>
                  <w:tcW w:w="539" w:type="pct"/>
                  <w:vAlign w:val="center"/>
                </w:tcPr>
                <w:p w14:paraId="1BC0F55D">
                  <w:pPr>
                    <w:adjustRightInd w:val="0"/>
                    <w:snapToGrid w:val="0"/>
                    <w:jc w:val="center"/>
                    <w:rPr>
                      <w:b/>
                      <w:sz w:val="21"/>
                      <w:szCs w:val="18"/>
                    </w:rPr>
                  </w:pPr>
                  <w:r>
                    <w:rPr>
                      <w:rFonts w:hint="eastAsia"/>
                      <w:b/>
                      <w:sz w:val="21"/>
                      <w:szCs w:val="18"/>
                    </w:rPr>
                    <w:t>相符性</w:t>
                  </w:r>
                </w:p>
              </w:tc>
            </w:tr>
            <w:tr w14:paraId="21244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pct"/>
                </w:tcPr>
                <w:p w14:paraId="73D2DEF0">
                  <w:pPr>
                    <w:adjustRightInd w:val="0"/>
                    <w:snapToGrid w:val="0"/>
                    <w:ind w:firstLine="420" w:firstLineChars="200"/>
                    <w:rPr>
                      <w:bCs/>
                      <w:sz w:val="21"/>
                      <w:szCs w:val="18"/>
                    </w:rPr>
                  </w:pPr>
                  <w:r>
                    <w:rPr>
                      <w:rFonts w:hint="eastAsia"/>
                      <w:bCs/>
                      <w:sz w:val="21"/>
                      <w:szCs w:val="18"/>
                    </w:rPr>
                    <w:t>施工单位应当在施工工地设置硬质围挡，并采取覆盖、分段作业、择时施工、洒水抑尘、冲洗或者清理地面和车辆等有效防尘降尘措施。建筑土方、工程渣土、建筑垃圾应当及时清运；在场地内堆存的，应当采用密闭式防尘网遮盖。工程渣土、建筑垃圾应当进行资源化处理。</w:t>
                  </w:r>
                </w:p>
              </w:tc>
              <w:tc>
                <w:tcPr>
                  <w:tcW w:w="1860" w:type="pct"/>
                </w:tcPr>
                <w:p w14:paraId="7BBF960B">
                  <w:pPr>
                    <w:adjustRightInd w:val="0"/>
                    <w:snapToGrid w:val="0"/>
                    <w:ind w:firstLine="420" w:firstLineChars="200"/>
                    <w:rPr>
                      <w:sz w:val="21"/>
                      <w:szCs w:val="18"/>
                    </w:rPr>
                  </w:pPr>
                  <w:r>
                    <w:rPr>
                      <w:rFonts w:hint="eastAsia"/>
                      <w:sz w:val="21"/>
                      <w:szCs w:val="18"/>
                    </w:rPr>
                    <w:t>本项目施工过程中将采取围挡、覆盖、洒水抑尘等措施，合理利用、处置工程渣土、建筑垃圾，最大限度的降低施工扬尘对区域环境空气的影响。</w:t>
                  </w:r>
                </w:p>
              </w:tc>
              <w:tc>
                <w:tcPr>
                  <w:tcW w:w="539" w:type="pct"/>
                  <w:vAlign w:val="center"/>
                </w:tcPr>
                <w:p w14:paraId="7FEC23BF">
                  <w:pPr>
                    <w:adjustRightInd w:val="0"/>
                    <w:snapToGrid w:val="0"/>
                    <w:jc w:val="center"/>
                    <w:rPr>
                      <w:sz w:val="21"/>
                      <w:szCs w:val="18"/>
                    </w:rPr>
                  </w:pPr>
                  <w:r>
                    <w:rPr>
                      <w:rFonts w:hint="eastAsia"/>
                      <w:sz w:val="21"/>
                      <w:szCs w:val="18"/>
                    </w:rPr>
                    <w:t>符合</w:t>
                  </w:r>
                </w:p>
              </w:tc>
            </w:tr>
            <w:tr w14:paraId="1AC08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pct"/>
                </w:tcPr>
                <w:p w14:paraId="08600486">
                  <w:pPr>
                    <w:adjustRightInd w:val="0"/>
                    <w:snapToGrid w:val="0"/>
                    <w:ind w:firstLine="420" w:firstLineChars="200"/>
                    <w:rPr>
                      <w:bCs/>
                      <w:sz w:val="21"/>
                      <w:szCs w:val="18"/>
                    </w:rPr>
                  </w:pPr>
                  <w:r>
                    <w:rPr>
                      <w:rFonts w:hint="eastAsia"/>
                      <w:bCs/>
                      <w:sz w:val="21"/>
                      <w:szCs w:val="18"/>
                    </w:rPr>
                    <w:t>钢铁、火电、建材等企业和建设工地的物料堆放场所应当按照要求进行地面硬化，并采取密闭、围挡、遮盖、喷淋、绿化、设置防风抑尘网等措施。</w:t>
                  </w:r>
                </w:p>
              </w:tc>
              <w:tc>
                <w:tcPr>
                  <w:tcW w:w="1860" w:type="pct"/>
                </w:tcPr>
                <w:p w14:paraId="669A3124">
                  <w:pPr>
                    <w:adjustRightInd w:val="0"/>
                    <w:snapToGrid w:val="0"/>
                    <w:rPr>
                      <w:sz w:val="21"/>
                      <w:szCs w:val="18"/>
                    </w:rPr>
                  </w:pPr>
                  <w:r>
                    <w:rPr>
                      <w:sz w:val="21"/>
                      <w:szCs w:val="18"/>
                    </w:rPr>
                    <w:t xml:space="preserve">   </w:t>
                  </w:r>
                  <w:r>
                    <w:rPr>
                      <w:rFonts w:hint="eastAsia"/>
                      <w:sz w:val="21"/>
                      <w:szCs w:val="18"/>
                    </w:rPr>
                    <w:t>本项目施工过程中的物料堆放过程中采取围挡、遮盖、洒水降尘等抑尘措施。</w:t>
                  </w:r>
                </w:p>
              </w:tc>
              <w:tc>
                <w:tcPr>
                  <w:tcW w:w="539" w:type="pct"/>
                  <w:vAlign w:val="center"/>
                </w:tcPr>
                <w:p w14:paraId="445C0F37">
                  <w:pPr>
                    <w:adjustRightInd w:val="0"/>
                    <w:snapToGrid w:val="0"/>
                    <w:jc w:val="center"/>
                    <w:rPr>
                      <w:sz w:val="21"/>
                      <w:szCs w:val="18"/>
                    </w:rPr>
                  </w:pPr>
                  <w:r>
                    <w:rPr>
                      <w:sz w:val="21"/>
                      <w:szCs w:val="18"/>
                    </w:rPr>
                    <w:t>符合</w:t>
                  </w:r>
                </w:p>
              </w:tc>
            </w:tr>
          </w:tbl>
          <w:p w14:paraId="66559A93">
            <w:pPr>
              <w:spacing w:line="360" w:lineRule="auto"/>
              <w:ind w:firstLine="480" w:firstLineChars="200"/>
            </w:pPr>
          </w:p>
          <w:p w14:paraId="7D17D81C">
            <w:pPr>
              <w:spacing w:line="360" w:lineRule="auto"/>
              <w:ind w:firstLine="480" w:firstLineChars="200"/>
            </w:pPr>
            <w:r>
              <w:rPr>
                <w:rFonts w:hint="eastAsia"/>
              </w:rPr>
              <w:t>（3）《空气质量持续改善行动计划》的相符性分析</w:t>
            </w:r>
          </w:p>
          <w:p w14:paraId="16CA9ACB">
            <w:pPr>
              <w:spacing w:line="360" w:lineRule="auto"/>
              <w:ind w:firstLine="480" w:firstLineChars="200"/>
            </w:pPr>
            <w:r>
              <w:rPr>
                <w:rFonts w:hint="eastAsia"/>
              </w:rPr>
              <w:t>国务院于2023年11月30日发布了《空气质量持续改善行动计划》（国发〔2023〕24号），本项目与该文件的相符性分析如下：</w:t>
            </w:r>
          </w:p>
          <w:p w14:paraId="75A11185">
            <w:pPr>
              <w:spacing w:line="360" w:lineRule="auto"/>
              <w:ind w:firstLine="480" w:firstLineChars="200"/>
            </w:pPr>
          </w:p>
          <w:p w14:paraId="3F2A08DD">
            <w:pPr>
              <w:autoSpaceDE w:val="0"/>
              <w:autoSpaceDN w:val="0"/>
              <w:adjustRightInd w:val="0"/>
              <w:snapToGrid w:val="0"/>
              <w:spacing w:line="360" w:lineRule="auto"/>
              <w:jc w:val="center"/>
              <w:rPr>
                <w:b/>
                <w:bCs/>
                <w:kern w:val="0"/>
              </w:rPr>
            </w:pPr>
            <w:r>
              <w:rPr>
                <w:b/>
                <w:bCs/>
                <w:kern w:val="0"/>
              </w:rPr>
              <w:t>表</w:t>
            </w:r>
            <w:r>
              <w:rPr>
                <w:rFonts w:hint="eastAsia"/>
                <w:b/>
                <w:bCs/>
                <w:kern w:val="0"/>
              </w:rPr>
              <w:t>7</w:t>
            </w:r>
            <w:r>
              <w:rPr>
                <w:b/>
                <w:bCs/>
                <w:kern w:val="0"/>
              </w:rPr>
              <w:t xml:space="preserve">    与《空气质量持续改善行动计划》符合性</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2"/>
              <w:gridCol w:w="2268"/>
              <w:gridCol w:w="964"/>
            </w:tblGrid>
            <w:tr w14:paraId="620E6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80" w:type="pct"/>
                  <w:vAlign w:val="center"/>
                </w:tcPr>
                <w:p w14:paraId="4AA2CF57">
                  <w:pPr>
                    <w:adjustRightInd w:val="0"/>
                    <w:snapToGrid w:val="0"/>
                    <w:jc w:val="center"/>
                    <w:rPr>
                      <w:b/>
                      <w:sz w:val="21"/>
                      <w:szCs w:val="18"/>
                    </w:rPr>
                  </w:pPr>
                  <w:r>
                    <w:rPr>
                      <w:b/>
                      <w:bCs/>
                      <w:sz w:val="21"/>
                      <w:szCs w:val="18"/>
                    </w:rPr>
                    <w:t>《空气质量持续改善行动计划》摘录</w:t>
                  </w:r>
                </w:p>
              </w:tc>
              <w:tc>
                <w:tcPr>
                  <w:tcW w:w="1487" w:type="pct"/>
                  <w:vAlign w:val="center"/>
                </w:tcPr>
                <w:p w14:paraId="62F91A44">
                  <w:pPr>
                    <w:adjustRightInd w:val="0"/>
                    <w:snapToGrid w:val="0"/>
                    <w:jc w:val="center"/>
                    <w:rPr>
                      <w:b/>
                      <w:sz w:val="21"/>
                      <w:szCs w:val="18"/>
                    </w:rPr>
                  </w:pPr>
                  <w:r>
                    <w:rPr>
                      <w:rFonts w:hint="eastAsia"/>
                      <w:b/>
                      <w:sz w:val="21"/>
                      <w:szCs w:val="18"/>
                    </w:rPr>
                    <w:t>本项目</w:t>
                  </w:r>
                </w:p>
              </w:tc>
              <w:tc>
                <w:tcPr>
                  <w:tcW w:w="632" w:type="pct"/>
                  <w:vAlign w:val="center"/>
                </w:tcPr>
                <w:p w14:paraId="09717E7E">
                  <w:pPr>
                    <w:adjustRightInd w:val="0"/>
                    <w:snapToGrid w:val="0"/>
                    <w:jc w:val="center"/>
                    <w:rPr>
                      <w:b/>
                      <w:sz w:val="21"/>
                      <w:szCs w:val="18"/>
                    </w:rPr>
                  </w:pPr>
                  <w:r>
                    <w:rPr>
                      <w:b/>
                      <w:sz w:val="21"/>
                      <w:szCs w:val="18"/>
                    </w:rPr>
                    <w:t>符合性</w:t>
                  </w:r>
                </w:p>
              </w:tc>
            </w:tr>
            <w:tr w14:paraId="3EBF2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80" w:type="pct"/>
                </w:tcPr>
                <w:p w14:paraId="5EBDB62B">
                  <w:pPr>
                    <w:adjustRightInd w:val="0"/>
                    <w:snapToGrid w:val="0"/>
                    <w:ind w:firstLine="420" w:firstLineChars="200"/>
                    <w:rPr>
                      <w:bCs/>
                      <w:sz w:val="21"/>
                      <w:szCs w:val="18"/>
                    </w:rPr>
                  </w:pPr>
                  <w:r>
                    <w:rPr>
                      <w:rFonts w:hint="eastAsia"/>
                      <w:bCs/>
                      <w:sz w:val="21"/>
                      <w:szCs w:val="18"/>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487" w:type="pct"/>
                </w:tcPr>
                <w:p w14:paraId="2F026797">
                  <w:pPr>
                    <w:adjustRightInd w:val="0"/>
                    <w:snapToGrid w:val="0"/>
                    <w:ind w:firstLine="420" w:firstLineChars="200"/>
                    <w:rPr>
                      <w:sz w:val="21"/>
                      <w:szCs w:val="18"/>
                    </w:rPr>
                  </w:pPr>
                  <w:r>
                    <w:rPr>
                      <w:rFonts w:hint="eastAsia"/>
                      <w:sz w:val="21"/>
                      <w:szCs w:val="18"/>
                    </w:rPr>
                    <w:t>本项目不属于“两高一低”项目，符合国家及地方产业政策、生态环境分区管控及污染物排放管理要求。</w:t>
                  </w:r>
                </w:p>
              </w:tc>
              <w:tc>
                <w:tcPr>
                  <w:tcW w:w="632" w:type="pct"/>
                  <w:vAlign w:val="center"/>
                </w:tcPr>
                <w:p w14:paraId="0A4CC8C7">
                  <w:pPr>
                    <w:adjustRightInd w:val="0"/>
                    <w:snapToGrid w:val="0"/>
                    <w:jc w:val="center"/>
                    <w:rPr>
                      <w:sz w:val="21"/>
                      <w:szCs w:val="18"/>
                    </w:rPr>
                  </w:pPr>
                  <w:r>
                    <w:rPr>
                      <w:rFonts w:hint="eastAsia"/>
                      <w:sz w:val="21"/>
                      <w:szCs w:val="18"/>
                    </w:rPr>
                    <w:t>符合</w:t>
                  </w:r>
                </w:p>
              </w:tc>
            </w:tr>
            <w:tr w14:paraId="06067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80" w:type="pct"/>
                </w:tcPr>
                <w:p w14:paraId="456BA5D6">
                  <w:pPr>
                    <w:adjustRightInd w:val="0"/>
                    <w:snapToGrid w:val="0"/>
                    <w:ind w:firstLine="420" w:firstLineChars="200"/>
                    <w:rPr>
                      <w:bCs/>
                      <w:sz w:val="21"/>
                      <w:szCs w:val="18"/>
                    </w:rPr>
                  </w:pPr>
                  <w:r>
                    <w:rPr>
                      <w:rFonts w:hint="eastAsia"/>
                      <w:bCs/>
                      <w:sz w:val="21"/>
                      <w:szCs w:val="18"/>
                    </w:rPr>
                    <w:t>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1487" w:type="pct"/>
                </w:tcPr>
                <w:p w14:paraId="4DC5D9CF">
                  <w:pPr>
                    <w:adjustRightInd w:val="0"/>
                    <w:snapToGrid w:val="0"/>
                    <w:rPr>
                      <w:sz w:val="21"/>
                      <w:szCs w:val="18"/>
                    </w:rPr>
                  </w:pPr>
                  <w:r>
                    <w:rPr>
                      <w:sz w:val="21"/>
                      <w:szCs w:val="18"/>
                    </w:rPr>
                    <w:t xml:space="preserve">   </w:t>
                  </w:r>
                  <w:r>
                    <w:rPr>
                      <w:rFonts w:hint="eastAsia"/>
                      <w:sz w:val="21"/>
                      <w:szCs w:val="18"/>
                    </w:rPr>
                    <w:t>本项目不属于经济发达地区，本项目施工过程中将采用围挡、覆盖、洒水抑尘等措施，合理利用、处置工程渣土、建筑垃圾，最大限度的降低施工扬尘对区域环境空气的影响，并将防治扬尘污染费用纳入工程造价</w:t>
                  </w:r>
                  <w:r>
                    <w:rPr>
                      <w:sz w:val="21"/>
                      <w:szCs w:val="18"/>
                    </w:rPr>
                    <w:t>。</w:t>
                  </w:r>
                </w:p>
              </w:tc>
              <w:tc>
                <w:tcPr>
                  <w:tcW w:w="632" w:type="pct"/>
                  <w:vAlign w:val="center"/>
                </w:tcPr>
                <w:p w14:paraId="3A41B696">
                  <w:pPr>
                    <w:adjustRightInd w:val="0"/>
                    <w:snapToGrid w:val="0"/>
                    <w:jc w:val="center"/>
                    <w:rPr>
                      <w:sz w:val="21"/>
                      <w:szCs w:val="18"/>
                    </w:rPr>
                  </w:pPr>
                  <w:r>
                    <w:rPr>
                      <w:sz w:val="21"/>
                      <w:szCs w:val="18"/>
                    </w:rPr>
                    <w:t>符合</w:t>
                  </w:r>
                </w:p>
              </w:tc>
            </w:tr>
          </w:tbl>
          <w:p w14:paraId="40265B02">
            <w:pPr>
              <w:spacing w:line="360" w:lineRule="auto"/>
              <w:ind w:firstLine="480" w:firstLineChars="200"/>
            </w:pPr>
            <w:r>
              <w:rPr>
                <w:rFonts w:hint="eastAsia"/>
              </w:rPr>
              <w:t>由上表可知，本项目符合《空气质量持续改善行动计划》中的相关规定。</w:t>
            </w:r>
          </w:p>
          <w:p w14:paraId="1A7E36B1">
            <w:pPr>
              <w:spacing w:line="360" w:lineRule="auto"/>
              <w:ind w:firstLine="480" w:firstLineChars="200"/>
            </w:pPr>
            <w:r>
              <w:rPr>
                <w:rFonts w:hint="eastAsia"/>
              </w:rPr>
              <w:t>（4）与《吉林省落实《空气质量持续改善行动计划》实施方案》的相符性分析</w:t>
            </w:r>
          </w:p>
          <w:p w14:paraId="7704EB68">
            <w:pPr>
              <w:spacing w:line="360" w:lineRule="auto"/>
              <w:ind w:firstLine="480" w:firstLineChars="200"/>
            </w:pPr>
            <w:r>
              <w:rPr>
                <w:rFonts w:hint="eastAsia"/>
              </w:rPr>
              <w:t>吉林省人民政府于2024年4月18日发布了《吉林省落实《空气质量持续改善行动计划》实施方案》（吉政发〔2024〕8号），本项目与该《方案》的相符性分析如下：</w:t>
            </w:r>
          </w:p>
          <w:p w14:paraId="12C7DD16">
            <w:pPr>
              <w:spacing w:line="360" w:lineRule="auto"/>
              <w:ind w:firstLine="480" w:firstLineChars="200"/>
            </w:pPr>
          </w:p>
          <w:p w14:paraId="1879427A">
            <w:pPr>
              <w:autoSpaceDE w:val="0"/>
              <w:autoSpaceDN w:val="0"/>
              <w:adjustRightInd w:val="0"/>
              <w:snapToGrid w:val="0"/>
              <w:spacing w:line="360" w:lineRule="auto"/>
              <w:jc w:val="center"/>
              <w:rPr>
                <w:b/>
                <w:bCs/>
                <w:kern w:val="0"/>
              </w:rPr>
            </w:pPr>
            <w:r>
              <w:rPr>
                <w:b/>
                <w:bCs/>
                <w:kern w:val="0"/>
              </w:rPr>
              <w:t>表</w:t>
            </w:r>
            <w:r>
              <w:rPr>
                <w:rFonts w:hint="eastAsia"/>
                <w:b/>
                <w:bCs/>
                <w:kern w:val="0"/>
              </w:rPr>
              <w:t>8</w:t>
            </w:r>
            <w:r>
              <w:rPr>
                <w:b/>
                <w:bCs/>
                <w:kern w:val="0"/>
              </w:rPr>
              <w:t xml:space="preserve">    与（吉政发〔2024〕8号）文件的符合性</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25"/>
              <w:gridCol w:w="3117"/>
              <w:gridCol w:w="682"/>
            </w:tblGrid>
            <w:tr w14:paraId="60405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9" w:type="pct"/>
                  <w:vAlign w:val="center"/>
                </w:tcPr>
                <w:p w14:paraId="7EF7FF9C">
                  <w:pPr>
                    <w:adjustRightInd w:val="0"/>
                    <w:snapToGrid w:val="0"/>
                    <w:jc w:val="center"/>
                    <w:rPr>
                      <w:b/>
                      <w:sz w:val="21"/>
                      <w:szCs w:val="18"/>
                    </w:rPr>
                  </w:pPr>
                  <w:r>
                    <w:rPr>
                      <w:b/>
                      <w:bCs/>
                      <w:sz w:val="21"/>
                      <w:szCs w:val="18"/>
                    </w:rPr>
                    <w:t>《吉林省落实《空气质量持续改善行动计划》实施方案》摘录</w:t>
                  </w:r>
                </w:p>
              </w:tc>
              <w:tc>
                <w:tcPr>
                  <w:tcW w:w="2044" w:type="pct"/>
                  <w:vAlign w:val="center"/>
                </w:tcPr>
                <w:p w14:paraId="0B15F3D8">
                  <w:pPr>
                    <w:adjustRightInd w:val="0"/>
                    <w:snapToGrid w:val="0"/>
                    <w:jc w:val="center"/>
                    <w:rPr>
                      <w:b/>
                      <w:sz w:val="21"/>
                      <w:szCs w:val="18"/>
                    </w:rPr>
                  </w:pPr>
                  <w:r>
                    <w:rPr>
                      <w:b/>
                      <w:sz w:val="21"/>
                      <w:szCs w:val="18"/>
                    </w:rPr>
                    <w:t>符合性分析</w:t>
                  </w:r>
                </w:p>
              </w:tc>
              <w:tc>
                <w:tcPr>
                  <w:tcW w:w="447" w:type="pct"/>
                  <w:vAlign w:val="center"/>
                </w:tcPr>
                <w:p w14:paraId="643855CC">
                  <w:pPr>
                    <w:adjustRightInd w:val="0"/>
                    <w:snapToGrid w:val="0"/>
                    <w:jc w:val="center"/>
                    <w:rPr>
                      <w:b/>
                      <w:sz w:val="21"/>
                      <w:szCs w:val="18"/>
                    </w:rPr>
                  </w:pPr>
                  <w:r>
                    <w:rPr>
                      <w:rFonts w:hint="eastAsia"/>
                      <w:b/>
                      <w:sz w:val="21"/>
                      <w:szCs w:val="18"/>
                    </w:rPr>
                    <w:t>相符性</w:t>
                  </w:r>
                </w:p>
              </w:tc>
            </w:tr>
            <w:tr w14:paraId="0C8D0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9" w:type="pct"/>
                </w:tcPr>
                <w:p w14:paraId="1EBDAD7A">
                  <w:pPr>
                    <w:adjustRightInd w:val="0"/>
                    <w:snapToGrid w:val="0"/>
                    <w:ind w:firstLine="420" w:firstLineChars="200"/>
                    <w:rPr>
                      <w:bCs/>
                      <w:sz w:val="21"/>
                      <w:szCs w:val="18"/>
                    </w:rPr>
                  </w:pPr>
                  <w:r>
                    <w:rPr>
                      <w:bCs/>
                      <w:sz w:val="21"/>
                      <w:szCs w:val="18"/>
                    </w:rPr>
                    <w:t>严格新建项目准入。新改扩建项目必须符合国家产业发展规划、政策，以及生态环境保护、产能置换等相关项目准入条件，严格执行相关目标控制要求，坚决遏制盲目上新“两高一低”项目。</w:t>
                  </w:r>
                </w:p>
              </w:tc>
              <w:tc>
                <w:tcPr>
                  <w:tcW w:w="2044" w:type="pct"/>
                </w:tcPr>
                <w:p w14:paraId="6DB4DFCF">
                  <w:pPr>
                    <w:adjustRightInd w:val="0"/>
                    <w:snapToGrid w:val="0"/>
                    <w:ind w:firstLine="420" w:firstLineChars="200"/>
                    <w:rPr>
                      <w:sz w:val="21"/>
                      <w:szCs w:val="18"/>
                    </w:rPr>
                  </w:pPr>
                  <w:r>
                    <w:rPr>
                      <w:sz w:val="21"/>
                      <w:szCs w:val="18"/>
                    </w:rPr>
                    <w:t>本项目符合国家</w:t>
                  </w:r>
                  <w:r>
                    <w:rPr>
                      <w:rFonts w:hint="eastAsia"/>
                      <w:sz w:val="21"/>
                      <w:szCs w:val="18"/>
                    </w:rPr>
                    <w:t>行业</w:t>
                  </w:r>
                  <w:r>
                    <w:rPr>
                      <w:sz w:val="21"/>
                      <w:szCs w:val="18"/>
                    </w:rPr>
                    <w:t>规划、政策，各项污染物均能得到合理有效的治理、处置，符合生态环境保护准入条件，不属于“两高一低”项目。</w:t>
                  </w:r>
                </w:p>
              </w:tc>
              <w:tc>
                <w:tcPr>
                  <w:tcW w:w="447" w:type="pct"/>
                  <w:vAlign w:val="center"/>
                </w:tcPr>
                <w:p w14:paraId="4EFAF4C5">
                  <w:pPr>
                    <w:adjustRightInd w:val="0"/>
                    <w:snapToGrid w:val="0"/>
                    <w:jc w:val="center"/>
                    <w:rPr>
                      <w:sz w:val="21"/>
                      <w:szCs w:val="18"/>
                    </w:rPr>
                  </w:pPr>
                  <w:r>
                    <w:rPr>
                      <w:sz w:val="21"/>
                      <w:szCs w:val="18"/>
                    </w:rPr>
                    <w:t>符合</w:t>
                  </w:r>
                </w:p>
              </w:tc>
            </w:tr>
            <w:tr w14:paraId="20E8B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9" w:type="pct"/>
                </w:tcPr>
                <w:p w14:paraId="19EDB144">
                  <w:pPr>
                    <w:adjustRightInd w:val="0"/>
                    <w:snapToGrid w:val="0"/>
                    <w:ind w:firstLine="420" w:firstLineChars="200"/>
                    <w:rPr>
                      <w:bCs/>
                      <w:sz w:val="21"/>
                      <w:szCs w:val="18"/>
                    </w:rPr>
                  </w:pPr>
                  <w:r>
                    <w:rPr>
                      <w:rFonts w:hint="eastAsia"/>
                      <w:bCs/>
                      <w:sz w:val="21"/>
                      <w:szCs w:val="18"/>
                    </w:rPr>
                    <w:t>深化扬尘污染综合治理。规范施工场地、工业企业堆场料场和城市道路、裸地扬尘污染管理。将防治扬尘污染费用纳入工程造价。到2025年，装配式建筑占新建建筑面积比例达30％；地级及以上城市建成区道路机械化清扫率达80％左右，县城达70％左右。</w:t>
                  </w:r>
                </w:p>
              </w:tc>
              <w:tc>
                <w:tcPr>
                  <w:tcW w:w="2044" w:type="pct"/>
                </w:tcPr>
                <w:p w14:paraId="4EB63261">
                  <w:pPr>
                    <w:adjustRightInd w:val="0"/>
                    <w:snapToGrid w:val="0"/>
                    <w:rPr>
                      <w:sz w:val="21"/>
                      <w:szCs w:val="18"/>
                    </w:rPr>
                  </w:pPr>
                  <w:r>
                    <w:rPr>
                      <w:sz w:val="21"/>
                      <w:szCs w:val="18"/>
                    </w:rPr>
                    <w:t xml:space="preserve">    </w:t>
                  </w:r>
                  <w:r>
                    <w:rPr>
                      <w:rFonts w:hint="eastAsia"/>
                      <w:sz w:val="21"/>
                      <w:szCs w:val="18"/>
                    </w:rPr>
                    <w:t>本项目不属于经济发达地区，本项目施工过程中将采用围挡、覆盖、洒水抑尘等措施，合理利用、处置工程渣土、建筑垃圾，最大限度的降低施工扬尘对区域环境空气的影响，并将防治扬尘污染费用纳入工程造价</w:t>
                  </w:r>
                  <w:r>
                    <w:rPr>
                      <w:sz w:val="21"/>
                      <w:szCs w:val="18"/>
                    </w:rPr>
                    <w:t>。</w:t>
                  </w:r>
                </w:p>
              </w:tc>
              <w:tc>
                <w:tcPr>
                  <w:tcW w:w="447" w:type="pct"/>
                  <w:vAlign w:val="center"/>
                </w:tcPr>
                <w:p w14:paraId="3EB78150">
                  <w:pPr>
                    <w:adjustRightInd w:val="0"/>
                    <w:snapToGrid w:val="0"/>
                    <w:jc w:val="center"/>
                    <w:rPr>
                      <w:sz w:val="21"/>
                      <w:szCs w:val="18"/>
                    </w:rPr>
                  </w:pPr>
                  <w:r>
                    <w:rPr>
                      <w:sz w:val="21"/>
                      <w:szCs w:val="18"/>
                    </w:rPr>
                    <w:t>符合</w:t>
                  </w:r>
                </w:p>
              </w:tc>
            </w:tr>
          </w:tbl>
          <w:p w14:paraId="27A96D29">
            <w:pPr>
              <w:spacing w:line="360" w:lineRule="auto"/>
              <w:ind w:firstLine="480" w:firstLineChars="200"/>
            </w:pPr>
            <w:r>
              <w:rPr>
                <w:rFonts w:hint="eastAsia"/>
              </w:rPr>
              <w:t>由上表可知，本项目符合《吉林省落实《空气质量持续改善行动计划》实施方案》中的相关规定。</w:t>
            </w:r>
          </w:p>
          <w:p w14:paraId="29CD7318">
            <w:pPr>
              <w:spacing w:line="360" w:lineRule="auto"/>
              <w:ind w:firstLine="480" w:firstLineChars="200"/>
            </w:pPr>
            <w:r>
              <w:rPr>
                <w:rFonts w:hint="eastAsia"/>
              </w:rPr>
              <w:t>（5）与《吉林省生态环境保护“十四五”规划》的相符性分析</w:t>
            </w:r>
          </w:p>
          <w:p w14:paraId="49C53835">
            <w:pPr>
              <w:spacing w:line="360" w:lineRule="auto"/>
              <w:ind w:firstLine="480" w:firstLineChars="200"/>
            </w:pPr>
            <w:r>
              <w:rPr>
                <w:rFonts w:hint="eastAsia"/>
              </w:rPr>
              <w:t>吉林省人民政府于2021年12月31日以“吉政办发〔2021〕67号”文件印发了《吉林省生态环境保护“十四五”规划》，本项目与该《规划》的相符性分析内容如下：</w:t>
            </w:r>
          </w:p>
          <w:p w14:paraId="58EADF1E">
            <w:pPr>
              <w:spacing w:line="360" w:lineRule="auto"/>
              <w:jc w:val="center"/>
              <w:rPr>
                <w:b/>
                <w:bCs/>
              </w:rPr>
            </w:pPr>
            <w:r>
              <w:rPr>
                <w:rFonts w:hint="eastAsia"/>
                <w:b/>
                <w:bCs/>
              </w:rPr>
              <w:t>表9   与《吉林省生态环境保护“十四五”规划》相符性分析</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399"/>
              <w:gridCol w:w="3261"/>
              <w:gridCol w:w="964"/>
            </w:tblGrid>
            <w:tr w14:paraId="52AF54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9" w:type="dxa"/>
                  <w:vAlign w:val="center"/>
                </w:tcPr>
                <w:p w14:paraId="457E6FBE">
                  <w:pPr>
                    <w:jc w:val="center"/>
                    <w:rPr>
                      <w:rFonts w:cs="Times New Roman"/>
                      <w:b/>
                      <w:bCs/>
                      <w:kern w:val="0"/>
                      <w:sz w:val="21"/>
                      <w:szCs w:val="21"/>
                    </w:rPr>
                  </w:pPr>
                  <w:r>
                    <w:rPr>
                      <w:rFonts w:hint="eastAsia" w:cs="Times New Roman"/>
                      <w:b/>
                      <w:bCs/>
                      <w:kern w:val="0"/>
                      <w:sz w:val="21"/>
                      <w:szCs w:val="21"/>
                    </w:rPr>
                    <w:t>《吉林省生态环境保护“十四五”规划》摘录</w:t>
                  </w:r>
                </w:p>
              </w:tc>
              <w:tc>
                <w:tcPr>
                  <w:tcW w:w="3261" w:type="dxa"/>
                  <w:vAlign w:val="center"/>
                </w:tcPr>
                <w:p w14:paraId="1E91B0CE">
                  <w:pPr>
                    <w:jc w:val="center"/>
                    <w:rPr>
                      <w:rFonts w:cs="Times New Roman"/>
                      <w:b/>
                      <w:bCs/>
                      <w:kern w:val="0"/>
                      <w:sz w:val="21"/>
                      <w:szCs w:val="21"/>
                    </w:rPr>
                  </w:pPr>
                  <w:r>
                    <w:rPr>
                      <w:rFonts w:hint="eastAsia" w:cs="Times New Roman"/>
                      <w:b/>
                      <w:bCs/>
                      <w:kern w:val="0"/>
                      <w:sz w:val="21"/>
                      <w:szCs w:val="21"/>
                    </w:rPr>
                    <w:t>本项目</w:t>
                  </w:r>
                </w:p>
              </w:tc>
              <w:tc>
                <w:tcPr>
                  <w:tcW w:w="964" w:type="dxa"/>
                  <w:vAlign w:val="center"/>
                </w:tcPr>
                <w:p w14:paraId="56388E13">
                  <w:pPr>
                    <w:jc w:val="center"/>
                    <w:rPr>
                      <w:rFonts w:cs="Times New Roman"/>
                      <w:b/>
                      <w:bCs/>
                      <w:kern w:val="0"/>
                      <w:sz w:val="21"/>
                      <w:szCs w:val="21"/>
                    </w:rPr>
                  </w:pPr>
                  <w:r>
                    <w:rPr>
                      <w:rFonts w:hint="eastAsia" w:cs="Times New Roman"/>
                      <w:b/>
                      <w:bCs/>
                      <w:kern w:val="0"/>
                      <w:sz w:val="21"/>
                      <w:szCs w:val="21"/>
                    </w:rPr>
                    <w:t>相符性</w:t>
                  </w:r>
                </w:p>
              </w:tc>
            </w:tr>
            <w:tr w14:paraId="787661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9" w:type="dxa"/>
                  <w:vAlign w:val="center"/>
                </w:tcPr>
                <w:p w14:paraId="2B46DE86">
                  <w:pPr>
                    <w:ind w:firstLine="420" w:firstLineChars="200"/>
                    <w:rPr>
                      <w:rFonts w:cs="Times New Roman"/>
                      <w:kern w:val="0"/>
                      <w:sz w:val="21"/>
                      <w:szCs w:val="21"/>
                    </w:rPr>
                  </w:pPr>
                  <w:r>
                    <w:rPr>
                      <w:rFonts w:hint="eastAsia" w:cs="Times New Roman"/>
                      <w:kern w:val="0"/>
                      <w:sz w:val="21"/>
                      <w:szCs w:val="21"/>
                    </w:rPr>
                    <w:t>系统实施“三水共治”。统筹水环境治理、水资源保护和水生态修复，坚持“减排”“增容”两手发力、同步施治。做好“增量”，提高流域水资源供给能力，东部诸河源头区重点建设水源涵养区、生态缓冲带，中部地区重点加强生态保护带、水土保持林建设，西部地区加强河湖连通、湿地修复，加强松花江、东辽河、图们江、鸭绿江等重点流域和查干湖等重要湖泊湿地生态保护。</w:t>
                  </w:r>
                </w:p>
              </w:tc>
              <w:tc>
                <w:tcPr>
                  <w:tcW w:w="3261" w:type="dxa"/>
                  <w:vAlign w:val="center"/>
                </w:tcPr>
                <w:p w14:paraId="58D376FF">
                  <w:pPr>
                    <w:rPr>
                      <w:rFonts w:cs="Times New Roman"/>
                      <w:kern w:val="0"/>
                      <w:sz w:val="21"/>
                      <w:szCs w:val="21"/>
                    </w:rPr>
                  </w:pPr>
                  <w:r>
                    <w:rPr>
                      <w:rFonts w:hint="eastAsia" w:cs="Times New Roman"/>
                      <w:kern w:val="0"/>
                      <w:sz w:val="21"/>
                      <w:szCs w:val="21"/>
                    </w:rPr>
                    <w:t>本项目为航道码头建设项目，项目所占地块土地利用现状为滩地，不涉及占用区域湿地资源，本项目建成后不会造成对流域水资源的损失。本项目运营期针对各项废水均采取合理有效的集中收集措施，能够保证不对流域水环境质量造成负面影响。本项目运营期不会对鸭绿江的连通性造成影响，不会对流域水生动、植物生境产生明显的影响，不会水生态环境造成明显的不利影响。</w:t>
                  </w:r>
                </w:p>
              </w:tc>
              <w:tc>
                <w:tcPr>
                  <w:tcW w:w="964" w:type="dxa"/>
                  <w:vAlign w:val="center"/>
                </w:tcPr>
                <w:p w14:paraId="4388F6F1">
                  <w:pPr>
                    <w:rPr>
                      <w:rFonts w:cs="Times New Roman"/>
                      <w:kern w:val="0"/>
                      <w:sz w:val="21"/>
                      <w:szCs w:val="21"/>
                    </w:rPr>
                  </w:pPr>
                  <w:r>
                    <w:rPr>
                      <w:rFonts w:hint="eastAsia" w:cs="Times New Roman"/>
                      <w:kern w:val="0"/>
                      <w:sz w:val="21"/>
                      <w:szCs w:val="21"/>
                    </w:rPr>
                    <w:t>符合</w:t>
                  </w:r>
                </w:p>
              </w:tc>
            </w:tr>
            <w:tr w14:paraId="54E190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9" w:type="dxa"/>
                  <w:vAlign w:val="center"/>
                </w:tcPr>
                <w:p w14:paraId="70829A4E">
                  <w:pPr>
                    <w:ind w:firstLine="420" w:firstLineChars="200"/>
                    <w:rPr>
                      <w:rFonts w:cs="Times New Roman"/>
                      <w:kern w:val="0"/>
                      <w:sz w:val="21"/>
                      <w:szCs w:val="21"/>
                    </w:rPr>
                  </w:pPr>
                  <w:r>
                    <w:rPr>
                      <w:rFonts w:hint="eastAsia" w:cs="Times New Roman"/>
                      <w:kern w:val="0"/>
                      <w:sz w:val="21"/>
                      <w:szCs w:val="21"/>
                    </w:rPr>
                    <w:t>水生生物多样性保护有效提升。加强渔业资源保护，开展水生生物增殖放流，到2025年，松花江、鸭绿江、图们江等自然江河土著鱼类资源更加丰富。</w:t>
                  </w:r>
                </w:p>
              </w:tc>
              <w:tc>
                <w:tcPr>
                  <w:tcW w:w="3261" w:type="dxa"/>
                  <w:vAlign w:val="center"/>
                </w:tcPr>
                <w:p w14:paraId="5D669B0B">
                  <w:pPr>
                    <w:rPr>
                      <w:rFonts w:cs="Times New Roman"/>
                      <w:kern w:val="0"/>
                      <w:sz w:val="21"/>
                      <w:szCs w:val="21"/>
                    </w:rPr>
                  </w:pPr>
                  <w:r>
                    <w:rPr>
                      <w:rFonts w:hint="eastAsia" w:cs="Times New Roman"/>
                      <w:kern w:val="0"/>
                      <w:sz w:val="21"/>
                      <w:szCs w:val="21"/>
                    </w:rPr>
                    <w:t>本项目运营期不会对流域水生动、植物生境产生明显的影响，不会对流域水生态环境造成明显的不利影响。</w:t>
                  </w:r>
                </w:p>
              </w:tc>
              <w:tc>
                <w:tcPr>
                  <w:tcW w:w="964" w:type="dxa"/>
                  <w:vAlign w:val="center"/>
                </w:tcPr>
                <w:p w14:paraId="4456E6D0">
                  <w:pPr>
                    <w:rPr>
                      <w:rFonts w:cs="Times New Roman"/>
                      <w:kern w:val="0"/>
                      <w:sz w:val="21"/>
                      <w:szCs w:val="21"/>
                    </w:rPr>
                  </w:pPr>
                  <w:r>
                    <w:rPr>
                      <w:rFonts w:hint="eastAsia" w:cs="Times New Roman"/>
                      <w:kern w:val="0"/>
                      <w:sz w:val="21"/>
                      <w:szCs w:val="21"/>
                    </w:rPr>
                    <w:t>符合</w:t>
                  </w:r>
                </w:p>
              </w:tc>
            </w:tr>
          </w:tbl>
          <w:p w14:paraId="1F3CB6AB">
            <w:pPr>
              <w:spacing w:line="360" w:lineRule="auto"/>
              <w:ind w:firstLine="480" w:firstLineChars="200"/>
            </w:pPr>
            <w:bookmarkStart w:id="2" w:name="OLE_LINK3"/>
            <w:r>
              <w:rPr>
                <w:rFonts w:hint="eastAsia"/>
              </w:rPr>
              <w:t>从上表可以看出，本项目基本符合《吉林省生态环境保护“十四五”规划》中的相关规划内容。</w:t>
            </w:r>
          </w:p>
          <w:bookmarkEnd w:id="2"/>
          <w:p w14:paraId="77387B7C">
            <w:pPr>
              <w:autoSpaceDE w:val="0"/>
              <w:autoSpaceDN w:val="0"/>
              <w:adjustRightInd w:val="0"/>
              <w:snapToGrid w:val="0"/>
              <w:spacing w:line="360" w:lineRule="auto"/>
              <w:ind w:firstLine="480" w:firstLineChars="200"/>
            </w:pPr>
            <w:r>
              <w:rPr>
                <w:rFonts w:hint="eastAsia"/>
              </w:rPr>
              <w:t>（3）与</w:t>
            </w:r>
            <w:bookmarkStart w:id="3" w:name="OLE_LINK1"/>
            <w:r>
              <w:rPr>
                <w:rFonts w:hint="eastAsia"/>
              </w:rPr>
              <w:t>《白山市生态环境保护“十四五”规划》</w:t>
            </w:r>
            <w:bookmarkEnd w:id="3"/>
            <w:r>
              <w:rPr>
                <w:rFonts w:hint="eastAsia"/>
              </w:rPr>
              <w:t>的相符性分析</w:t>
            </w:r>
          </w:p>
          <w:p w14:paraId="4CE63B2F">
            <w:pPr>
              <w:autoSpaceDE w:val="0"/>
              <w:autoSpaceDN w:val="0"/>
              <w:adjustRightInd w:val="0"/>
              <w:snapToGrid w:val="0"/>
              <w:spacing w:line="360" w:lineRule="auto"/>
              <w:ind w:firstLine="480" w:firstLineChars="200"/>
            </w:pPr>
            <w:r>
              <w:rPr>
                <w:rFonts w:hint="eastAsia"/>
              </w:rPr>
              <w:t>根据《白山市生态环境保护“十四五”规划》中的相关内容，本项目与该《规划》的相符性分析如下表所示：</w:t>
            </w:r>
          </w:p>
          <w:p w14:paraId="43811618">
            <w:pPr>
              <w:autoSpaceDE w:val="0"/>
              <w:autoSpaceDN w:val="0"/>
              <w:adjustRightInd w:val="0"/>
              <w:snapToGrid w:val="0"/>
              <w:spacing w:line="360" w:lineRule="auto"/>
              <w:jc w:val="center"/>
              <w:rPr>
                <w:b/>
                <w:bCs/>
              </w:rPr>
            </w:pPr>
            <w:r>
              <w:rPr>
                <w:rFonts w:hint="eastAsia"/>
                <w:b/>
                <w:bCs/>
              </w:rPr>
              <w:t>表10    与《</w:t>
            </w:r>
            <w:bookmarkStart w:id="4" w:name="OLE_LINK2"/>
            <w:r>
              <w:rPr>
                <w:rFonts w:hint="eastAsia"/>
                <w:b/>
                <w:bCs/>
              </w:rPr>
              <w:t>白山市生态环境保护“十四五”规划</w:t>
            </w:r>
            <w:bookmarkEnd w:id="4"/>
            <w:r>
              <w:rPr>
                <w:rFonts w:hint="eastAsia"/>
                <w:b/>
                <w:bCs/>
              </w:rPr>
              <w:t>》的相符性</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08"/>
              <w:gridCol w:w="2693"/>
              <w:gridCol w:w="823"/>
            </w:tblGrid>
            <w:tr w14:paraId="1F0165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08" w:type="dxa"/>
                  <w:vAlign w:val="center"/>
                </w:tcPr>
                <w:p w14:paraId="4A397C19">
                  <w:pPr>
                    <w:jc w:val="center"/>
                    <w:rPr>
                      <w:rFonts w:cs="Times New Roman"/>
                      <w:b/>
                      <w:bCs/>
                      <w:kern w:val="0"/>
                      <w:sz w:val="21"/>
                      <w:szCs w:val="21"/>
                    </w:rPr>
                  </w:pPr>
                  <w:r>
                    <w:rPr>
                      <w:rFonts w:hint="eastAsia" w:cs="Times New Roman"/>
                      <w:b/>
                      <w:bCs/>
                      <w:kern w:val="0"/>
                      <w:sz w:val="21"/>
                      <w:szCs w:val="21"/>
                    </w:rPr>
                    <w:t>《白山市生态环境保护“十四五”规划》摘录</w:t>
                  </w:r>
                </w:p>
              </w:tc>
              <w:tc>
                <w:tcPr>
                  <w:tcW w:w="2693" w:type="dxa"/>
                  <w:vAlign w:val="center"/>
                </w:tcPr>
                <w:p w14:paraId="1A5A9BB5">
                  <w:pPr>
                    <w:jc w:val="center"/>
                    <w:rPr>
                      <w:rFonts w:cs="Times New Roman"/>
                      <w:b/>
                      <w:bCs/>
                      <w:kern w:val="0"/>
                      <w:sz w:val="21"/>
                      <w:szCs w:val="21"/>
                    </w:rPr>
                  </w:pPr>
                  <w:r>
                    <w:rPr>
                      <w:rFonts w:hint="eastAsia" w:cs="Times New Roman"/>
                      <w:b/>
                      <w:bCs/>
                      <w:kern w:val="0"/>
                      <w:sz w:val="21"/>
                      <w:szCs w:val="21"/>
                    </w:rPr>
                    <w:t>本项目</w:t>
                  </w:r>
                </w:p>
              </w:tc>
              <w:tc>
                <w:tcPr>
                  <w:tcW w:w="823" w:type="dxa"/>
                  <w:vAlign w:val="center"/>
                </w:tcPr>
                <w:p w14:paraId="21143351">
                  <w:pPr>
                    <w:jc w:val="center"/>
                    <w:rPr>
                      <w:rFonts w:cs="Times New Roman"/>
                      <w:b/>
                      <w:bCs/>
                      <w:kern w:val="0"/>
                      <w:sz w:val="21"/>
                      <w:szCs w:val="21"/>
                    </w:rPr>
                  </w:pPr>
                  <w:r>
                    <w:rPr>
                      <w:rFonts w:hint="eastAsia" w:cs="Times New Roman"/>
                      <w:b/>
                      <w:bCs/>
                      <w:kern w:val="0"/>
                      <w:sz w:val="21"/>
                      <w:szCs w:val="21"/>
                    </w:rPr>
                    <w:t>相符性</w:t>
                  </w:r>
                </w:p>
              </w:tc>
            </w:tr>
            <w:tr w14:paraId="005090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08" w:type="dxa"/>
                  <w:vAlign w:val="center"/>
                </w:tcPr>
                <w:p w14:paraId="13A44B46">
                  <w:pPr>
                    <w:ind w:firstLine="420" w:firstLineChars="200"/>
                    <w:rPr>
                      <w:rFonts w:cs="Times New Roman"/>
                      <w:kern w:val="0"/>
                      <w:sz w:val="21"/>
                      <w:szCs w:val="21"/>
                    </w:rPr>
                  </w:pPr>
                  <w:r>
                    <w:rPr>
                      <w:rFonts w:hint="eastAsia" w:cs="Times New Roman"/>
                      <w:kern w:val="0"/>
                      <w:sz w:val="21"/>
                      <w:szCs w:val="21"/>
                    </w:rPr>
                    <w:t>加强生态保育，提升松花江流域重点河流蝲蛄种群丰度，提升鸭绿江流域中花羔红点鲑、细鳞鱼、鸭绿江茴鱼等冷水鱼种群密度。</w:t>
                  </w:r>
                </w:p>
              </w:tc>
              <w:tc>
                <w:tcPr>
                  <w:tcW w:w="2693" w:type="dxa"/>
                  <w:vAlign w:val="center"/>
                </w:tcPr>
                <w:p w14:paraId="20E86CFC">
                  <w:pPr>
                    <w:rPr>
                      <w:rFonts w:cs="Times New Roman"/>
                      <w:kern w:val="0"/>
                      <w:sz w:val="21"/>
                      <w:szCs w:val="21"/>
                    </w:rPr>
                  </w:pPr>
                  <w:r>
                    <w:rPr>
                      <w:rFonts w:hint="eastAsia" w:cs="Times New Roman"/>
                      <w:kern w:val="0"/>
                      <w:sz w:val="21"/>
                      <w:szCs w:val="21"/>
                    </w:rPr>
                    <w:t>本项目运营期不会对前述水生动物生境、种群密度产生明显的影响。</w:t>
                  </w:r>
                </w:p>
              </w:tc>
              <w:tc>
                <w:tcPr>
                  <w:tcW w:w="823" w:type="dxa"/>
                  <w:vAlign w:val="center"/>
                </w:tcPr>
                <w:p w14:paraId="0FA9CE00">
                  <w:pPr>
                    <w:jc w:val="center"/>
                    <w:rPr>
                      <w:rFonts w:cs="Times New Roman"/>
                      <w:kern w:val="0"/>
                      <w:sz w:val="21"/>
                      <w:szCs w:val="21"/>
                    </w:rPr>
                  </w:pPr>
                  <w:r>
                    <w:rPr>
                      <w:rFonts w:hint="eastAsia" w:cs="Times New Roman"/>
                      <w:kern w:val="0"/>
                      <w:sz w:val="21"/>
                      <w:szCs w:val="21"/>
                    </w:rPr>
                    <w:t>符合</w:t>
                  </w:r>
                </w:p>
              </w:tc>
            </w:tr>
          </w:tbl>
          <w:p w14:paraId="319D33B7">
            <w:pPr>
              <w:autoSpaceDE w:val="0"/>
              <w:autoSpaceDN w:val="0"/>
              <w:adjustRightInd w:val="0"/>
              <w:snapToGrid w:val="0"/>
              <w:spacing w:line="360" w:lineRule="auto"/>
              <w:ind w:firstLine="480" w:firstLineChars="200"/>
            </w:pPr>
            <w:r>
              <w:rPr>
                <w:rFonts w:hint="eastAsia"/>
              </w:rPr>
              <w:t>从上表可以看出，本项目符合《白山市生态环境保护“十四五”规划》中的相关规划内容。</w:t>
            </w:r>
          </w:p>
          <w:p w14:paraId="5DCECF24">
            <w:pPr>
              <w:autoSpaceDE w:val="0"/>
              <w:autoSpaceDN w:val="0"/>
              <w:adjustRightInd w:val="0"/>
              <w:snapToGrid w:val="0"/>
              <w:spacing w:line="360" w:lineRule="auto"/>
              <w:ind w:firstLine="482" w:firstLineChars="200"/>
              <w:rPr>
                <w:b/>
                <w:bCs/>
                <w:u w:val="single"/>
              </w:rPr>
            </w:pPr>
            <w:r>
              <w:rPr>
                <w:rFonts w:hint="eastAsia"/>
                <w:b/>
                <w:bCs/>
                <w:u w:val="single"/>
              </w:rPr>
              <w:t>（4）与《吉林省主体功能区划》相符性</w:t>
            </w:r>
          </w:p>
          <w:p w14:paraId="0167C9E5">
            <w:pPr>
              <w:autoSpaceDE w:val="0"/>
              <w:autoSpaceDN w:val="0"/>
              <w:adjustRightInd w:val="0"/>
              <w:snapToGrid w:val="0"/>
              <w:spacing w:line="360" w:lineRule="auto"/>
              <w:ind w:firstLine="482" w:firstLineChars="200"/>
            </w:pPr>
            <w:r>
              <w:rPr>
                <w:rFonts w:hint="eastAsia"/>
                <w:b/>
                <w:bCs/>
                <w:u w:val="single"/>
              </w:rPr>
              <w:t>根据《吉林省主体功能区划》中的相关内容，临江市属于“国家层面的重点生态功能区”，该功能区的功能定位是：保障全省乃至全国生态安全的重要区域，人与自然和谐相处的区域。该区的发展方向为：以保护和修复生态环境，提供生态产品为首要任务，因地制宜发展不影响主体功能定位的适宜产业，引导超载人口逐步有序转移。本项目的建设不涉及占用林地、草地等性质的地块，不影响区域水源涵养、防风固沙以及提供生态产品的功能，不会对区域水生生物资源产生明显的影响，因此本项目不违背所在功能区的功能定位及发展方向。</w:t>
            </w:r>
          </w:p>
        </w:tc>
      </w:tr>
    </w:tbl>
    <w:p w14:paraId="25DD207F">
      <w:pPr>
        <w:spacing w:line="360" w:lineRule="auto"/>
        <w:ind w:firstLine="480" w:firstLineChars="200"/>
      </w:pPr>
    </w:p>
    <w:p w14:paraId="376D7CC1">
      <w:pPr>
        <w:pStyle w:val="2"/>
        <w:jc w:val="both"/>
        <w:rPr>
          <w:rFonts w:hint="eastAsia" w:ascii="黑体" w:hAnsi="黑体" w:eastAsia="黑体"/>
        </w:rPr>
      </w:pPr>
    </w:p>
    <w:p w14:paraId="35C7CCC5">
      <w:pPr>
        <w:pStyle w:val="2"/>
        <w:jc w:val="both"/>
        <w:rPr>
          <w:rFonts w:hint="eastAsia" w:ascii="黑体" w:hAnsi="黑体" w:eastAsia="黑体"/>
        </w:rPr>
      </w:pPr>
      <w:r>
        <w:rPr>
          <w:rFonts w:hint="eastAsia" w:ascii="黑体" w:hAnsi="黑体" w:eastAsia="黑体"/>
        </w:rPr>
        <w:t>二、建设内容</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26"/>
      </w:tblGrid>
      <w:tr w14:paraId="4493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4D0772A3">
            <w:pPr>
              <w:jc w:val="center"/>
            </w:pPr>
            <w:r>
              <w:t>地理位置</w:t>
            </w:r>
          </w:p>
        </w:tc>
        <w:tc>
          <w:tcPr>
            <w:tcW w:w="7840" w:type="dxa"/>
            <w:vAlign w:val="center"/>
          </w:tcPr>
          <w:p w14:paraId="31C5C596">
            <w:pPr>
              <w:spacing w:line="360" w:lineRule="auto"/>
              <w:ind w:firstLine="480" w:firstLineChars="200"/>
            </w:pPr>
            <w:r>
              <w:t>本项目位于</w:t>
            </w:r>
            <w:r>
              <w:rPr>
                <w:rFonts w:hint="eastAsia"/>
              </w:rPr>
              <w:t>临江市大栗子街道，占地位于鸭绿江河道内，</w:t>
            </w:r>
            <w:r>
              <w:rPr>
                <w:rFonts w:hint="eastAsia"/>
                <w:b/>
                <w:bCs/>
                <w:u w:val="single"/>
              </w:rPr>
              <w:t>总占地面积为3.8364公顷，根据本项目用地预审与选址意见书，占地性质为内陆滩涂，</w:t>
            </w:r>
            <w:r>
              <w:rPr>
                <w:rFonts w:hint="eastAsia"/>
              </w:rPr>
              <w:t>中心</w:t>
            </w:r>
            <w:r>
              <w:t>坐标为</w:t>
            </w:r>
            <w:r>
              <w:rPr>
                <w:rFonts w:hint="eastAsia"/>
              </w:rPr>
              <w:t>126°50′38.001″E，41°44′18.422″</w:t>
            </w:r>
            <w:r>
              <w:t>N</w:t>
            </w:r>
            <w:r>
              <w:rPr>
                <w:rFonts w:hint="eastAsia"/>
              </w:rPr>
              <w:t>。本项目北侧、东侧及南侧均为鸭绿江，西侧隔公路为山体</w:t>
            </w:r>
            <w:r>
              <w:t>。本项目地理位置详见附图</w:t>
            </w:r>
            <w:r>
              <w:rPr>
                <w:rFonts w:hint="eastAsia"/>
              </w:rPr>
              <w:t>2、附图3</w:t>
            </w:r>
            <w:r>
              <w:t>，周围环境现状详见附图</w:t>
            </w:r>
            <w:r>
              <w:rPr>
                <w:rFonts w:hint="eastAsia"/>
              </w:rPr>
              <w:t>4</w:t>
            </w:r>
            <w:r>
              <w:t>。</w:t>
            </w:r>
          </w:p>
          <w:p w14:paraId="0B39D453">
            <w:pPr>
              <w:spacing w:line="360" w:lineRule="auto"/>
              <w:ind w:firstLine="480" w:firstLineChars="200"/>
            </w:pPr>
          </w:p>
        </w:tc>
      </w:tr>
      <w:tr w14:paraId="65D5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5F94786E">
            <w:pPr>
              <w:jc w:val="center"/>
            </w:pPr>
            <w:r>
              <w:rPr>
                <w:rFonts w:hint="eastAsia"/>
              </w:rPr>
              <w:t>项目组成及规模</w:t>
            </w:r>
          </w:p>
        </w:tc>
        <w:tc>
          <w:tcPr>
            <w:tcW w:w="7840" w:type="dxa"/>
            <w:vAlign w:val="center"/>
          </w:tcPr>
          <w:p w14:paraId="25E3BE7B">
            <w:pPr>
              <w:spacing w:line="360" w:lineRule="auto"/>
              <w:ind w:firstLine="480" w:firstLineChars="200"/>
            </w:pPr>
            <w:r>
              <w:rPr>
                <w:rFonts w:hint="eastAsia"/>
              </w:rPr>
              <w:t>本项目已于2020年3月7日由临江市环境保护局以“临环行审字〔2020〕6号”文件进行了批复，由于项目批复后超过五年方决定该项目开工建设，根据《中华人民共和国环境影响评价法》中的第二十四条的要求，本项目为重新审核项目。</w:t>
            </w:r>
            <w:r>
              <w:rPr>
                <w:rFonts w:hint="eastAsia"/>
                <w:b/>
                <w:bCs/>
                <w:u w:val="single"/>
              </w:rPr>
              <w:t>通过调查明确，本项目所在区域生态环境敏感目标分布、生态环境敏感性与原环评未发生明显变化。</w:t>
            </w:r>
          </w:p>
          <w:p w14:paraId="0B7FB602">
            <w:pPr>
              <w:spacing w:line="360" w:lineRule="auto"/>
              <w:ind w:firstLine="482" w:firstLineChars="200"/>
              <w:rPr>
                <w:b/>
                <w:bCs/>
                <w:u w:val="single"/>
              </w:rPr>
            </w:pPr>
            <w:r>
              <w:rPr>
                <w:rFonts w:hint="eastAsia"/>
                <w:b/>
                <w:bCs/>
                <w:u w:val="single"/>
              </w:rPr>
              <w:t>结合本项目码头类型，本项目建设期及运营期的影响不涉及自然保护区、国家公园、风景名胜区、文化和自然遗产、饮用水源保护区、生态保护红线，亦不涉及重要水生生物的</w:t>
            </w:r>
            <w:bookmarkStart w:id="5" w:name="_Hlk214546859"/>
            <w:r>
              <w:rPr>
                <w:rFonts w:hint="eastAsia"/>
                <w:b/>
                <w:bCs/>
                <w:u w:val="single"/>
              </w:rPr>
              <w:t>自然产卵场、索饵场及越冬场及洄游通道</w:t>
            </w:r>
            <w:bookmarkEnd w:id="5"/>
            <w:r>
              <w:rPr>
                <w:rFonts w:hint="eastAsia"/>
                <w:b/>
                <w:bCs/>
                <w:u w:val="single"/>
              </w:rPr>
              <w:t>、天然渔场，故本次评价针对本项目编制报告表。</w:t>
            </w:r>
          </w:p>
          <w:p w14:paraId="025EC356">
            <w:pPr>
              <w:spacing w:line="360" w:lineRule="auto"/>
              <w:ind w:firstLine="480" w:firstLineChars="200"/>
            </w:pPr>
            <w:r>
              <w:rPr>
                <w:rFonts w:hint="eastAsia"/>
              </w:rPr>
              <w:t>1、项目组成</w:t>
            </w:r>
          </w:p>
          <w:p w14:paraId="1DBB5759">
            <w:pPr>
              <w:spacing w:line="360" w:lineRule="auto"/>
              <w:ind w:firstLine="482" w:firstLineChars="200"/>
              <w:rPr>
                <w:b/>
                <w:bCs/>
                <w:u w:val="single"/>
              </w:rPr>
            </w:pPr>
            <w:r>
              <w:rPr>
                <w:rFonts w:hint="eastAsia"/>
                <w:b/>
                <w:bCs/>
                <w:u w:val="single"/>
              </w:rPr>
              <w:t>本项目建成后，整个工程形成陆域及水域两个部分，其中陆域部分主要功能区包括：码头前沿作业区、道路区、材料临时存放区、船艇存放区、停车场等；水域部分包括：港池及停泊水域。本项目为工作船码头，运营期仅作为航道维护疏浚物、船舶及航标的临时暂存、停靠、转运地点，不涉及新增航道维护工作量，对鸭绿江的疏浚工程，需单独立项单独评价，故本项目不包括航道维护及疏浚工作。</w:t>
            </w:r>
          </w:p>
          <w:p w14:paraId="08785CF0">
            <w:pPr>
              <w:spacing w:line="360" w:lineRule="auto"/>
              <w:ind w:firstLine="482" w:firstLineChars="200"/>
              <w:rPr>
                <w:b/>
                <w:bCs/>
                <w:u w:val="single"/>
              </w:rPr>
            </w:pPr>
            <w:r>
              <w:rPr>
                <w:rFonts w:hint="eastAsia"/>
                <w:b/>
                <w:bCs/>
                <w:u w:val="single"/>
              </w:rPr>
              <w:t>本次评价依据本项目工程初步设计文件中明确的工程内容开展评价，与原环评内容相比，本项目选址、工程组成、工程性质、工程运行方式均未发生变化，但占地面积、建筑内容情况发生了改变。本项目工程组成以及与原环评工程内容的变化情况如下表所示：</w:t>
            </w:r>
          </w:p>
          <w:p w14:paraId="5C0EF9D4">
            <w:pPr>
              <w:spacing w:line="360" w:lineRule="auto"/>
              <w:jc w:val="both"/>
              <w:rPr>
                <w:b/>
                <w:bCs/>
              </w:rPr>
            </w:pPr>
            <w:r>
              <w:rPr>
                <w:rFonts w:hint="eastAsia"/>
                <w:b/>
                <w:bCs/>
              </w:rPr>
              <w:t>表11    本项目工程组成一览表</w:t>
            </w:r>
          </w:p>
          <w:tbl>
            <w:tblPr>
              <w:tblStyle w:val="23"/>
              <w:tblW w:w="781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426"/>
              <w:gridCol w:w="489"/>
              <w:gridCol w:w="4906"/>
              <w:gridCol w:w="1192"/>
              <w:gridCol w:w="89"/>
            </w:tblGrid>
            <w:tr w14:paraId="670215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1039" w:type="pct"/>
                  <w:gridSpan w:val="3"/>
                  <w:vAlign w:val="center"/>
                </w:tcPr>
                <w:p w14:paraId="45930F16">
                  <w:pPr>
                    <w:jc w:val="center"/>
                    <w:rPr>
                      <w:rFonts w:cs="Times New Roman"/>
                      <w:b/>
                      <w:bCs/>
                      <w:kern w:val="0"/>
                      <w:sz w:val="21"/>
                      <w:szCs w:val="16"/>
                    </w:rPr>
                  </w:pPr>
                  <w:r>
                    <w:rPr>
                      <w:rFonts w:hint="eastAsia" w:cs="Times New Roman"/>
                      <w:b/>
                      <w:bCs/>
                      <w:kern w:val="0"/>
                      <w:sz w:val="21"/>
                      <w:szCs w:val="16"/>
                    </w:rPr>
                    <w:t>项目名称</w:t>
                  </w:r>
                </w:p>
              </w:tc>
              <w:tc>
                <w:tcPr>
                  <w:tcW w:w="3141" w:type="pct"/>
                  <w:vAlign w:val="center"/>
                </w:tcPr>
                <w:p w14:paraId="35B6A678">
                  <w:pPr>
                    <w:jc w:val="center"/>
                    <w:rPr>
                      <w:rFonts w:cs="Times New Roman"/>
                      <w:b/>
                      <w:bCs/>
                      <w:kern w:val="0"/>
                      <w:sz w:val="21"/>
                      <w:szCs w:val="16"/>
                    </w:rPr>
                  </w:pPr>
                  <w:r>
                    <w:rPr>
                      <w:rFonts w:hint="eastAsia" w:cs="Times New Roman"/>
                      <w:b/>
                      <w:bCs/>
                      <w:kern w:val="0"/>
                      <w:sz w:val="21"/>
                      <w:szCs w:val="16"/>
                    </w:rPr>
                    <w:t>主要建设内容</w:t>
                  </w:r>
                </w:p>
              </w:tc>
              <w:tc>
                <w:tcPr>
                  <w:tcW w:w="763" w:type="pct"/>
                  <w:vAlign w:val="center"/>
                </w:tcPr>
                <w:p w14:paraId="4E6F8FB0">
                  <w:pPr>
                    <w:jc w:val="center"/>
                    <w:rPr>
                      <w:rFonts w:cs="Times New Roman"/>
                      <w:b/>
                      <w:bCs/>
                      <w:i/>
                      <w:iCs/>
                      <w:kern w:val="0"/>
                      <w:sz w:val="21"/>
                      <w:szCs w:val="16"/>
                      <w:u w:val="single"/>
                    </w:rPr>
                  </w:pPr>
                  <w:r>
                    <w:rPr>
                      <w:rFonts w:hint="eastAsia" w:cs="Times New Roman"/>
                      <w:b/>
                      <w:bCs/>
                      <w:i/>
                      <w:iCs/>
                      <w:kern w:val="0"/>
                      <w:sz w:val="21"/>
                      <w:szCs w:val="16"/>
                      <w:u w:val="single"/>
                    </w:rPr>
                    <w:t>变化情况</w:t>
                  </w:r>
                </w:p>
              </w:tc>
            </w:tr>
            <w:tr w14:paraId="7FB961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restart"/>
                  <w:vAlign w:val="center"/>
                </w:tcPr>
                <w:p w14:paraId="55F4A4AA">
                  <w:pPr>
                    <w:jc w:val="center"/>
                    <w:rPr>
                      <w:rFonts w:cs="Times New Roman"/>
                      <w:kern w:val="0"/>
                      <w:sz w:val="21"/>
                      <w:szCs w:val="16"/>
                    </w:rPr>
                  </w:pPr>
                  <w:r>
                    <w:rPr>
                      <w:rFonts w:hint="eastAsia" w:cs="Times New Roman"/>
                      <w:kern w:val="0"/>
                      <w:sz w:val="21"/>
                      <w:szCs w:val="16"/>
                    </w:rPr>
                    <w:t>主体工程</w:t>
                  </w:r>
                </w:p>
              </w:tc>
              <w:tc>
                <w:tcPr>
                  <w:tcW w:w="586" w:type="pct"/>
                  <w:gridSpan w:val="2"/>
                  <w:vAlign w:val="center"/>
                </w:tcPr>
                <w:p w14:paraId="255DE4C0">
                  <w:pPr>
                    <w:jc w:val="center"/>
                    <w:rPr>
                      <w:rFonts w:cs="Times New Roman"/>
                      <w:kern w:val="0"/>
                      <w:sz w:val="21"/>
                      <w:szCs w:val="16"/>
                    </w:rPr>
                  </w:pPr>
                  <w:r>
                    <w:rPr>
                      <w:rFonts w:hint="eastAsia" w:cs="Times New Roman"/>
                      <w:kern w:val="0"/>
                      <w:sz w:val="21"/>
                      <w:szCs w:val="16"/>
                    </w:rPr>
                    <w:t>陆域</w:t>
                  </w:r>
                </w:p>
              </w:tc>
              <w:tc>
                <w:tcPr>
                  <w:tcW w:w="3141" w:type="pct"/>
                  <w:vAlign w:val="center"/>
                </w:tcPr>
                <w:p w14:paraId="1E1D6F2C">
                  <w:pPr>
                    <w:ind w:firstLine="420" w:firstLineChars="200"/>
                    <w:rPr>
                      <w:rFonts w:cs="Times New Roman"/>
                      <w:i/>
                      <w:iCs/>
                      <w:kern w:val="0"/>
                      <w:sz w:val="21"/>
                      <w:szCs w:val="16"/>
                      <w:u w:val="single"/>
                    </w:rPr>
                  </w:pPr>
                  <w:r>
                    <w:rPr>
                      <w:rFonts w:hint="eastAsia" w:cs="Times New Roman"/>
                      <w:i/>
                      <w:iCs/>
                      <w:kern w:val="0"/>
                      <w:sz w:val="21"/>
                      <w:szCs w:val="16"/>
                      <w:u w:val="single"/>
                    </w:rPr>
                    <w:t>陆域总面积26596m</w:t>
                  </w:r>
                  <w:r>
                    <w:rPr>
                      <w:rFonts w:hint="eastAsia" w:cs="Times New Roman"/>
                      <w:i/>
                      <w:iCs/>
                      <w:kern w:val="0"/>
                      <w:sz w:val="21"/>
                      <w:szCs w:val="16"/>
                      <w:u w:val="single"/>
                      <w:vertAlign w:val="superscript"/>
                    </w:rPr>
                    <w:t>2</w:t>
                  </w:r>
                  <w:r>
                    <w:rPr>
                      <w:rFonts w:hint="eastAsia" w:cs="Times New Roman"/>
                      <w:i/>
                      <w:iCs/>
                      <w:kern w:val="0"/>
                      <w:sz w:val="21"/>
                      <w:szCs w:val="16"/>
                      <w:u w:val="single"/>
                    </w:rPr>
                    <w:t>，其中场区面积为24106.42㎡，主要功能区包括：码头前沿作业区、道路区、材料临时存放区、船艇存放区配套建筑以及停车场等。材料临时存放区包括两个部分，包括疏浚砂石临时存放区（2962㎡），航标临时存放区（1200㎡）；船艇存放区面积5578.79㎡。</w:t>
                  </w:r>
                </w:p>
              </w:tc>
              <w:tc>
                <w:tcPr>
                  <w:tcW w:w="763" w:type="pct"/>
                  <w:vAlign w:val="center"/>
                </w:tcPr>
                <w:p w14:paraId="6C0AF6FC">
                  <w:pPr>
                    <w:rPr>
                      <w:rFonts w:cs="Times New Roman"/>
                      <w:i/>
                      <w:iCs/>
                      <w:kern w:val="0"/>
                      <w:sz w:val="21"/>
                      <w:szCs w:val="16"/>
                      <w:u w:val="single"/>
                    </w:rPr>
                  </w:pPr>
                  <w:r>
                    <w:rPr>
                      <w:rFonts w:hint="eastAsia" w:cs="Times New Roman"/>
                      <w:i/>
                      <w:iCs/>
                      <w:kern w:val="0"/>
                      <w:sz w:val="21"/>
                      <w:szCs w:val="16"/>
                      <w:u w:val="single"/>
                    </w:rPr>
                    <w:t>与原环评相比陆域总面积减少9993㎡，各功能分区设置情况基本一致。</w:t>
                  </w:r>
                </w:p>
              </w:tc>
            </w:tr>
            <w:tr w14:paraId="1A35B7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05ECF997">
                  <w:pPr>
                    <w:jc w:val="center"/>
                    <w:rPr>
                      <w:rFonts w:cs="Times New Roman"/>
                      <w:kern w:val="0"/>
                      <w:sz w:val="21"/>
                      <w:szCs w:val="16"/>
                    </w:rPr>
                  </w:pPr>
                </w:p>
              </w:tc>
              <w:tc>
                <w:tcPr>
                  <w:tcW w:w="586" w:type="pct"/>
                  <w:gridSpan w:val="2"/>
                  <w:vAlign w:val="center"/>
                </w:tcPr>
                <w:p w14:paraId="6F2FCB47">
                  <w:pPr>
                    <w:jc w:val="center"/>
                    <w:rPr>
                      <w:rFonts w:cs="Times New Roman"/>
                      <w:kern w:val="0"/>
                      <w:sz w:val="21"/>
                      <w:szCs w:val="16"/>
                    </w:rPr>
                  </w:pPr>
                  <w:r>
                    <w:rPr>
                      <w:rFonts w:hint="eastAsia" w:cs="Times New Roman"/>
                      <w:kern w:val="0"/>
                      <w:sz w:val="21"/>
                      <w:szCs w:val="16"/>
                    </w:rPr>
                    <w:t>水域</w:t>
                  </w:r>
                </w:p>
              </w:tc>
              <w:tc>
                <w:tcPr>
                  <w:tcW w:w="3141" w:type="pct"/>
                  <w:vAlign w:val="center"/>
                </w:tcPr>
                <w:p w14:paraId="3BC91C1F">
                  <w:pPr>
                    <w:ind w:firstLine="420" w:firstLineChars="200"/>
                    <w:rPr>
                      <w:rFonts w:cs="Times New Roman"/>
                      <w:kern w:val="0"/>
                      <w:sz w:val="21"/>
                      <w:szCs w:val="16"/>
                    </w:rPr>
                  </w:pPr>
                  <w:r>
                    <w:rPr>
                      <w:rFonts w:hint="eastAsia" w:cs="Times New Roman"/>
                      <w:kern w:val="0"/>
                      <w:sz w:val="21"/>
                      <w:szCs w:val="16"/>
                    </w:rPr>
                    <w:t>水域自上游向下游分别布置：作业区码头、工作船码头、防冰突堤兼码头、港池及船舶上岸维护滑道。同时设置护岸工程。</w:t>
                  </w:r>
                </w:p>
                <w:p w14:paraId="273198EF">
                  <w:pPr>
                    <w:ind w:firstLine="420" w:firstLineChars="200"/>
                    <w:rPr>
                      <w:rFonts w:cs="Times New Roman"/>
                      <w:kern w:val="0"/>
                      <w:sz w:val="21"/>
                      <w:szCs w:val="16"/>
                    </w:rPr>
                  </w:pPr>
                  <w:r>
                    <w:rPr>
                      <w:rFonts w:hint="eastAsia" w:cs="Times New Roman"/>
                      <w:kern w:val="0"/>
                      <w:sz w:val="21"/>
                      <w:szCs w:val="16"/>
                    </w:rPr>
                    <w:t>码头岸线长321.0m。作业区码头、工作船码头及防冰突堤兼码头长度分别为103.5m、177.5m及40m。轴线方位26°~206°。码头前沿停泊水域底高程315.2～315.6m，停泊水域宽度16m；回旋水域沿垂直水流方向的宽度取45m，回旋水域沿水流方向的长度按2.5倍船长考虑，取73m，平行于码头前沿连片布置。</w:t>
                  </w:r>
                </w:p>
                <w:p w14:paraId="206BCD68">
                  <w:pPr>
                    <w:ind w:firstLine="420" w:firstLineChars="200"/>
                    <w:rPr>
                      <w:rFonts w:cs="Times New Roman"/>
                      <w:kern w:val="0"/>
                      <w:sz w:val="21"/>
                      <w:szCs w:val="16"/>
                    </w:rPr>
                  </w:pPr>
                  <w:r>
                    <w:rPr>
                      <w:rFonts w:hint="eastAsia" w:cs="Times New Roman"/>
                      <w:kern w:val="0"/>
                      <w:sz w:val="21"/>
                      <w:szCs w:val="16"/>
                    </w:rPr>
                    <w:t>码头下游设置有掩护港池，港池及停泊水域面积11768m</w:t>
                  </w:r>
                  <w:r>
                    <w:rPr>
                      <w:rFonts w:hint="eastAsia" w:cs="Times New Roman"/>
                      <w:kern w:val="0"/>
                      <w:sz w:val="21"/>
                      <w:szCs w:val="16"/>
                      <w:vertAlign w:val="superscript"/>
                    </w:rPr>
                    <w:t>2</w:t>
                  </w:r>
                  <w:r>
                    <w:rPr>
                      <w:rFonts w:hint="eastAsia" w:cs="Times New Roman"/>
                      <w:kern w:val="0"/>
                      <w:sz w:val="21"/>
                      <w:szCs w:val="16"/>
                    </w:rPr>
                    <w:t>，港池及港池内设置船舶上岸维护滑道一座，坡道长69m，坡度1：10。冬季冰冻期及汛期水流较大时，船舶可进入港池停泊，小型船艇可上岸存放。</w:t>
                  </w:r>
                </w:p>
                <w:p w14:paraId="47A29C42">
                  <w:pPr>
                    <w:ind w:firstLine="420" w:firstLineChars="200"/>
                    <w:rPr>
                      <w:rFonts w:cs="Times New Roman"/>
                      <w:kern w:val="0"/>
                      <w:sz w:val="21"/>
                      <w:szCs w:val="16"/>
                    </w:rPr>
                  </w:pPr>
                  <w:r>
                    <w:rPr>
                      <w:rFonts w:hint="eastAsia" w:cs="Times New Roman"/>
                      <w:kern w:val="0"/>
                      <w:sz w:val="21"/>
                      <w:szCs w:val="16"/>
                    </w:rPr>
                    <w:t>设置护岸工程总长度约156.4m，其中南侧直立式护岸长度64m，北侧斜坡式护岸长度92.4m。</w:t>
                  </w:r>
                </w:p>
                <w:p w14:paraId="17965031">
                  <w:pPr>
                    <w:ind w:firstLine="420" w:firstLineChars="200"/>
                    <w:rPr>
                      <w:rFonts w:cs="Times New Roman"/>
                      <w:i/>
                      <w:iCs/>
                      <w:kern w:val="0"/>
                      <w:sz w:val="21"/>
                      <w:szCs w:val="16"/>
                      <w:u w:val="single"/>
                    </w:rPr>
                  </w:pPr>
                  <w:r>
                    <w:rPr>
                      <w:rFonts w:hint="eastAsia" w:cs="Times New Roman"/>
                      <w:i/>
                      <w:iCs/>
                      <w:kern w:val="0"/>
                      <w:sz w:val="21"/>
                      <w:szCs w:val="16"/>
                      <w:u w:val="single"/>
                    </w:rPr>
                    <w:t>本项目港池及回旋水域疏浚工程量为6.27万m³。</w:t>
                  </w:r>
                </w:p>
              </w:tc>
              <w:tc>
                <w:tcPr>
                  <w:tcW w:w="763" w:type="pct"/>
                  <w:vAlign w:val="center"/>
                </w:tcPr>
                <w:p w14:paraId="76A6CF77">
                  <w:pPr>
                    <w:rPr>
                      <w:rFonts w:cs="Times New Roman"/>
                      <w:i/>
                      <w:iCs/>
                      <w:kern w:val="0"/>
                      <w:sz w:val="21"/>
                      <w:szCs w:val="16"/>
                      <w:u w:val="single"/>
                    </w:rPr>
                  </w:pPr>
                  <w:r>
                    <w:rPr>
                      <w:rFonts w:hint="eastAsia" w:cs="Times New Roman"/>
                      <w:i/>
                      <w:iCs/>
                      <w:kern w:val="0"/>
                      <w:sz w:val="21"/>
                      <w:szCs w:val="16"/>
                      <w:u w:val="single"/>
                    </w:rPr>
                    <w:t>与原环评相比水域总面积减少2818㎡，岸线长度减少118m，疏浚量减少0.52万m³，水域上下游布置各功能区情况基本一致。</w:t>
                  </w:r>
                </w:p>
              </w:tc>
            </w:tr>
            <w:tr w14:paraId="18A6B9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Align w:val="center"/>
                </w:tcPr>
                <w:p w14:paraId="6F539FE2">
                  <w:pPr>
                    <w:jc w:val="center"/>
                    <w:rPr>
                      <w:rFonts w:cs="Times New Roman"/>
                      <w:kern w:val="0"/>
                      <w:sz w:val="21"/>
                      <w:szCs w:val="16"/>
                    </w:rPr>
                  </w:pPr>
                  <w:r>
                    <w:rPr>
                      <w:rFonts w:hint="eastAsia" w:cs="Times New Roman"/>
                      <w:kern w:val="0"/>
                      <w:sz w:val="21"/>
                      <w:szCs w:val="16"/>
                    </w:rPr>
                    <w:t>辅助工程</w:t>
                  </w:r>
                </w:p>
              </w:tc>
              <w:tc>
                <w:tcPr>
                  <w:tcW w:w="586" w:type="pct"/>
                  <w:gridSpan w:val="2"/>
                  <w:vAlign w:val="center"/>
                </w:tcPr>
                <w:p w14:paraId="7629935D">
                  <w:pPr>
                    <w:jc w:val="center"/>
                    <w:rPr>
                      <w:rFonts w:cs="Times New Roman"/>
                      <w:kern w:val="0"/>
                      <w:sz w:val="21"/>
                      <w:szCs w:val="16"/>
                    </w:rPr>
                  </w:pPr>
                  <w:r>
                    <w:rPr>
                      <w:rFonts w:hint="eastAsia" w:cs="Times New Roman"/>
                      <w:kern w:val="0"/>
                      <w:sz w:val="21"/>
                      <w:szCs w:val="16"/>
                    </w:rPr>
                    <w:t>配套建筑</w:t>
                  </w:r>
                </w:p>
              </w:tc>
              <w:tc>
                <w:tcPr>
                  <w:tcW w:w="3141" w:type="pct"/>
                  <w:vAlign w:val="center"/>
                </w:tcPr>
                <w:p w14:paraId="34075723">
                  <w:pPr>
                    <w:ind w:firstLine="420" w:firstLineChars="200"/>
                    <w:rPr>
                      <w:rFonts w:cs="Times New Roman"/>
                      <w:i/>
                      <w:iCs/>
                      <w:kern w:val="0"/>
                      <w:sz w:val="21"/>
                      <w:szCs w:val="16"/>
                      <w:u w:val="single"/>
                    </w:rPr>
                  </w:pPr>
                  <w:r>
                    <w:rPr>
                      <w:rFonts w:hint="eastAsia" w:cs="Times New Roman"/>
                      <w:i/>
                      <w:iCs/>
                      <w:kern w:val="0"/>
                      <w:sz w:val="21"/>
                      <w:szCs w:val="16"/>
                      <w:u w:val="single"/>
                    </w:rPr>
                    <w:t>在陆域内设置配套建筑一座，面积130㎡，作为本项目工作人员值班用房，于其中建设食堂一处，设置一个标准灶头。</w:t>
                  </w:r>
                </w:p>
              </w:tc>
              <w:tc>
                <w:tcPr>
                  <w:tcW w:w="763" w:type="pct"/>
                  <w:vAlign w:val="center"/>
                </w:tcPr>
                <w:p w14:paraId="4AA051B9">
                  <w:pPr>
                    <w:rPr>
                      <w:rFonts w:cs="Times New Roman"/>
                      <w:i/>
                      <w:iCs/>
                      <w:kern w:val="0"/>
                      <w:sz w:val="21"/>
                      <w:szCs w:val="16"/>
                      <w:u w:val="single"/>
                    </w:rPr>
                  </w:pPr>
                  <w:r>
                    <w:rPr>
                      <w:rFonts w:hint="eastAsia" w:cs="Times New Roman"/>
                      <w:i/>
                      <w:iCs/>
                      <w:kern w:val="0"/>
                      <w:sz w:val="21"/>
                      <w:szCs w:val="16"/>
                      <w:u w:val="single"/>
                    </w:rPr>
                    <w:t>与原环评相比建筑面积减少1248㎡。</w:t>
                  </w:r>
                </w:p>
              </w:tc>
            </w:tr>
            <w:tr w14:paraId="66B15D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restart"/>
                  <w:vAlign w:val="center"/>
                </w:tcPr>
                <w:p w14:paraId="07669E70">
                  <w:pPr>
                    <w:jc w:val="center"/>
                    <w:rPr>
                      <w:rFonts w:cs="Times New Roman"/>
                      <w:kern w:val="0"/>
                      <w:sz w:val="21"/>
                      <w:szCs w:val="16"/>
                    </w:rPr>
                  </w:pPr>
                  <w:r>
                    <w:rPr>
                      <w:rFonts w:hint="eastAsia" w:cs="Times New Roman"/>
                      <w:kern w:val="0"/>
                      <w:sz w:val="21"/>
                      <w:szCs w:val="16"/>
                    </w:rPr>
                    <w:t>公用工程</w:t>
                  </w:r>
                </w:p>
              </w:tc>
              <w:tc>
                <w:tcPr>
                  <w:tcW w:w="586" w:type="pct"/>
                  <w:gridSpan w:val="2"/>
                  <w:vAlign w:val="center"/>
                </w:tcPr>
                <w:p w14:paraId="06D8D641">
                  <w:pPr>
                    <w:jc w:val="center"/>
                    <w:rPr>
                      <w:rFonts w:cs="Times New Roman"/>
                      <w:kern w:val="0"/>
                      <w:sz w:val="21"/>
                      <w:szCs w:val="16"/>
                    </w:rPr>
                  </w:pPr>
                  <w:r>
                    <w:rPr>
                      <w:rFonts w:hint="eastAsia" w:cs="Times New Roman"/>
                      <w:kern w:val="0"/>
                      <w:sz w:val="21"/>
                      <w:szCs w:val="16"/>
                    </w:rPr>
                    <w:t>供水工程</w:t>
                  </w:r>
                </w:p>
              </w:tc>
              <w:tc>
                <w:tcPr>
                  <w:tcW w:w="3141" w:type="pct"/>
                  <w:vAlign w:val="center"/>
                </w:tcPr>
                <w:p w14:paraId="47A02B7E">
                  <w:pPr>
                    <w:ind w:firstLine="420" w:firstLineChars="200"/>
                    <w:rPr>
                      <w:rFonts w:cs="Times New Roman"/>
                      <w:i/>
                      <w:iCs/>
                      <w:kern w:val="0"/>
                      <w:sz w:val="21"/>
                      <w:szCs w:val="16"/>
                      <w:u w:val="single"/>
                    </w:rPr>
                  </w:pPr>
                  <w:r>
                    <w:rPr>
                      <w:rFonts w:hint="eastAsia" w:cs="Times New Roman"/>
                      <w:i/>
                      <w:iCs/>
                      <w:kern w:val="0"/>
                      <w:sz w:val="21"/>
                      <w:szCs w:val="16"/>
                      <w:u w:val="single"/>
                    </w:rPr>
                    <w:t>本工程采用市政供水水源，接自附近村屯的市政供水管网。</w:t>
                  </w:r>
                </w:p>
              </w:tc>
              <w:tc>
                <w:tcPr>
                  <w:tcW w:w="763" w:type="pct"/>
                  <w:vAlign w:val="center"/>
                </w:tcPr>
                <w:p w14:paraId="649D77C0">
                  <w:pPr>
                    <w:jc w:val="center"/>
                    <w:rPr>
                      <w:rFonts w:cs="Times New Roman"/>
                      <w:i/>
                      <w:iCs/>
                      <w:kern w:val="0"/>
                      <w:sz w:val="21"/>
                      <w:szCs w:val="16"/>
                      <w:u w:val="single"/>
                    </w:rPr>
                  </w:pPr>
                  <w:r>
                    <w:rPr>
                      <w:rFonts w:hint="eastAsia" w:cs="Times New Roman"/>
                      <w:i/>
                      <w:iCs/>
                      <w:kern w:val="0"/>
                      <w:sz w:val="21"/>
                      <w:szCs w:val="16"/>
                      <w:u w:val="single"/>
                    </w:rPr>
                    <w:t>无变化</w:t>
                  </w:r>
                </w:p>
              </w:tc>
            </w:tr>
            <w:tr w14:paraId="3817B3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14B1E5CB">
                  <w:pPr>
                    <w:jc w:val="center"/>
                    <w:rPr>
                      <w:rFonts w:cs="Times New Roman"/>
                      <w:kern w:val="0"/>
                      <w:sz w:val="21"/>
                      <w:szCs w:val="16"/>
                    </w:rPr>
                  </w:pPr>
                </w:p>
              </w:tc>
              <w:tc>
                <w:tcPr>
                  <w:tcW w:w="586" w:type="pct"/>
                  <w:gridSpan w:val="2"/>
                  <w:vAlign w:val="center"/>
                </w:tcPr>
                <w:p w14:paraId="07C94A15">
                  <w:pPr>
                    <w:jc w:val="center"/>
                    <w:rPr>
                      <w:rFonts w:cs="Times New Roman"/>
                      <w:kern w:val="0"/>
                      <w:sz w:val="21"/>
                      <w:szCs w:val="16"/>
                    </w:rPr>
                  </w:pPr>
                  <w:r>
                    <w:rPr>
                      <w:rFonts w:hint="eastAsia" w:cs="Times New Roman"/>
                      <w:kern w:val="0"/>
                      <w:sz w:val="21"/>
                      <w:szCs w:val="16"/>
                    </w:rPr>
                    <w:t>排水工程</w:t>
                  </w:r>
                </w:p>
              </w:tc>
              <w:tc>
                <w:tcPr>
                  <w:tcW w:w="3141" w:type="pct"/>
                  <w:vAlign w:val="center"/>
                </w:tcPr>
                <w:p w14:paraId="502BB6FC">
                  <w:pPr>
                    <w:ind w:firstLine="420" w:firstLineChars="200"/>
                    <w:rPr>
                      <w:rFonts w:cs="Times New Roman"/>
                      <w:kern w:val="0"/>
                      <w:sz w:val="21"/>
                      <w:szCs w:val="16"/>
                    </w:rPr>
                  </w:pPr>
                  <w:r>
                    <w:rPr>
                      <w:rFonts w:hint="eastAsia" w:cs="Times New Roman"/>
                      <w:i/>
                      <w:iCs/>
                      <w:kern w:val="0"/>
                      <w:sz w:val="21"/>
                      <w:szCs w:val="16"/>
                      <w:u w:val="single"/>
                    </w:rPr>
                    <w:t>本工程运营期除快艇以外，其余来往码头的船舶均配备油水分离器，其含油污水由船舶自带油水分离器处理，各船含油污水均定期抽出委托长春市瀚拓工业有限公司处理，不在码头内暂存；本工程运营期产生的船舶冲洗水产生后收集并暂存于冲洗废水收集池内（1座，容积2m³，全封闭地埋式收集池，位于滑道旁），委托临江市污水处理厂处理；本工程运营期产生的食堂废水经隔油处理后，与生活污水一并排入废水收集池（1座，容积60m³，全封闭地埋式收集池，位于配套建筑旁），定期收集运至临江市污水处理厂处理。</w:t>
                  </w:r>
                </w:p>
              </w:tc>
              <w:tc>
                <w:tcPr>
                  <w:tcW w:w="763" w:type="pct"/>
                  <w:vAlign w:val="center"/>
                </w:tcPr>
                <w:p w14:paraId="317357DB">
                  <w:pPr>
                    <w:jc w:val="center"/>
                    <w:rPr>
                      <w:rFonts w:cs="Times New Roman"/>
                      <w:kern w:val="0"/>
                      <w:sz w:val="21"/>
                      <w:szCs w:val="16"/>
                    </w:rPr>
                  </w:pPr>
                  <w:r>
                    <w:rPr>
                      <w:rFonts w:hint="eastAsia" w:cs="Times New Roman"/>
                      <w:i/>
                      <w:iCs/>
                      <w:kern w:val="0"/>
                      <w:sz w:val="21"/>
                      <w:szCs w:val="16"/>
                      <w:u w:val="single"/>
                    </w:rPr>
                    <w:t>无变化</w:t>
                  </w:r>
                </w:p>
              </w:tc>
            </w:tr>
            <w:tr w14:paraId="4E1400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2CA1AF89">
                  <w:pPr>
                    <w:jc w:val="center"/>
                    <w:rPr>
                      <w:rFonts w:cs="Times New Roman"/>
                      <w:kern w:val="0"/>
                      <w:sz w:val="21"/>
                      <w:szCs w:val="16"/>
                    </w:rPr>
                  </w:pPr>
                </w:p>
              </w:tc>
              <w:tc>
                <w:tcPr>
                  <w:tcW w:w="586" w:type="pct"/>
                  <w:gridSpan w:val="2"/>
                  <w:vAlign w:val="center"/>
                </w:tcPr>
                <w:p w14:paraId="51D7DC8E">
                  <w:pPr>
                    <w:jc w:val="center"/>
                    <w:rPr>
                      <w:rFonts w:cs="Times New Roman"/>
                      <w:kern w:val="0"/>
                      <w:sz w:val="21"/>
                      <w:szCs w:val="16"/>
                    </w:rPr>
                  </w:pPr>
                  <w:r>
                    <w:rPr>
                      <w:rFonts w:hint="eastAsia" w:cs="Times New Roman"/>
                      <w:kern w:val="0"/>
                      <w:sz w:val="21"/>
                      <w:szCs w:val="16"/>
                    </w:rPr>
                    <w:t>供电工程</w:t>
                  </w:r>
                </w:p>
              </w:tc>
              <w:tc>
                <w:tcPr>
                  <w:tcW w:w="3141" w:type="pct"/>
                  <w:vAlign w:val="center"/>
                </w:tcPr>
                <w:p w14:paraId="61351FDB">
                  <w:pPr>
                    <w:ind w:firstLine="420" w:firstLineChars="200"/>
                    <w:rPr>
                      <w:rFonts w:cs="Times New Roman"/>
                      <w:kern w:val="0"/>
                      <w:sz w:val="21"/>
                      <w:szCs w:val="16"/>
                    </w:rPr>
                  </w:pPr>
                  <w:r>
                    <w:rPr>
                      <w:rFonts w:hint="eastAsia" w:cs="Times New Roman"/>
                      <w:kern w:val="0"/>
                      <w:sz w:val="21"/>
                      <w:szCs w:val="16"/>
                    </w:rPr>
                    <w:t>本工程就近从当地电网上级变电所引一路专用10kV市电电源至本工程内新建成套箱式变电站。本工程设置一座10/0.4kV成套箱式变电站。以箱变作为供电中心为工程范围内的门岗、室外道路及码头照明、维修设备等用电负荷及码头上停靠的船舶提供~380V/220V电源。</w:t>
                  </w:r>
                </w:p>
              </w:tc>
              <w:tc>
                <w:tcPr>
                  <w:tcW w:w="763" w:type="pct"/>
                  <w:vAlign w:val="center"/>
                </w:tcPr>
                <w:p w14:paraId="22C62C6C">
                  <w:pPr>
                    <w:jc w:val="center"/>
                    <w:rPr>
                      <w:rFonts w:cs="Times New Roman"/>
                      <w:kern w:val="0"/>
                      <w:sz w:val="21"/>
                      <w:szCs w:val="16"/>
                    </w:rPr>
                  </w:pPr>
                  <w:r>
                    <w:rPr>
                      <w:rFonts w:hint="eastAsia" w:cs="Times New Roman"/>
                      <w:i/>
                      <w:iCs/>
                      <w:kern w:val="0"/>
                      <w:sz w:val="21"/>
                      <w:szCs w:val="16"/>
                      <w:u w:val="single"/>
                    </w:rPr>
                    <w:t>无变化</w:t>
                  </w:r>
                </w:p>
              </w:tc>
            </w:tr>
            <w:tr w14:paraId="2827AE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30B579A4">
                  <w:pPr>
                    <w:jc w:val="center"/>
                    <w:rPr>
                      <w:rFonts w:cs="Times New Roman"/>
                      <w:kern w:val="0"/>
                      <w:sz w:val="21"/>
                      <w:szCs w:val="16"/>
                    </w:rPr>
                  </w:pPr>
                </w:p>
              </w:tc>
              <w:tc>
                <w:tcPr>
                  <w:tcW w:w="586" w:type="pct"/>
                  <w:gridSpan w:val="2"/>
                  <w:vAlign w:val="center"/>
                </w:tcPr>
                <w:p w14:paraId="3D0861AB">
                  <w:pPr>
                    <w:jc w:val="center"/>
                    <w:rPr>
                      <w:rFonts w:cs="Times New Roman"/>
                      <w:kern w:val="0"/>
                      <w:sz w:val="21"/>
                      <w:szCs w:val="16"/>
                    </w:rPr>
                  </w:pPr>
                  <w:r>
                    <w:rPr>
                      <w:rFonts w:hint="eastAsia" w:cs="Times New Roman"/>
                      <w:kern w:val="0"/>
                      <w:sz w:val="21"/>
                      <w:szCs w:val="16"/>
                    </w:rPr>
                    <w:t>供热工程</w:t>
                  </w:r>
                </w:p>
              </w:tc>
              <w:tc>
                <w:tcPr>
                  <w:tcW w:w="3141" w:type="pct"/>
                  <w:vAlign w:val="center"/>
                </w:tcPr>
                <w:p w14:paraId="0597B5D7">
                  <w:pPr>
                    <w:ind w:firstLine="420" w:firstLineChars="200"/>
                    <w:rPr>
                      <w:rFonts w:cs="Times New Roman"/>
                      <w:kern w:val="0"/>
                      <w:sz w:val="21"/>
                      <w:szCs w:val="16"/>
                    </w:rPr>
                  </w:pPr>
                  <w:r>
                    <w:rPr>
                      <w:rFonts w:hint="eastAsia" w:cs="Times New Roman"/>
                      <w:kern w:val="0"/>
                      <w:sz w:val="21"/>
                      <w:szCs w:val="16"/>
                    </w:rPr>
                    <w:t>本工程冬季采用电采暖。</w:t>
                  </w:r>
                </w:p>
              </w:tc>
              <w:tc>
                <w:tcPr>
                  <w:tcW w:w="763" w:type="pct"/>
                  <w:vAlign w:val="center"/>
                </w:tcPr>
                <w:p w14:paraId="31EFD3A1">
                  <w:pPr>
                    <w:jc w:val="center"/>
                    <w:rPr>
                      <w:rFonts w:cs="Times New Roman"/>
                      <w:kern w:val="0"/>
                      <w:sz w:val="21"/>
                      <w:szCs w:val="16"/>
                    </w:rPr>
                  </w:pPr>
                  <w:r>
                    <w:rPr>
                      <w:rFonts w:hint="eastAsia" w:cs="Times New Roman"/>
                      <w:i/>
                      <w:iCs/>
                      <w:kern w:val="0"/>
                      <w:sz w:val="21"/>
                      <w:szCs w:val="16"/>
                      <w:u w:val="single"/>
                    </w:rPr>
                    <w:t>无变化</w:t>
                  </w:r>
                </w:p>
              </w:tc>
            </w:tr>
            <w:tr w14:paraId="5AADDE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restart"/>
                  <w:vAlign w:val="center"/>
                </w:tcPr>
                <w:p w14:paraId="465D7CCC">
                  <w:pPr>
                    <w:jc w:val="center"/>
                    <w:rPr>
                      <w:rFonts w:cs="Times New Roman"/>
                      <w:kern w:val="0"/>
                      <w:sz w:val="21"/>
                      <w:szCs w:val="16"/>
                    </w:rPr>
                  </w:pPr>
                  <w:r>
                    <w:rPr>
                      <w:rFonts w:hint="eastAsia" w:cs="Times New Roman"/>
                      <w:kern w:val="0"/>
                      <w:sz w:val="21"/>
                      <w:szCs w:val="16"/>
                    </w:rPr>
                    <w:t>临时工程</w:t>
                  </w:r>
                </w:p>
              </w:tc>
              <w:tc>
                <w:tcPr>
                  <w:tcW w:w="586" w:type="pct"/>
                  <w:gridSpan w:val="2"/>
                  <w:vAlign w:val="center"/>
                </w:tcPr>
                <w:p w14:paraId="0B896751">
                  <w:pPr>
                    <w:jc w:val="center"/>
                    <w:rPr>
                      <w:rFonts w:cs="Times New Roman"/>
                      <w:kern w:val="0"/>
                      <w:sz w:val="21"/>
                      <w:szCs w:val="16"/>
                    </w:rPr>
                  </w:pPr>
                  <w:r>
                    <w:rPr>
                      <w:rFonts w:hint="eastAsia" w:cs="Times New Roman"/>
                      <w:kern w:val="0"/>
                      <w:sz w:val="21"/>
                      <w:szCs w:val="16"/>
                    </w:rPr>
                    <w:t>施工场地</w:t>
                  </w:r>
                </w:p>
              </w:tc>
              <w:tc>
                <w:tcPr>
                  <w:tcW w:w="3141" w:type="pct"/>
                  <w:vAlign w:val="center"/>
                </w:tcPr>
                <w:p w14:paraId="314D53A9">
                  <w:pPr>
                    <w:ind w:firstLine="420" w:firstLineChars="200"/>
                    <w:rPr>
                      <w:rFonts w:cs="Times New Roman"/>
                      <w:kern w:val="0"/>
                      <w:sz w:val="21"/>
                      <w:szCs w:val="16"/>
                    </w:rPr>
                  </w:pPr>
                  <w:r>
                    <w:rPr>
                      <w:rFonts w:hint="eastAsia" w:cs="Times New Roman"/>
                      <w:kern w:val="0"/>
                      <w:sz w:val="21"/>
                      <w:szCs w:val="16"/>
                    </w:rPr>
                    <w:t>本工程于永久占地范围内设置施工场地，无新增临时占地。</w:t>
                  </w:r>
                </w:p>
              </w:tc>
              <w:tc>
                <w:tcPr>
                  <w:tcW w:w="763" w:type="pct"/>
                  <w:vAlign w:val="center"/>
                </w:tcPr>
                <w:p w14:paraId="2589E742">
                  <w:pPr>
                    <w:jc w:val="center"/>
                    <w:rPr>
                      <w:rFonts w:cs="Times New Roman"/>
                      <w:kern w:val="0"/>
                      <w:sz w:val="21"/>
                      <w:szCs w:val="16"/>
                    </w:rPr>
                  </w:pPr>
                  <w:r>
                    <w:rPr>
                      <w:rFonts w:hint="eastAsia" w:cs="Times New Roman"/>
                      <w:i/>
                      <w:iCs/>
                      <w:kern w:val="0"/>
                      <w:sz w:val="21"/>
                      <w:szCs w:val="16"/>
                      <w:u w:val="single"/>
                    </w:rPr>
                    <w:t>无变化</w:t>
                  </w:r>
                </w:p>
              </w:tc>
            </w:tr>
            <w:tr w14:paraId="39E483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5B373D51">
                  <w:pPr>
                    <w:jc w:val="center"/>
                    <w:rPr>
                      <w:rFonts w:cs="Times New Roman"/>
                      <w:kern w:val="0"/>
                      <w:sz w:val="21"/>
                      <w:szCs w:val="16"/>
                    </w:rPr>
                  </w:pPr>
                </w:p>
              </w:tc>
              <w:tc>
                <w:tcPr>
                  <w:tcW w:w="586" w:type="pct"/>
                  <w:gridSpan w:val="2"/>
                  <w:vAlign w:val="center"/>
                </w:tcPr>
                <w:p w14:paraId="71382F7A">
                  <w:pPr>
                    <w:jc w:val="center"/>
                    <w:rPr>
                      <w:rFonts w:cs="Times New Roman"/>
                      <w:i/>
                      <w:iCs/>
                      <w:kern w:val="0"/>
                      <w:sz w:val="21"/>
                      <w:szCs w:val="16"/>
                      <w:u w:val="single"/>
                    </w:rPr>
                  </w:pPr>
                  <w:r>
                    <w:rPr>
                      <w:rFonts w:hint="eastAsia" w:cs="Times New Roman"/>
                      <w:i/>
                      <w:iCs/>
                      <w:kern w:val="0"/>
                      <w:sz w:val="21"/>
                      <w:szCs w:val="16"/>
                      <w:u w:val="single"/>
                    </w:rPr>
                    <w:t>施工便道</w:t>
                  </w:r>
                </w:p>
              </w:tc>
              <w:tc>
                <w:tcPr>
                  <w:tcW w:w="3141" w:type="pct"/>
                  <w:vAlign w:val="center"/>
                </w:tcPr>
                <w:p w14:paraId="13826079">
                  <w:pPr>
                    <w:ind w:firstLine="420" w:firstLineChars="200"/>
                    <w:rPr>
                      <w:rFonts w:cs="Times New Roman"/>
                      <w:i/>
                      <w:iCs/>
                      <w:kern w:val="0"/>
                      <w:sz w:val="21"/>
                      <w:szCs w:val="16"/>
                      <w:u w:val="single"/>
                    </w:rPr>
                  </w:pPr>
                  <w:r>
                    <w:rPr>
                      <w:rFonts w:hint="eastAsia" w:cs="Times New Roman"/>
                      <w:i/>
                      <w:iCs/>
                      <w:kern w:val="0"/>
                      <w:sz w:val="21"/>
                      <w:szCs w:val="16"/>
                      <w:u w:val="single"/>
                    </w:rPr>
                    <w:t>本工程不设置施工便道。</w:t>
                  </w:r>
                </w:p>
              </w:tc>
              <w:tc>
                <w:tcPr>
                  <w:tcW w:w="763" w:type="pct"/>
                  <w:vAlign w:val="center"/>
                </w:tcPr>
                <w:p w14:paraId="729EFEFE">
                  <w:pPr>
                    <w:jc w:val="center"/>
                    <w:rPr>
                      <w:rFonts w:cs="Times New Roman"/>
                      <w:i/>
                      <w:iCs/>
                      <w:kern w:val="0"/>
                      <w:sz w:val="21"/>
                      <w:szCs w:val="16"/>
                      <w:u w:val="single"/>
                    </w:rPr>
                  </w:pPr>
                  <w:r>
                    <w:rPr>
                      <w:rFonts w:hint="eastAsia" w:cs="Times New Roman"/>
                      <w:i/>
                      <w:iCs/>
                      <w:kern w:val="0"/>
                      <w:sz w:val="21"/>
                      <w:szCs w:val="16"/>
                      <w:u w:val="single"/>
                    </w:rPr>
                    <w:t>无变化</w:t>
                  </w:r>
                </w:p>
              </w:tc>
            </w:tr>
            <w:tr w14:paraId="3C023E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0E9ECC7E">
                  <w:pPr>
                    <w:jc w:val="center"/>
                    <w:rPr>
                      <w:rFonts w:cs="Times New Roman"/>
                      <w:kern w:val="0"/>
                      <w:sz w:val="21"/>
                      <w:szCs w:val="16"/>
                    </w:rPr>
                  </w:pPr>
                </w:p>
              </w:tc>
              <w:tc>
                <w:tcPr>
                  <w:tcW w:w="586" w:type="pct"/>
                  <w:gridSpan w:val="2"/>
                  <w:vAlign w:val="center"/>
                </w:tcPr>
                <w:p w14:paraId="7D17C7A6">
                  <w:pPr>
                    <w:jc w:val="center"/>
                    <w:rPr>
                      <w:rFonts w:cs="Times New Roman"/>
                      <w:kern w:val="0"/>
                      <w:sz w:val="21"/>
                      <w:szCs w:val="16"/>
                    </w:rPr>
                  </w:pPr>
                  <w:r>
                    <w:rPr>
                      <w:rFonts w:hint="eastAsia" w:cs="Times New Roman"/>
                      <w:kern w:val="0"/>
                      <w:sz w:val="21"/>
                      <w:szCs w:val="16"/>
                    </w:rPr>
                    <w:t>拌合场</w:t>
                  </w:r>
                </w:p>
              </w:tc>
              <w:tc>
                <w:tcPr>
                  <w:tcW w:w="3141" w:type="pct"/>
                  <w:vAlign w:val="center"/>
                </w:tcPr>
                <w:p w14:paraId="14532F42">
                  <w:pPr>
                    <w:ind w:firstLine="420" w:firstLineChars="200"/>
                    <w:rPr>
                      <w:rFonts w:cs="Times New Roman"/>
                      <w:kern w:val="0"/>
                      <w:sz w:val="21"/>
                      <w:szCs w:val="16"/>
                    </w:rPr>
                  </w:pPr>
                  <w:r>
                    <w:rPr>
                      <w:rFonts w:hint="eastAsia" w:cs="Times New Roman"/>
                      <w:kern w:val="0"/>
                      <w:sz w:val="21"/>
                      <w:szCs w:val="16"/>
                    </w:rPr>
                    <w:t>本工程不设置拌合场地。</w:t>
                  </w:r>
                </w:p>
              </w:tc>
              <w:tc>
                <w:tcPr>
                  <w:tcW w:w="763" w:type="pct"/>
                  <w:vAlign w:val="center"/>
                </w:tcPr>
                <w:p w14:paraId="73FCD157">
                  <w:pPr>
                    <w:jc w:val="center"/>
                    <w:rPr>
                      <w:rFonts w:cs="Times New Roman"/>
                      <w:kern w:val="0"/>
                      <w:sz w:val="21"/>
                      <w:szCs w:val="16"/>
                    </w:rPr>
                  </w:pPr>
                  <w:r>
                    <w:rPr>
                      <w:rFonts w:hint="eastAsia" w:cs="Times New Roman"/>
                      <w:i/>
                      <w:iCs/>
                      <w:kern w:val="0"/>
                      <w:sz w:val="21"/>
                      <w:szCs w:val="16"/>
                      <w:u w:val="single"/>
                    </w:rPr>
                    <w:t>无变化</w:t>
                  </w:r>
                </w:p>
              </w:tc>
            </w:tr>
            <w:tr w14:paraId="66546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3D1EB92B">
                  <w:pPr>
                    <w:jc w:val="center"/>
                    <w:rPr>
                      <w:rFonts w:cs="Times New Roman"/>
                      <w:kern w:val="0"/>
                      <w:sz w:val="21"/>
                      <w:szCs w:val="16"/>
                    </w:rPr>
                  </w:pPr>
                </w:p>
              </w:tc>
              <w:tc>
                <w:tcPr>
                  <w:tcW w:w="586" w:type="pct"/>
                  <w:gridSpan w:val="2"/>
                  <w:vAlign w:val="center"/>
                </w:tcPr>
                <w:p w14:paraId="5EB2827B">
                  <w:pPr>
                    <w:jc w:val="center"/>
                    <w:rPr>
                      <w:rFonts w:cs="Times New Roman"/>
                      <w:kern w:val="0"/>
                      <w:sz w:val="21"/>
                      <w:szCs w:val="16"/>
                    </w:rPr>
                  </w:pPr>
                  <w:r>
                    <w:rPr>
                      <w:rFonts w:hint="eastAsia" w:cs="Times New Roman"/>
                      <w:kern w:val="0"/>
                      <w:sz w:val="21"/>
                      <w:szCs w:val="16"/>
                    </w:rPr>
                    <w:t>取、弃土场</w:t>
                  </w:r>
                </w:p>
              </w:tc>
              <w:tc>
                <w:tcPr>
                  <w:tcW w:w="3141" w:type="pct"/>
                  <w:vAlign w:val="center"/>
                </w:tcPr>
                <w:p w14:paraId="01449D0D">
                  <w:pPr>
                    <w:ind w:firstLine="420" w:firstLineChars="200"/>
                    <w:rPr>
                      <w:rFonts w:cs="Times New Roman"/>
                      <w:kern w:val="0"/>
                      <w:sz w:val="21"/>
                      <w:szCs w:val="16"/>
                    </w:rPr>
                  </w:pPr>
                  <w:r>
                    <w:rPr>
                      <w:rFonts w:hint="eastAsia" w:cs="Times New Roman"/>
                      <w:kern w:val="0"/>
                      <w:sz w:val="21"/>
                      <w:szCs w:val="16"/>
                    </w:rPr>
                    <w:t>本工程不设置取、弃土场。</w:t>
                  </w:r>
                </w:p>
              </w:tc>
              <w:tc>
                <w:tcPr>
                  <w:tcW w:w="763" w:type="pct"/>
                  <w:vAlign w:val="center"/>
                </w:tcPr>
                <w:p w14:paraId="755FF090">
                  <w:pPr>
                    <w:jc w:val="center"/>
                    <w:rPr>
                      <w:rFonts w:cs="Times New Roman"/>
                      <w:kern w:val="0"/>
                      <w:sz w:val="21"/>
                      <w:szCs w:val="16"/>
                    </w:rPr>
                  </w:pPr>
                  <w:r>
                    <w:rPr>
                      <w:rFonts w:hint="eastAsia" w:cs="Times New Roman"/>
                      <w:i/>
                      <w:iCs/>
                      <w:kern w:val="0"/>
                      <w:sz w:val="21"/>
                      <w:szCs w:val="16"/>
                      <w:u w:val="single"/>
                    </w:rPr>
                    <w:t>无变化</w:t>
                  </w:r>
                </w:p>
              </w:tc>
            </w:tr>
            <w:tr w14:paraId="13A412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7" w:type="pct"/>
                <w:jc w:val="center"/>
              </w:trPr>
              <w:tc>
                <w:tcPr>
                  <w:tcW w:w="453" w:type="pct"/>
                  <w:vMerge w:val="continue"/>
                  <w:vAlign w:val="center"/>
                </w:tcPr>
                <w:p w14:paraId="4E756B76">
                  <w:pPr>
                    <w:jc w:val="center"/>
                    <w:rPr>
                      <w:rFonts w:cs="Times New Roman"/>
                      <w:kern w:val="0"/>
                      <w:sz w:val="21"/>
                      <w:szCs w:val="16"/>
                    </w:rPr>
                  </w:pPr>
                </w:p>
              </w:tc>
              <w:tc>
                <w:tcPr>
                  <w:tcW w:w="586" w:type="pct"/>
                  <w:gridSpan w:val="2"/>
                  <w:vAlign w:val="center"/>
                </w:tcPr>
                <w:p w14:paraId="09A864F0">
                  <w:pPr>
                    <w:jc w:val="center"/>
                    <w:rPr>
                      <w:rFonts w:cs="Times New Roman"/>
                      <w:kern w:val="0"/>
                      <w:sz w:val="21"/>
                      <w:szCs w:val="16"/>
                    </w:rPr>
                  </w:pPr>
                  <w:r>
                    <w:rPr>
                      <w:rFonts w:hint="eastAsia" w:cs="Times New Roman"/>
                      <w:kern w:val="0"/>
                      <w:sz w:val="21"/>
                      <w:szCs w:val="16"/>
                    </w:rPr>
                    <w:t>施工营地</w:t>
                  </w:r>
                </w:p>
              </w:tc>
              <w:tc>
                <w:tcPr>
                  <w:tcW w:w="3141" w:type="pct"/>
                  <w:vAlign w:val="center"/>
                </w:tcPr>
                <w:p w14:paraId="1C350137">
                  <w:pPr>
                    <w:ind w:firstLine="420" w:firstLineChars="200"/>
                    <w:jc w:val="left"/>
                    <w:rPr>
                      <w:rFonts w:cs="Times New Roman"/>
                      <w:kern w:val="0"/>
                      <w:sz w:val="21"/>
                      <w:szCs w:val="16"/>
                      <w:highlight w:val="yellow"/>
                    </w:rPr>
                  </w:pPr>
                  <w:r>
                    <w:rPr>
                      <w:rFonts w:hint="eastAsia" w:cs="Times New Roman"/>
                      <w:kern w:val="0"/>
                      <w:sz w:val="21"/>
                      <w:szCs w:val="16"/>
                    </w:rPr>
                    <w:t>本工程施工人员均来自当地，故不设置施工营地。</w:t>
                  </w:r>
                </w:p>
              </w:tc>
              <w:tc>
                <w:tcPr>
                  <w:tcW w:w="763" w:type="pct"/>
                  <w:vAlign w:val="center"/>
                </w:tcPr>
                <w:p w14:paraId="2681DE63">
                  <w:pPr>
                    <w:jc w:val="center"/>
                    <w:rPr>
                      <w:rFonts w:cs="Times New Roman"/>
                      <w:kern w:val="0"/>
                      <w:sz w:val="21"/>
                      <w:szCs w:val="16"/>
                    </w:rPr>
                  </w:pPr>
                  <w:r>
                    <w:rPr>
                      <w:rFonts w:hint="eastAsia" w:cs="Times New Roman"/>
                      <w:i/>
                      <w:iCs/>
                      <w:kern w:val="0"/>
                      <w:sz w:val="21"/>
                      <w:szCs w:val="16"/>
                      <w:u w:val="single"/>
                    </w:rPr>
                    <w:t>无变化</w:t>
                  </w:r>
                </w:p>
              </w:tc>
            </w:tr>
            <w:tr w14:paraId="3DAEE2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restart"/>
                  <w:vAlign w:val="center"/>
                </w:tcPr>
                <w:p w14:paraId="186BABD1">
                  <w:pPr>
                    <w:jc w:val="center"/>
                    <w:rPr>
                      <w:rFonts w:cs="Times New Roman"/>
                      <w:kern w:val="0"/>
                      <w:sz w:val="21"/>
                      <w:szCs w:val="16"/>
                    </w:rPr>
                  </w:pPr>
                  <w:r>
                    <w:rPr>
                      <w:rFonts w:hint="eastAsia" w:cs="Times New Roman"/>
                      <w:kern w:val="0"/>
                      <w:sz w:val="21"/>
                      <w:szCs w:val="16"/>
                    </w:rPr>
                    <w:t>环保工程</w:t>
                  </w:r>
                </w:p>
              </w:tc>
              <w:tc>
                <w:tcPr>
                  <w:tcW w:w="273" w:type="pct"/>
                  <w:vMerge w:val="restart"/>
                  <w:vAlign w:val="center"/>
                </w:tcPr>
                <w:p w14:paraId="75AB3808">
                  <w:pPr>
                    <w:jc w:val="center"/>
                    <w:rPr>
                      <w:rFonts w:cs="Times New Roman"/>
                      <w:kern w:val="0"/>
                      <w:sz w:val="21"/>
                      <w:szCs w:val="16"/>
                    </w:rPr>
                  </w:pPr>
                  <w:r>
                    <w:rPr>
                      <w:rFonts w:hint="eastAsia" w:cs="Times New Roman"/>
                      <w:kern w:val="0"/>
                      <w:sz w:val="21"/>
                      <w:szCs w:val="16"/>
                    </w:rPr>
                    <w:t>施工期</w:t>
                  </w:r>
                </w:p>
              </w:tc>
              <w:tc>
                <w:tcPr>
                  <w:tcW w:w="313" w:type="pct"/>
                  <w:vAlign w:val="center"/>
                </w:tcPr>
                <w:p w14:paraId="44917335">
                  <w:pPr>
                    <w:jc w:val="center"/>
                    <w:rPr>
                      <w:rFonts w:cs="Times New Roman"/>
                      <w:kern w:val="0"/>
                      <w:sz w:val="21"/>
                      <w:szCs w:val="16"/>
                    </w:rPr>
                  </w:pPr>
                  <w:r>
                    <w:rPr>
                      <w:rFonts w:hint="eastAsia" w:cs="Times New Roman"/>
                      <w:kern w:val="0"/>
                      <w:sz w:val="21"/>
                      <w:szCs w:val="16"/>
                    </w:rPr>
                    <w:t>废水</w:t>
                  </w:r>
                </w:p>
              </w:tc>
              <w:tc>
                <w:tcPr>
                  <w:tcW w:w="3141" w:type="pct"/>
                  <w:vAlign w:val="center"/>
                </w:tcPr>
                <w:p w14:paraId="1AFD8C1A">
                  <w:pPr>
                    <w:ind w:firstLine="420" w:firstLineChars="200"/>
                    <w:rPr>
                      <w:rFonts w:cs="Times New Roman"/>
                      <w:kern w:val="0"/>
                      <w:sz w:val="21"/>
                      <w:szCs w:val="16"/>
                    </w:rPr>
                  </w:pPr>
                  <w:r>
                    <w:rPr>
                      <w:rFonts w:hint="eastAsia" w:cs="Times New Roman"/>
                      <w:kern w:val="0"/>
                      <w:sz w:val="21"/>
                      <w:szCs w:val="16"/>
                    </w:rPr>
                    <w:t>施工生产废水主要为来各种施工机械设备的冲洗水，项目施工场地内设置临时防渗沉淀池（1座，容积5m³），经沉淀后回用于抑尘，不外排。</w:t>
                  </w:r>
                </w:p>
              </w:tc>
              <w:tc>
                <w:tcPr>
                  <w:tcW w:w="820" w:type="pct"/>
                  <w:gridSpan w:val="2"/>
                  <w:vAlign w:val="center"/>
                </w:tcPr>
                <w:p w14:paraId="4C992DF6">
                  <w:pPr>
                    <w:jc w:val="center"/>
                    <w:rPr>
                      <w:rFonts w:cs="Times New Roman"/>
                      <w:kern w:val="0"/>
                      <w:sz w:val="21"/>
                      <w:szCs w:val="16"/>
                    </w:rPr>
                  </w:pPr>
                  <w:r>
                    <w:rPr>
                      <w:rFonts w:hint="eastAsia" w:cs="Times New Roman"/>
                      <w:i/>
                      <w:iCs/>
                      <w:kern w:val="0"/>
                      <w:sz w:val="21"/>
                      <w:szCs w:val="16"/>
                      <w:u w:val="single"/>
                    </w:rPr>
                    <w:t>无变化</w:t>
                  </w:r>
                </w:p>
              </w:tc>
            </w:tr>
            <w:tr w14:paraId="736465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continue"/>
                  <w:vAlign w:val="center"/>
                </w:tcPr>
                <w:p w14:paraId="7932C5D8">
                  <w:pPr>
                    <w:jc w:val="center"/>
                    <w:rPr>
                      <w:rFonts w:cs="Times New Roman"/>
                      <w:kern w:val="0"/>
                      <w:sz w:val="21"/>
                      <w:szCs w:val="16"/>
                    </w:rPr>
                  </w:pPr>
                </w:p>
              </w:tc>
              <w:tc>
                <w:tcPr>
                  <w:tcW w:w="273" w:type="pct"/>
                  <w:vMerge w:val="continue"/>
                  <w:vAlign w:val="center"/>
                </w:tcPr>
                <w:p w14:paraId="2BDCEEC6">
                  <w:pPr>
                    <w:jc w:val="center"/>
                    <w:rPr>
                      <w:rFonts w:cs="Times New Roman"/>
                      <w:kern w:val="0"/>
                      <w:sz w:val="21"/>
                      <w:szCs w:val="16"/>
                    </w:rPr>
                  </w:pPr>
                </w:p>
              </w:tc>
              <w:tc>
                <w:tcPr>
                  <w:tcW w:w="313" w:type="pct"/>
                  <w:vAlign w:val="center"/>
                </w:tcPr>
                <w:p w14:paraId="55C0ECC8">
                  <w:pPr>
                    <w:jc w:val="center"/>
                    <w:rPr>
                      <w:rFonts w:cs="Times New Roman"/>
                      <w:kern w:val="0"/>
                      <w:sz w:val="21"/>
                      <w:szCs w:val="16"/>
                    </w:rPr>
                  </w:pPr>
                  <w:r>
                    <w:rPr>
                      <w:rFonts w:hint="eastAsia" w:cs="Times New Roman"/>
                      <w:kern w:val="0"/>
                      <w:sz w:val="21"/>
                      <w:szCs w:val="16"/>
                    </w:rPr>
                    <w:t>废气</w:t>
                  </w:r>
                </w:p>
              </w:tc>
              <w:tc>
                <w:tcPr>
                  <w:tcW w:w="3141" w:type="pct"/>
                  <w:vAlign w:val="center"/>
                </w:tcPr>
                <w:p w14:paraId="6548A01A">
                  <w:pPr>
                    <w:ind w:firstLine="420" w:firstLineChars="200"/>
                    <w:rPr>
                      <w:rFonts w:cs="Times New Roman"/>
                      <w:kern w:val="0"/>
                      <w:sz w:val="21"/>
                      <w:szCs w:val="16"/>
                    </w:rPr>
                  </w:pPr>
                  <w:r>
                    <w:rPr>
                      <w:rFonts w:hint="eastAsia" w:cs="Times New Roman"/>
                      <w:kern w:val="0"/>
                      <w:sz w:val="21"/>
                      <w:szCs w:val="16"/>
                    </w:rPr>
                    <w:t>施工临时堆土及建材堆放设置挡板、上覆遮盖材料，施工运输车辆采取密闭措施或加盖防尘布。</w:t>
                  </w:r>
                </w:p>
              </w:tc>
              <w:tc>
                <w:tcPr>
                  <w:tcW w:w="820" w:type="pct"/>
                  <w:gridSpan w:val="2"/>
                  <w:vAlign w:val="center"/>
                </w:tcPr>
                <w:p w14:paraId="289DEC04">
                  <w:pPr>
                    <w:jc w:val="center"/>
                    <w:rPr>
                      <w:rFonts w:cs="Times New Roman"/>
                      <w:kern w:val="0"/>
                      <w:sz w:val="21"/>
                      <w:szCs w:val="16"/>
                    </w:rPr>
                  </w:pPr>
                  <w:r>
                    <w:rPr>
                      <w:rFonts w:hint="eastAsia" w:cs="Times New Roman"/>
                      <w:i/>
                      <w:iCs/>
                      <w:kern w:val="0"/>
                      <w:sz w:val="21"/>
                      <w:szCs w:val="16"/>
                      <w:u w:val="single"/>
                    </w:rPr>
                    <w:t>无变化</w:t>
                  </w:r>
                </w:p>
              </w:tc>
            </w:tr>
            <w:tr w14:paraId="2B4864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continue"/>
                  <w:vAlign w:val="center"/>
                </w:tcPr>
                <w:p w14:paraId="6DA5DBBA">
                  <w:pPr>
                    <w:jc w:val="center"/>
                    <w:rPr>
                      <w:rFonts w:cs="Times New Roman"/>
                      <w:kern w:val="0"/>
                      <w:sz w:val="21"/>
                      <w:szCs w:val="16"/>
                    </w:rPr>
                  </w:pPr>
                </w:p>
              </w:tc>
              <w:tc>
                <w:tcPr>
                  <w:tcW w:w="273" w:type="pct"/>
                  <w:vMerge w:val="continue"/>
                  <w:vAlign w:val="center"/>
                </w:tcPr>
                <w:p w14:paraId="0EEB712C">
                  <w:pPr>
                    <w:jc w:val="center"/>
                    <w:rPr>
                      <w:rFonts w:cs="Times New Roman"/>
                      <w:kern w:val="0"/>
                      <w:sz w:val="21"/>
                      <w:szCs w:val="16"/>
                    </w:rPr>
                  </w:pPr>
                </w:p>
              </w:tc>
              <w:tc>
                <w:tcPr>
                  <w:tcW w:w="313" w:type="pct"/>
                  <w:vAlign w:val="center"/>
                </w:tcPr>
                <w:p w14:paraId="79616F89">
                  <w:pPr>
                    <w:jc w:val="center"/>
                    <w:rPr>
                      <w:rFonts w:cs="Times New Roman"/>
                      <w:kern w:val="0"/>
                      <w:sz w:val="21"/>
                      <w:szCs w:val="16"/>
                    </w:rPr>
                  </w:pPr>
                  <w:r>
                    <w:rPr>
                      <w:rFonts w:hint="eastAsia" w:cs="Times New Roman"/>
                      <w:kern w:val="0"/>
                      <w:sz w:val="21"/>
                      <w:szCs w:val="16"/>
                    </w:rPr>
                    <w:t>噪声</w:t>
                  </w:r>
                </w:p>
              </w:tc>
              <w:tc>
                <w:tcPr>
                  <w:tcW w:w="3141" w:type="pct"/>
                  <w:vAlign w:val="center"/>
                </w:tcPr>
                <w:p w14:paraId="2A00D0B5">
                  <w:pPr>
                    <w:ind w:firstLine="420" w:firstLineChars="200"/>
                    <w:rPr>
                      <w:rFonts w:cs="Times New Roman"/>
                      <w:kern w:val="0"/>
                      <w:sz w:val="21"/>
                      <w:szCs w:val="16"/>
                    </w:rPr>
                  </w:pPr>
                  <w:r>
                    <w:rPr>
                      <w:rFonts w:hint="eastAsia" w:cs="Times New Roman"/>
                      <w:kern w:val="0"/>
                      <w:sz w:val="21"/>
                      <w:szCs w:val="16"/>
                    </w:rPr>
                    <w:t>施工过程中采用低噪声设备，设置移动式隔声屏，制定合理的物料运输线路和运输时间。禁止鸣笛、将噪声级大的施工作业安排在白天进行。</w:t>
                  </w:r>
                </w:p>
              </w:tc>
              <w:tc>
                <w:tcPr>
                  <w:tcW w:w="820" w:type="pct"/>
                  <w:gridSpan w:val="2"/>
                  <w:vAlign w:val="center"/>
                </w:tcPr>
                <w:p w14:paraId="7C4A2D4C">
                  <w:pPr>
                    <w:jc w:val="center"/>
                    <w:rPr>
                      <w:rFonts w:cs="Times New Roman"/>
                      <w:kern w:val="0"/>
                      <w:sz w:val="21"/>
                      <w:szCs w:val="16"/>
                    </w:rPr>
                  </w:pPr>
                  <w:r>
                    <w:rPr>
                      <w:rFonts w:hint="eastAsia" w:cs="Times New Roman"/>
                      <w:i/>
                      <w:iCs/>
                      <w:kern w:val="0"/>
                      <w:sz w:val="21"/>
                      <w:szCs w:val="16"/>
                      <w:u w:val="single"/>
                    </w:rPr>
                    <w:t>无变化</w:t>
                  </w:r>
                </w:p>
              </w:tc>
            </w:tr>
            <w:tr w14:paraId="408F47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continue"/>
                  <w:vAlign w:val="center"/>
                </w:tcPr>
                <w:p w14:paraId="1334F29E">
                  <w:pPr>
                    <w:jc w:val="center"/>
                    <w:rPr>
                      <w:rFonts w:cs="Times New Roman"/>
                      <w:kern w:val="0"/>
                      <w:sz w:val="21"/>
                      <w:szCs w:val="16"/>
                    </w:rPr>
                  </w:pPr>
                </w:p>
              </w:tc>
              <w:tc>
                <w:tcPr>
                  <w:tcW w:w="273" w:type="pct"/>
                  <w:vMerge w:val="continue"/>
                  <w:vAlign w:val="center"/>
                </w:tcPr>
                <w:p w14:paraId="714C6193">
                  <w:pPr>
                    <w:jc w:val="center"/>
                    <w:rPr>
                      <w:rFonts w:cs="Times New Roman"/>
                      <w:kern w:val="0"/>
                      <w:sz w:val="21"/>
                      <w:szCs w:val="16"/>
                    </w:rPr>
                  </w:pPr>
                </w:p>
              </w:tc>
              <w:tc>
                <w:tcPr>
                  <w:tcW w:w="313" w:type="pct"/>
                  <w:vAlign w:val="center"/>
                </w:tcPr>
                <w:p w14:paraId="1A483DDD">
                  <w:pPr>
                    <w:jc w:val="center"/>
                    <w:rPr>
                      <w:rFonts w:cs="Times New Roman"/>
                      <w:kern w:val="0"/>
                      <w:sz w:val="21"/>
                      <w:szCs w:val="16"/>
                    </w:rPr>
                  </w:pPr>
                  <w:r>
                    <w:rPr>
                      <w:rFonts w:hint="eastAsia" w:cs="Times New Roman"/>
                      <w:kern w:val="0"/>
                      <w:sz w:val="21"/>
                      <w:szCs w:val="16"/>
                    </w:rPr>
                    <w:t>固体废物</w:t>
                  </w:r>
                </w:p>
              </w:tc>
              <w:tc>
                <w:tcPr>
                  <w:tcW w:w="3141" w:type="pct"/>
                  <w:vAlign w:val="center"/>
                </w:tcPr>
                <w:p w14:paraId="451F7F49">
                  <w:pPr>
                    <w:ind w:firstLine="420" w:firstLineChars="200"/>
                    <w:jc w:val="left"/>
                    <w:rPr>
                      <w:rFonts w:cs="Times New Roman"/>
                      <w:kern w:val="0"/>
                      <w:sz w:val="21"/>
                      <w:szCs w:val="16"/>
                    </w:rPr>
                  </w:pPr>
                  <w:r>
                    <w:rPr>
                      <w:rFonts w:hint="eastAsia" w:cs="Times New Roman"/>
                      <w:kern w:val="0"/>
                      <w:sz w:val="21"/>
                      <w:szCs w:val="16"/>
                    </w:rPr>
                    <w:t>本工程施工过程中产生的开挖土方用于陆域回填，无弃方产生；施工过程中产生的建筑垃圾，集中收集并运至住建部门指定的建筑垃圾处置场处置；施工人员生活垃圾由环卫部门统一处理。</w:t>
                  </w:r>
                </w:p>
              </w:tc>
              <w:tc>
                <w:tcPr>
                  <w:tcW w:w="820" w:type="pct"/>
                  <w:gridSpan w:val="2"/>
                  <w:vAlign w:val="center"/>
                </w:tcPr>
                <w:p w14:paraId="7AFA2E4B">
                  <w:pPr>
                    <w:jc w:val="center"/>
                    <w:rPr>
                      <w:rFonts w:cs="Times New Roman"/>
                      <w:kern w:val="0"/>
                      <w:sz w:val="21"/>
                      <w:szCs w:val="16"/>
                    </w:rPr>
                  </w:pPr>
                  <w:r>
                    <w:rPr>
                      <w:rFonts w:hint="eastAsia" w:cs="Times New Roman"/>
                      <w:i/>
                      <w:iCs/>
                      <w:kern w:val="0"/>
                      <w:sz w:val="21"/>
                      <w:szCs w:val="16"/>
                      <w:u w:val="single"/>
                    </w:rPr>
                    <w:t>无变化</w:t>
                  </w:r>
                </w:p>
              </w:tc>
            </w:tr>
            <w:tr w14:paraId="223D11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continue"/>
                  <w:vAlign w:val="center"/>
                </w:tcPr>
                <w:p w14:paraId="53AC9E4A">
                  <w:pPr>
                    <w:jc w:val="center"/>
                    <w:rPr>
                      <w:rFonts w:cs="Times New Roman"/>
                      <w:kern w:val="0"/>
                      <w:sz w:val="21"/>
                      <w:szCs w:val="16"/>
                    </w:rPr>
                  </w:pPr>
                </w:p>
              </w:tc>
              <w:tc>
                <w:tcPr>
                  <w:tcW w:w="273" w:type="pct"/>
                  <w:vMerge w:val="restart"/>
                  <w:vAlign w:val="center"/>
                </w:tcPr>
                <w:p w14:paraId="20416064">
                  <w:pPr>
                    <w:jc w:val="center"/>
                    <w:rPr>
                      <w:rFonts w:cs="Times New Roman"/>
                      <w:kern w:val="0"/>
                      <w:sz w:val="21"/>
                      <w:szCs w:val="16"/>
                    </w:rPr>
                  </w:pPr>
                  <w:r>
                    <w:rPr>
                      <w:rFonts w:hint="eastAsia" w:cs="Times New Roman"/>
                      <w:kern w:val="0"/>
                      <w:sz w:val="21"/>
                      <w:szCs w:val="16"/>
                    </w:rPr>
                    <w:t>运营期</w:t>
                  </w:r>
                </w:p>
              </w:tc>
              <w:tc>
                <w:tcPr>
                  <w:tcW w:w="313" w:type="pct"/>
                  <w:vAlign w:val="center"/>
                </w:tcPr>
                <w:p w14:paraId="071B9833">
                  <w:pPr>
                    <w:jc w:val="center"/>
                    <w:rPr>
                      <w:rFonts w:cs="Times New Roman"/>
                      <w:i/>
                      <w:iCs/>
                      <w:kern w:val="0"/>
                      <w:sz w:val="21"/>
                      <w:szCs w:val="16"/>
                      <w:u w:val="single"/>
                    </w:rPr>
                  </w:pPr>
                  <w:r>
                    <w:rPr>
                      <w:rFonts w:hint="eastAsia" w:cs="Times New Roman"/>
                      <w:i/>
                      <w:iCs/>
                      <w:kern w:val="0"/>
                      <w:sz w:val="21"/>
                      <w:szCs w:val="16"/>
                      <w:u w:val="single"/>
                    </w:rPr>
                    <w:t>废水</w:t>
                  </w:r>
                </w:p>
              </w:tc>
              <w:tc>
                <w:tcPr>
                  <w:tcW w:w="3141" w:type="pct"/>
                  <w:vAlign w:val="center"/>
                </w:tcPr>
                <w:p w14:paraId="48AA9506">
                  <w:pPr>
                    <w:ind w:firstLine="420" w:firstLineChars="200"/>
                    <w:jc w:val="left"/>
                    <w:rPr>
                      <w:rFonts w:cs="Times New Roman"/>
                      <w:i/>
                      <w:iCs/>
                      <w:kern w:val="0"/>
                      <w:sz w:val="21"/>
                      <w:szCs w:val="16"/>
                      <w:u w:val="single"/>
                    </w:rPr>
                  </w:pPr>
                  <w:r>
                    <w:rPr>
                      <w:rFonts w:hint="eastAsia" w:cs="Times New Roman"/>
                      <w:i/>
                      <w:iCs/>
                      <w:kern w:val="0"/>
                      <w:sz w:val="21"/>
                      <w:szCs w:val="16"/>
                      <w:u w:val="single"/>
                    </w:rPr>
                    <w:t>本工程运营期除快艇以外，其余船只产生的含油污水由船舶自带油水分离器处理，各船舶含油污水定期抽出，委托长春市瀚拓工业有限公司进行处理，不在本项目码头内暂存；本工程生活污水、船舶冲洗废水分别排入相应的废水收集池，定期清运至临江市污水处理厂处理。</w:t>
                  </w:r>
                </w:p>
              </w:tc>
              <w:tc>
                <w:tcPr>
                  <w:tcW w:w="820" w:type="pct"/>
                  <w:gridSpan w:val="2"/>
                  <w:vAlign w:val="center"/>
                </w:tcPr>
                <w:p w14:paraId="1FC03B90">
                  <w:pPr>
                    <w:jc w:val="center"/>
                    <w:rPr>
                      <w:rFonts w:cs="Times New Roman"/>
                      <w:i/>
                      <w:iCs/>
                      <w:kern w:val="0"/>
                      <w:sz w:val="21"/>
                      <w:szCs w:val="16"/>
                      <w:u w:val="single"/>
                    </w:rPr>
                  </w:pPr>
                  <w:r>
                    <w:rPr>
                      <w:rFonts w:hint="eastAsia" w:cs="Times New Roman"/>
                      <w:i/>
                      <w:iCs/>
                      <w:kern w:val="0"/>
                      <w:sz w:val="21"/>
                      <w:szCs w:val="16"/>
                      <w:u w:val="single"/>
                    </w:rPr>
                    <w:t>与原环评相比，增加船舶冲洗废水的产生</w:t>
                  </w:r>
                </w:p>
              </w:tc>
            </w:tr>
            <w:tr w14:paraId="226272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continue"/>
                  <w:vAlign w:val="center"/>
                </w:tcPr>
                <w:p w14:paraId="3B38C104">
                  <w:pPr>
                    <w:jc w:val="center"/>
                    <w:rPr>
                      <w:rFonts w:cs="Times New Roman"/>
                      <w:kern w:val="0"/>
                      <w:sz w:val="21"/>
                      <w:szCs w:val="16"/>
                    </w:rPr>
                  </w:pPr>
                </w:p>
              </w:tc>
              <w:tc>
                <w:tcPr>
                  <w:tcW w:w="273" w:type="pct"/>
                  <w:vMerge w:val="continue"/>
                  <w:vAlign w:val="center"/>
                </w:tcPr>
                <w:p w14:paraId="0B5199A9">
                  <w:pPr>
                    <w:jc w:val="center"/>
                    <w:rPr>
                      <w:rFonts w:cs="Times New Roman"/>
                      <w:kern w:val="0"/>
                      <w:sz w:val="21"/>
                      <w:szCs w:val="16"/>
                    </w:rPr>
                  </w:pPr>
                </w:p>
              </w:tc>
              <w:tc>
                <w:tcPr>
                  <w:tcW w:w="313" w:type="pct"/>
                  <w:vAlign w:val="center"/>
                </w:tcPr>
                <w:p w14:paraId="5480AEC0">
                  <w:pPr>
                    <w:jc w:val="center"/>
                    <w:rPr>
                      <w:rFonts w:cs="Times New Roman"/>
                      <w:kern w:val="0"/>
                      <w:sz w:val="21"/>
                      <w:szCs w:val="16"/>
                    </w:rPr>
                  </w:pPr>
                  <w:r>
                    <w:rPr>
                      <w:rFonts w:hint="eastAsia" w:cs="Times New Roman"/>
                      <w:kern w:val="0"/>
                      <w:sz w:val="21"/>
                      <w:szCs w:val="16"/>
                    </w:rPr>
                    <w:t>废气</w:t>
                  </w:r>
                </w:p>
              </w:tc>
              <w:tc>
                <w:tcPr>
                  <w:tcW w:w="3141" w:type="pct"/>
                  <w:vAlign w:val="center"/>
                </w:tcPr>
                <w:p w14:paraId="67BCEB17">
                  <w:pPr>
                    <w:ind w:firstLine="420" w:firstLineChars="200"/>
                    <w:jc w:val="left"/>
                    <w:rPr>
                      <w:rFonts w:cs="Times New Roman"/>
                      <w:kern w:val="0"/>
                      <w:sz w:val="21"/>
                      <w:szCs w:val="16"/>
                    </w:rPr>
                  </w:pPr>
                  <w:r>
                    <w:rPr>
                      <w:rFonts w:hint="eastAsia" w:cs="Times New Roman"/>
                      <w:kern w:val="0"/>
                      <w:sz w:val="21"/>
                      <w:szCs w:val="16"/>
                    </w:rPr>
                    <w:t>运行期采暖采用电加热；食堂油烟经油烟净化装置处理；针对疏浚物采取苫盖、围挡降低扬尘产生。</w:t>
                  </w:r>
                </w:p>
              </w:tc>
              <w:tc>
                <w:tcPr>
                  <w:tcW w:w="820" w:type="pct"/>
                  <w:gridSpan w:val="2"/>
                  <w:vAlign w:val="center"/>
                </w:tcPr>
                <w:p w14:paraId="70D07990">
                  <w:pPr>
                    <w:jc w:val="center"/>
                    <w:rPr>
                      <w:rFonts w:cs="Times New Roman"/>
                      <w:kern w:val="0"/>
                      <w:sz w:val="21"/>
                      <w:szCs w:val="16"/>
                    </w:rPr>
                  </w:pPr>
                  <w:r>
                    <w:rPr>
                      <w:rFonts w:hint="eastAsia" w:cs="Times New Roman"/>
                      <w:i/>
                      <w:iCs/>
                      <w:kern w:val="0"/>
                      <w:sz w:val="21"/>
                      <w:szCs w:val="16"/>
                      <w:u w:val="single"/>
                    </w:rPr>
                    <w:t>无变化</w:t>
                  </w:r>
                </w:p>
              </w:tc>
            </w:tr>
            <w:tr w14:paraId="5AA920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continue"/>
                  <w:vAlign w:val="center"/>
                </w:tcPr>
                <w:p w14:paraId="35BE49BF">
                  <w:pPr>
                    <w:jc w:val="center"/>
                    <w:rPr>
                      <w:rFonts w:cs="Times New Roman"/>
                      <w:kern w:val="0"/>
                      <w:sz w:val="21"/>
                      <w:szCs w:val="16"/>
                    </w:rPr>
                  </w:pPr>
                </w:p>
              </w:tc>
              <w:tc>
                <w:tcPr>
                  <w:tcW w:w="273" w:type="pct"/>
                  <w:vMerge w:val="continue"/>
                  <w:vAlign w:val="center"/>
                </w:tcPr>
                <w:p w14:paraId="601FE2E0">
                  <w:pPr>
                    <w:jc w:val="center"/>
                    <w:rPr>
                      <w:rFonts w:cs="Times New Roman"/>
                      <w:kern w:val="0"/>
                      <w:sz w:val="21"/>
                      <w:szCs w:val="16"/>
                    </w:rPr>
                  </w:pPr>
                </w:p>
              </w:tc>
              <w:tc>
                <w:tcPr>
                  <w:tcW w:w="313" w:type="pct"/>
                  <w:vAlign w:val="center"/>
                </w:tcPr>
                <w:p w14:paraId="424F97F2">
                  <w:pPr>
                    <w:jc w:val="center"/>
                    <w:rPr>
                      <w:rFonts w:cs="Times New Roman"/>
                      <w:kern w:val="0"/>
                      <w:sz w:val="21"/>
                      <w:szCs w:val="16"/>
                    </w:rPr>
                  </w:pPr>
                  <w:r>
                    <w:rPr>
                      <w:rFonts w:hint="eastAsia" w:cs="Times New Roman"/>
                      <w:kern w:val="0"/>
                      <w:sz w:val="21"/>
                      <w:szCs w:val="16"/>
                    </w:rPr>
                    <w:t>固体废物</w:t>
                  </w:r>
                </w:p>
              </w:tc>
              <w:tc>
                <w:tcPr>
                  <w:tcW w:w="3141" w:type="pct"/>
                  <w:vAlign w:val="center"/>
                </w:tcPr>
                <w:p w14:paraId="02850053">
                  <w:pPr>
                    <w:ind w:firstLine="420" w:firstLineChars="200"/>
                    <w:jc w:val="left"/>
                    <w:rPr>
                      <w:rFonts w:cs="Times New Roman"/>
                      <w:kern w:val="0"/>
                      <w:sz w:val="21"/>
                      <w:szCs w:val="16"/>
                    </w:rPr>
                  </w:pPr>
                  <w:r>
                    <w:rPr>
                      <w:rFonts w:hint="eastAsia" w:cs="Times New Roman"/>
                      <w:kern w:val="0"/>
                      <w:sz w:val="21"/>
                      <w:szCs w:val="16"/>
                    </w:rPr>
                    <w:t>食堂产生的餐厨垃圾及废油脂集中收集，交有资质的单位统一收集、处理；废油于危废仓内暂存，最终交有资质单位处理；工作人员生活垃圾集中收集后，交环卫部门统一处理。</w:t>
                  </w:r>
                </w:p>
              </w:tc>
              <w:tc>
                <w:tcPr>
                  <w:tcW w:w="820" w:type="pct"/>
                  <w:gridSpan w:val="2"/>
                  <w:vAlign w:val="center"/>
                </w:tcPr>
                <w:p w14:paraId="5A39BAE4">
                  <w:pPr>
                    <w:jc w:val="center"/>
                    <w:rPr>
                      <w:rFonts w:cs="Times New Roman"/>
                      <w:kern w:val="0"/>
                      <w:sz w:val="21"/>
                      <w:szCs w:val="16"/>
                    </w:rPr>
                  </w:pPr>
                  <w:r>
                    <w:rPr>
                      <w:rFonts w:hint="eastAsia" w:cs="Times New Roman"/>
                      <w:i/>
                      <w:iCs/>
                      <w:kern w:val="0"/>
                      <w:sz w:val="21"/>
                      <w:szCs w:val="16"/>
                      <w:u w:val="single"/>
                    </w:rPr>
                    <w:t>无变化</w:t>
                  </w:r>
                </w:p>
              </w:tc>
            </w:tr>
            <w:tr w14:paraId="48F95A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53" w:type="pct"/>
                  <w:vMerge w:val="continue"/>
                  <w:vAlign w:val="center"/>
                </w:tcPr>
                <w:p w14:paraId="6A6DEECE">
                  <w:pPr>
                    <w:jc w:val="center"/>
                    <w:rPr>
                      <w:rFonts w:cs="Times New Roman"/>
                      <w:kern w:val="0"/>
                      <w:sz w:val="21"/>
                      <w:szCs w:val="16"/>
                    </w:rPr>
                  </w:pPr>
                </w:p>
              </w:tc>
              <w:tc>
                <w:tcPr>
                  <w:tcW w:w="273" w:type="pct"/>
                  <w:vMerge w:val="continue"/>
                  <w:vAlign w:val="center"/>
                </w:tcPr>
                <w:p w14:paraId="166F368C">
                  <w:pPr>
                    <w:jc w:val="center"/>
                    <w:rPr>
                      <w:rFonts w:cs="Times New Roman"/>
                      <w:kern w:val="0"/>
                      <w:sz w:val="21"/>
                      <w:szCs w:val="16"/>
                    </w:rPr>
                  </w:pPr>
                </w:p>
              </w:tc>
              <w:tc>
                <w:tcPr>
                  <w:tcW w:w="313" w:type="pct"/>
                  <w:vAlign w:val="center"/>
                </w:tcPr>
                <w:p w14:paraId="438C46F1">
                  <w:pPr>
                    <w:jc w:val="center"/>
                    <w:rPr>
                      <w:rFonts w:cs="Times New Roman"/>
                      <w:i/>
                      <w:iCs/>
                      <w:kern w:val="0"/>
                      <w:sz w:val="21"/>
                      <w:szCs w:val="16"/>
                      <w:u w:val="single"/>
                    </w:rPr>
                  </w:pPr>
                  <w:r>
                    <w:rPr>
                      <w:rFonts w:hint="eastAsia" w:cs="Times New Roman"/>
                      <w:i/>
                      <w:iCs/>
                      <w:kern w:val="0"/>
                      <w:sz w:val="21"/>
                      <w:szCs w:val="16"/>
                      <w:u w:val="single"/>
                    </w:rPr>
                    <w:t>风险</w:t>
                  </w:r>
                </w:p>
              </w:tc>
              <w:tc>
                <w:tcPr>
                  <w:tcW w:w="3141" w:type="pct"/>
                  <w:vAlign w:val="center"/>
                </w:tcPr>
                <w:p w14:paraId="778A5A39">
                  <w:pPr>
                    <w:ind w:firstLine="420" w:firstLineChars="200"/>
                    <w:jc w:val="left"/>
                    <w:rPr>
                      <w:rFonts w:cs="Times New Roman"/>
                      <w:i/>
                      <w:iCs/>
                      <w:kern w:val="0"/>
                      <w:sz w:val="21"/>
                      <w:szCs w:val="16"/>
                      <w:u w:val="single"/>
                    </w:rPr>
                  </w:pPr>
                  <w:r>
                    <w:rPr>
                      <w:rFonts w:hint="eastAsia" w:cs="Times New Roman"/>
                      <w:i/>
                      <w:iCs/>
                      <w:kern w:val="0"/>
                      <w:sz w:val="21"/>
                      <w:szCs w:val="16"/>
                      <w:u w:val="single"/>
                    </w:rPr>
                    <w:t>为应对运营期因撞船事故等情况发生的溢油环境风险事件，本项目码头配套配备油拖网、吸油毡等应急物资。</w:t>
                  </w:r>
                </w:p>
              </w:tc>
              <w:tc>
                <w:tcPr>
                  <w:tcW w:w="820" w:type="pct"/>
                  <w:gridSpan w:val="2"/>
                  <w:vAlign w:val="center"/>
                </w:tcPr>
                <w:p w14:paraId="11B43246">
                  <w:pPr>
                    <w:jc w:val="center"/>
                    <w:rPr>
                      <w:rFonts w:cs="Times New Roman"/>
                      <w:i/>
                      <w:iCs/>
                      <w:kern w:val="0"/>
                      <w:sz w:val="21"/>
                      <w:szCs w:val="16"/>
                      <w:u w:val="single"/>
                    </w:rPr>
                  </w:pPr>
                  <w:r>
                    <w:rPr>
                      <w:rFonts w:hint="eastAsia" w:cs="Times New Roman"/>
                      <w:i/>
                      <w:iCs/>
                      <w:kern w:val="0"/>
                      <w:sz w:val="21"/>
                      <w:szCs w:val="16"/>
                      <w:u w:val="single"/>
                    </w:rPr>
                    <w:t>无变化</w:t>
                  </w:r>
                </w:p>
              </w:tc>
            </w:tr>
          </w:tbl>
          <w:p w14:paraId="4F6A2F61">
            <w:pPr>
              <w:spacing w:line="360" w:lineRule="auto"/>
              <w:ind w:firstLine="480" w:firstLineChars="200"/>
            </w:pPr>
          </w:p>
          <w:p w14:paraId="60807BD4">
            <w:pPr>
              <w:spacing w:line="360" w:lineRule="auto"/>
              <w:ind w:firstLine="480" w:firstLineChars="200"/>
            </w:pPr>
            <w:r>
              <w:rPr>
                <w:rFonts w:hint="eastAsia"/>
              </w:rPr>
              <w:t>2、货运量与船型</w:t>
            </w:r>
          </w:p>
          <w:p w14:paraId="4BD1CEAB">
            <w:pPr>
              <w:spacing w:line="360" w:lineRule="auto"/>
              <w:ind w:firstLine="480" w:firstLineChars="200"/>
            </w:pPr>
            <w:r>
              <w:rPr>
                <w:rFonts w:hint="eastAsia"/>
              </w:rPr>
              <w:t>（1）吞吐量</w:t>
            </w:r>
          </w:p>
          <w:p w14:paraId="2B482D48">
            <w:pPr>
              <w:spacing w:line="360" w:lineRule="auto"/>
              <w:ind w:firstLine="480" w:firstLineChars="200"/>
            </w:pPr>
            <w:r>
              <w:rPr>
                <w:rFonts w:hint="eastAsia"/>
              </w:rPr>
              <w:t>本工程为工作船码头，不涉及港口吞吐量。</w:t>
            </w:r>
          </w:p>
          <w:p w14:paraId="2A6B4EBC">
            <w:pPr>
              <w:spacing w:line="360" w:lineRule="auto"/>
              <w:ind w:firstLine="480" w:firstLineChars="200"/>
            </w:pPr>
            <w:r>
              <w:rPr>
                <w:rFonts w:hint="eastAsia"/>
              </w:rPr>
              <w:t>（2）货种、流量和流向</w:t>
            </w:r>
          </w:p>
          <w:p w14:paraId="47CCBA4B">
            <w:pPr>
              <w:spacing w:line="360" w:lineRule="auto"/>
              <w:ind w:firstLine="480" w:firstLineChars="200"/>
            </w:pPr>
            <w:r>
              <w:rPr>
                <w:rFonts w:hint="eastAsia"/>
              </w:rPr>
              <w:t>本工程为工作船码头，主要用于航道疏浚土转运及航标布设。</w:t>
            </w:r>
          </w:p>
          <w:p w14:paraId="43C5D21B">
            <w:pPr>
              <w:spacing w:line="360" w:lineRule="auto"/>
              <w:ind w:firstLine="480" w:firstLineChars="200"/>
            </w:pPr>
            <w:r>
              <w:rPr>
                <w:rFonts w:hint="eastAsia"/>
              </w:rPr>
              <w:t>参考鸭绿江临江分局年平均疏浚量，疏浚砂石量约5000m</w:t>
            </w:r>
            <w:r>
              <w:rPr>
                <w:rFonts w:hint="eastAsia"/>
                <w:vertAlign w:val="superscript"/>
              </w:rPr>
              <w:t>3</w:t>
            </w:r>
            <w:r>
              <w:rPr>
                <w:rFonts w:hint="eastAsia"/>
              </w:rPr>
              <w:t>/年。</w:t>
            </w:r>
          </w:p>
          <w:p w14:paraId="79D4EF1A">
            <w:pPr>
              <w:spacing w:line="360" w:lineRule="auto"/>
              <w:ind w:firstLine="480" w:firstLineChars="200"/>
            </w:pPr>
            <w:r>
              <w:rPr>
                <w:rFonts w:hint="eastAsia"/>
              </w:rPr>
              <w:t>鸭绿江临江分局年度航标养护里程65km（苇沙河—云峰大坝段），最大布标数19座，岸标4座，浮标15座。考虑备用标及远期航道建设，航标最大布设量约50座。主要航标参数见下表：</w:t>
            </w:r>
          </w:p>
          <w:p w14:paraId="7CE6AFA2">
            <w:pPr>
              <w:spacing w:line="360" w:lineRule="auto"/>
              <w:ind w:firstLine="480" w:firstLineChars="200"/>
            </w:pPr>
          </w:p>
          <w:p w14:paraId="517B6077">
            <w:pPr>
              <w:spacing w:line="360" w:lineRule="auto"/>
              <w:jc w:val="center"/>
              <w:rPr>
                <w:b/>
                <w:bCs/>
              </w:rPr>
            </w:pPr>
            <w:r>
              <w:rPr>
                <w:rFonts w:hint="eastAsia"/>
                <w:b/>
                <w:bCs/>
              </w:rPr>
              <w:t>表12      航标参数一览表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523"/>
              <w:gridCol w:w="1523"/>
              <w:gridCol w:w="1523"/>
              <w:gridCol w:w="1523"/>
            </w:tblGrid>
            <w:tr w14:paraId="275EF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2" w:type="dxa"/>
                  <w:vAlign w:val="center"/>
                </w:tcPr>
                <w:p w14:paraId="37D5E3D8">
                  <w:pPr>
                    <w:jc w:val="center"/>
                    <w:rPr>
                      <w:rFonts w:cs="Times New Roman"/>
                      <w:kern w:val="0"/>
                      <w:sz w:val="21"/>
                      <w:szCs w:val="16"/>
                    </w:rPr>
                  </w:pPr>
                  <w:r>
                    <w:rPr>
                      <w:rFonts w:hint="eastAsia" w:cs="Times New Roman"/>
                      <w:kern w:val="0"/>
                      <w:sz w:val="21"/>
                      <w:szCs w:val="16"/>
                    </w:rPr>
                    <w:t>序号</w:t>
                  </w:r>
                </w:p>
              </w:tc>
              <w:tc>
                <w:tcPr>
                  <w:tcW w:w="1523" w:type="dxa"/>
                  <w:vAlign w:val="center"/>
                </w:tcPr>
                <w:p w14:paraId="2392B514">
                  <w:pPr>
                    <w:jc w:val="center"/>
                    <w:rPr>
                      <w:rFonts w:cs="Times New Roman"/>
                      <w:kern w:val="0"/>
                      <w:sz w:val="21"/>
                      <w:szCs w:val="16"/>
                    </w:rPr>
                  </w:pPr>
                  <w:r>
                    <w:rPr>
                      <w:rFonts w:hint="eastAsia" w:cs="Times New Roman"/>
                      <w:kern w:val="0"/>
                      <w:sz w:val="21"/>
                      <w:szCs w:val="16"/>
                    </w:rPr>
                    <w:t>航标规格</w:t>
                  </w:r>
                </w:p>
              </w:tc>
              <w:tc>
                <w:tcPr>
                  <w:tcW w:w="1523" w:type="dxa"/>
                  <w:vAlign w:val="center"/>
                </w:tcPr>
                <w:p w14:paraId="4E39916A">
                  <w:pPr>
                    <w:jc w:val="center"/>
                    <w:rPr>
                      <w:rFonts w:cs="Times New Roman"/>
                      <w:kern w:val="0"/>
                      <w:sz w:val="21"/>
                      <w:szCs w:val="16"/>
                    </w:rPr>
                  </w:pPr>
                  <w:r>
                    <w:rPr>
                      <w:rFonts w:hint="eastAsia" w:cs="Times New Roman"/>
                      <w:kern w:val="0"/>
                      <w:sz w:val="21"/>
                      <w:szCs w:val="16"/>
                    </w:rPr>
                    <w:t>尺寸（m）</w:t>
                  </w:r>
                </w:p>
              </w:tc>
              <w:tc>
                <w:tcPr>
                  <w:tcW w:w="1523" w:type="dxa"/>
                  <w:vAlign w:val="center"/>
                </w:tcPr>
                <w:p w14:paraId="118C5E7C">
                  <w:pPr>
                    <w:jc w:val="center"/>
                    <w:rPr>
                      <w:rFonts w:cs="Times New Roman"/>
                      <w:kern w:val="0"/>
                      <w:sz w:val="21"/>
                      <w:szCs w:val="16"/>
                    </w:rPr>
                  </w:pPr>
                  <w:r>
                    <w:rPr>
                      <w:rFonts w:hint="eastAsia" w:cs="Times New Roman"/>
                      <w:kern w:val="0"/>
                      <w:sz w:val="21"/>
                      <w:szCs w:val="16"/>
                    </w:rPr>
                    <w:t>重量（t）</w:t>
                  </w:r>
                </w:p>
              </w:tc>
              <w:tc>
                <w:tcPr>
                  <w:tcW w:w="1523" w:type="dxa"/>
                  <w:vAlign w:val="center"/>
                </w:tcPr>
                <w:p w14:paraId="51117FC1">
                  <w:pPr>
                    <w:jc w:val="center"/>
                    <w:rPr>
                      <w:rFonts w:cs="Times New Roman"/>
                      <w:kern w:val="0"/>
                      <w:sz w:val="21"/>
                      <w:szCs w:val="16"/>
                    </w:rPr>
                  </w:pPr>
                  <w:r>
                    <w:rPr>
                      <w:rFonts w:hint="eastAsia" w:cs="Times New Roman"/>
                      <w:kern w:val="0"/>
                      <w:sz w:val="21"/>
                      <w:szCs w:val="16"/>
                    </w:rPr>
                    <w:t>沉石</w:t>
                  </w:r>
                </w:p>
              </w:tc>
            </w:tr>
            <w:tr w14:paraId="4902D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2" w:type="dxa"/>
                  <w:vAlign w:val="center"/>
                </w:tcPr>
                <w:p w14:paraId="025A64F1">
                  <w:pPr>
                    <w:jc w:val="center"/>
                    <w:rPr>
                      <w:rFonts w:cs="Times New Roman"/>
                      <w:kern w:val="0"/>
                      <w:sz w:val="21"/>
                      <w:szCs w:val="16"/>
                    </w:rPr>
                  </w:pPr>
                  <w:r>
                    <w:rPr>
                      <w:rFonts w:hint="eastAsia" w:cs="Times New Roman"/>
                      <w:kern w:val="0"/>
                      <w:sz w:val="21"/>
                      <w:szCs w:val="16"/>
                    </w:rPr>
                    <w:t>1</w:t>
                  </w:r>
                </w:p>
              </w:tc>
              <w:tc>
                <w:tcPr>
                  <w:tcW w:w="1523" w:type="dxa"/>
                  <w:vAlign w:val="center"/>
                </w:tcPr>
                <w:p w14:paraId="60DF22DA">
                  <w:pPr>
                    <w:jc w:val="center"/>
                    <w:rPr>
                      <w:rFonts w:cs="Times New Roman"/>
                      <w:kern w:val="0"/>
                      <w:sz w:val="21"/>
                      <w:szCs w:val="16"/>
                    </w:rPr>
                  </w:pPr>
                  <w:r>
                    <w:rPr>
                      <w:rFonts w:hint="eastAsia" w:cs="Times New Roman"/>
                      <w:kern w:val="0"/>
                      <w:sz w:val="21"/>
                      <w:szCs w:val="16"/>
                    </w:rPr>
                    <w:t>1.5m浮标</w:t>
                  </w:r>
                </w:p>
              </w:tc>
              <w:tc>
                <w:tcPr>
                  <w:tcW w:w="1523" w:type="dxa"/>
                  <w:vAlign w:val="center"/>
                </w:tcPr>
                <w:p w14:paraId="6B48F2F7">
                  <w:pPr>
                    <w:jc w:val="center"/>
                    <w:rPr>
                      <w:rFonts w:cs="Times New Roman"/>
                      <w:kern w:val="0"/>
                      <w:sz w:val="21"/>
                      <w:szCs w:val="16"/>
                    </w:rPr>
                  </w:pPr>
                  <w:r>
                    <w:rPr>
                      <w:rFonts w:hint="eastAsia" w:cs="Times New Roman"/>
                      <w:kern w:val="0"/>
                      <w:sz w:val="21"/>
                      <w:szCs w:val="16"/>
                    </w:rPr>
                    <w:t>1.5×3.7</w:t>
                  </w:r>
                </w:p>
              </w:tc>
              <w:tc>
                <w:tcPr>
                  <w:tcW w:w="1523" w:type="dxa"/>
                  <w:vAlign w:val="center"/>
                </w:tcPr>
                <w:p w14:paraId="689DE28B">
                  <w:pPr>
                    <w:jc w:val="center"/>
                    <w:rPr>
                      <w:rFonts w:cs="Times New Roman"/>
                      <w:kern w:val="0"/>
                      <w:sz w:val="21"/>
                      <w:szCs w:val="16"/>
                    </w:rPr>
                  </w:pPr>
                  <w:r>
                    <w:rPr>
                      <w:rFonts w:hint="eastAsia" w:cs="Times New Roman"/>
                      <w:kern w:val="0"/>
                      <w:sz w:val="21"/>
                      <w:szCs w:val="16"/>
                    </w:rPr>
                    <w:t>0.55</w:t>
                  </w:r>
                </w:p>
              </w:tc>
              <w:tc>
                <w:tcPr>
                  <w:tcW w:w="1523" w:type="dxa"/>
                  <w:vAlign w:val="center"/>
                </w:tcPr>
                <w:p w14:paraId="0C08CF3B">
                  <w:pPr>
                    <w:jc w:val="center"/>
                    <w:rPr>
                      <w:rFonts w:cs="Times New Roman"/>
                      <w:kern w:val="0"/>
                      <w:sz w:val="21"/>
                      <w:szCs w:val="16"/>
                    </w:rPr>
                  </w:pPr>
                  <w:r>
                    <w:rPr>
                      <w:rFonts w:hint="eastAsia" w:cs="Times New Roman"/>
                      <w:kern w:val="0"/>
                      <w:sz w:val="21"/>
                      <w:szCs w:val="16"/>
                    </w:rPr>
                    <w:t>1-2t</w:t>
                  </w:r>
                </w:p>
              </w:tc>
            </w:tr>
            <w:tr w14:paraId="771D4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2" w:type="dxa"/>
                  <w:vAlign w:val="center"/>
                </w:tcPr>
                <w:p w14:paraId="0C196457">
                  <w:pPr>
                    <w:jc w:val="center"/>
                    <w:rPr>
                      <w:rFonts w:cs="Times New Roman"/>
                      <w:kern w:val="0"/>
                      <w:sz w:val="21"/>
                      <w:szCs w:val="16"/>
                    </w:rPr>
                  </w:pPr>
                  <w:r>
                    <w:rPr>
                      <w:rFonts w:hint="eastAsia" w:cs="Times New Roman"/>
                      <w:kern w:val="0"/>
                      <w:sz w:val="21"/>
                      <w:szCs w:val="16"/>
                    </w:rPr>
                    <w:t>2</w:t>
                  </w:r>
                </w:p>
              </w:tc>
              <w:tc>
                <w:tcPr>
                  <w:tcW w:w="1523" w:type="dxa"/>
                  <w:vAlign w:val="center"/>
                </w:tcPr>
                <w:p w14:paraId="452B27EF">
                  <w:pPr>
                    <w:jc w:val="center"/>
                    <w:rPr>
                      <w:rFonts w:cs="Times New Roman"/>
                      <w:kern w:val="0"/>
                      <w:sz w:val="21"/>
                      <w:szCs w:val="16"/>
                    </w:rPr>
                  </w:pPr>
                  <w:r>
                    <w:rPr>
                      <w:rFonts w:hint="eastAsia" w:cs="Times New Roman"/>
                      <w:kern w:val="0"/>
                      <w:sz w:val="21"/>
                      <w:szCs w:val="16"/>
                    </w:rPr>
                    <w:t>1.2m浮标</w:t>
                  </w:r>
                </w:p>
              </w:tc>
              <w:tc>
                <w:tcPr>
                  <w:tcW w:w="1523" w:type="dxa"/>
                  <w:vAlign w:val="center"/>
                </w:tcPr>
                <w:p w14:paraId="23A7DCDC">
                  <w:pPr>
                    <w:jc w:val="center"/>
                    <w:rPr>
                      <w:rFonts w:cs="Times New Roman"/>
                      <w:kern w:val="0"/>
                      <w:sz w:val="21"/>
                      <w:szCs w:val="16"/>
                    </w:rPr>
                  </w:pPr>
                  <w:r>
                    <w:rPr>
                      <w:rFonts w:hint="eastAsia" w:cs="Times New Roman"/>
                      <w:kern w:val="0"/>
                      <w:sz w:val="21"/>
                      <w:szCs w:val="16"/>
                    </w:rPr>
                    <w:t>1.2×3.2</w:t>
                  </w:r>
                </w:p>
              </w:tc>
              <w:tc>
                <w:tcPr>
                  <w:tcW w:w="1523" w:type="dxa"/>
                  <w:vAlign w:val="center"/>
                </w:tcPr>
                <w:p w14:paraId="79D0A003">
                  <w:pPr>
                    <w:jc w:val="center"/>
                    <w:rPr>
                      <w:rFonts w:cs="Times New Roman"/>
                      <w:kern w:val="0"/>
                      <w:sz w:val="21"/>
                      <w:szCs w:val="16"/>
                    </w:rPr>
                  </w:pPr>
                  <w:r>
                    <w:rPr>
                      <w:rFonts w:hint="eastAsia" w:cs="Times New Roman"/>
                      <w:kern w:val="0"/>
                      <w:sz w:val="21"/>
                      <w:szCs w:val="16"/>
                    </w:rPr>
                    <w:t>0.55</w:t>
                  </w:r>
                </w:p>
              </w:tc>
              <w:tc>
                <w:tcPr>
                  <w:tcW w:w="1523" w:type="dxa"/>
                  <w:vAlign w:val="center"/>
                </w:tcPr>
                <w:p w14:paraId="539786DA">
                  <w:pPr>
                    <w:jc w:val="center"/>
                    <w:rPr>
                      <w:rFonts w:cs="Times New Roman"/>
                      <w:kern w:val="0"/>
                      <w:sz w:val="21"/>
                      <w:szCs w:val="16"/>
                    </w:rPr>
                  </w:pPr>
                  <w:r>
                    <w:rPr>
                      <w:rFonts w:hint="eastAsia" w:cs="Times New Roman"/>
                      <w:kern w:val="0"/>
                      <w:sz w:val="21"/>
                      <w:szCs w:val="16"/>
                    </w:rPr>
                    <w:t>1-2t</w:t>
                  </w:r>
                </w:p>
              </w:tc>
            </w:tr>
          </w:tbl>
          <w:p w14:paraId="48EC36B4">
            <w:pPr>
              <w:spacing w:line="360" w:lineRule="auto"/>
              <w:ind w:firstLine="480" w:firstLineChars="200"/>
            </w:pPr>
          </w:p>
          <w:p w14:paraId="51C92F61">
            <w:pPr>
              <w:spacing w:line="360" w:lineRule="auto"/>
              <w:ind w:firstLine="480" w:firstLineChars="200"/>
            </w:pPr>
            <w:r>
              <w:rPr>
                <w:rFonts w:hint="eastAsia"/>
              </w:rPr>
              <w:t>（3）设计船型与兼顾船型</w:t>
            </w:r>
          </w:p>
          <w:p w14:paraId="56ADD44C">
            <w:pPr>
              <w:spacing w:line="360" w:lineRule="auto"/>
              <w:ind w:firstLine="480" w:firstLineChars="200"/>
            </w:pPr>
            <w:r>
              <w:rPr>
                <w:rFonts w:hint="eastAsia"/>
              </w:rPr>
              <w:t>目前鸭绿江临江分局暂有船舶5艘，在建1艘。根据交通运输部《交通运输支持系统“十四五”建设规划》中提出强化界河航道维护船舶装备配置。在鸭绿江建设测量船、航标船、挖泥船、浮船坞、驳船和执法船等要求，鸭绿江临江分局在远期将结合航道工程建设，逐步配置配套船舶。同时依据交通运输部《水运“十四五”发展规划》，远期船舶总数按10艘考虑。本工程现有及拟建船型主尺见下表：</w:t>
            </w:r>
          </w:p>
          <w:p w14:paraId="3E198E03">
            <w:pPr>
              <w:spacing w:line="360" w:lineRule="auto"/>
              <w:ind w:firstLine="480" w:firstLineChars="200"/>
            </w:pPr>
          </w:p>
          <w:p w14:paraId="105FD931">
            <w:pPr>
              <w:spacing w:line="360" w:lineRule="auto"/>
              <w:jc w:val="center"/>
              <w:rPr>
                <w:b/>
                <w:bCs/>
              </w:rPr>
            </w:pPr>
            <w:r>
              <w:rPr>
                <w:rFonts w:hint="eastAsia"/>
                <w:b/>
                <w:bCs/>
              </w:rPr>
              <w:t>表13      现有及拟建船型一览表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106"/>
              <w:gridCol w:w="1106"/>
              <w:gridCol w:w="1106"/>
              <w:gridCol w:w="1247"/>
              <w:gridCol w:w="1247"/>
            </w:tblGrid>
            <w:tr w14:paraId="50E47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812" w:type="dxa"/>
                  <w:vAlign w:val="center"/>
                </w:tcPr>
                <w:p w14:paraId="1D74071C">
                  <w:pPr>
                    <w:jc w:val="center"/>
                    <w:rPr>
                      <w:rFonts w:cs="Times New Roman"/>
                      <w:kern w:val="0"/>
                      <w:sz w:val="21"/>
                      <w:szCs w:val="21"/>
                    </w:rPr>
                  </w:pPr>
                  <w:r>
                    <w:rPr>
                      <w:rFonts w:hint="eastAsia" w:cs="Times New Roman"/>
                      <w:kern w:val="0"/>
                      <w:sz w:val="21"/>
                      <w:szCs w:val="21"/>
                    </w:rPr>
                    <w:t>设计船型</w:t>
                  </w:r>
                </w:p>
              </w:tc>
              <w:tc>
                <w:tcPr>
                  <w:tcW w:w="1106" w:type="dxa"/>
                  <w:vAlign w:val="center"/>
                </w:tcPr>
                <w:p w14:paraId="25F67849">
                  <w:pPr>
                    <w:jc w:val="center"/>
                    <w:rPr>
                      <w:rFonts w:cs="Times New Roman"/>
                      <w:kern w:val="0"/>
                      <w:sz w:val="21"/>
                      <w:szCs w:val="21"/>
                    </w:rPr>
                  </w:pPr>
                  <w:r>
                    <w:rPr>
                      <w:rFonts w:hint="eastAsia" w:cs="Times New Roman"/>
                      <w:kern w:val="0"/>
                      <w:sz w:val="21"/>
                      <w:szCs w:val="21"/>
                    </w:rPr>
                    <w:t>总长</w:t>
                  </w:r>
                </w:p>
                <w:p w14:paraId="07418602">
                  <w:pPr>
                    <w:jc w:val="center"/>
                    <w:rPr>
                      <w:rFonts w:cs="Times New Roman"/>
                      <w:kern w:val="0"/>
                      <w:sz w:val="21"/>
                      <w:szCs w:val="21"/>
                    </w:rPr>
                  </w:pPr>
                  <w:r>
                    <w:rPr>
                      <w:rFonts w:hint="eastAsia" w:cs="Times New Roman"/>
                      <w:kern w:val="0"/>
                      <w:sz w:val="21"/>
                      <w:szCs w:val="21"/>
                    </w:rPr>
                    <w:t>（m）</w:t>
                  </w:r>
                </w:p>
              </w:tc>
              <w:tc>
                <w:tcPr>
                  <w:tcW w:w="1106" w:type="dxa"/>
                  <w:vAlign w:val="center"/>
                </w:tcPr>
                <w:p w14:paraId="30C60CEE">
                  <w:pPr>
                    <w:jc w:val="center"/>
                    <w:rPr>
                      <w:rFonts w:cs="Times New Roman"/>
                      <w:kern w:val="0"/>
                      <w:sz w:val="21"/>
                      <w:szCs w:val="21"/>
                    </w:rPr>
                  </w:pPr>
                  <w:r>
                    <w:rPr>
                      <w:rFonts w:hint="eastAsia" w:cs="Times New Roman"/>
                      <w:kern w:val="0"/>
                      <w:sz w:val="21"/>
                      <w:szCs w:val="21"/>
                    </w:rPr>
                    <w:t>型宽</w:t>
                  </w:r>
                </w:p>
                <w:p w14:paraId="77BE9D1E">
                  <w:pPr>
                    <w:jc w:val="center"/>
                    <w:rPr>
                      <w:rFonts w:cs="Times New Roman"/>
                      <w:kern w:val="0"/>
                      <w:sz w:val="21"/>
                      <w:szCs w:val="21"/>
                    </w:rPr>
                  </w:pPr>
                  <w:r>
                    <w:rPr>
                      <w:rFonts w:hint="eastAsia" w:cs="Times New Roman"/>
                      <w:kern w:val="0"/>
                      <w:sz w:val="21"/>
                      <w:szCs w:val="21"/>
                    </w:rPr>
                    <w:t>（m）</w:t>
                  </w:r>
                </w:p>
              </w:tc>
              <w:tc>
                <w:tcPr>
                  <w:tcW w:w="1106" w:type="dxa"/>
                  <w:vAlign w:val="center"/>
                </w:tcPr>
                <w:p w14:paraId="442305C6">
                  <w:pPr>
                    <w:jc w:val="center"/>
                    <w:rPr>
                      <w:rFonts w:cs="Times New Roman"/>
                      <w:kern w:val="0"/>
                      <w:sz w:val="21"/>
                      <w:szCs w:val="21"/>
                    </w:rPr>
                  </w:pPr>
                  <w:r>
                    <w:rPr>
                      <w:rFonts w:hint="eastAsia" w:cs="Times New Roman"/>
                      <w:kern w:val="0"/>
                      <w:sz w:val="21"/>
                      <w:szCs w:val="21"/>
                    </w:rPr>
                    <w:t>满载吃水</w:t>
                  </w:r>
                </w:p>
                <w:p w14:paraId="669E700C">
                  <w:pPr>
                    <w:jc w:val="center"/>
                    <w:rPr>
                      <w:rFonts w:cs="Times New Roman"/>
                      <w:kern w:val="0"/>
                      <w:sz w:val="21"/>
                      <w:szCs w:val="21"/>
                    </w:rPr>
                  </w:pPr>
                  <w:r>
                    <w:rPr>
                      <w:rFonts w:hint="eastAsia" w:cs="Times New Roman"/>
                      <w:kern w:val="0"/>
                      <w:sz w:val="21"/>
                      <w:szCs w:val="21"/>
                    </w:rPr>
                    <w:t>（m）</w:t>
                  </w:r>
                </w:p>
              </w:tc>
              <w:tc>
                <w:tcPr>
                  <w:tcW w:w="2494" w:type="dxa"/>
                  <w:gridSpan w:val="2"/>
                  <w:vAlign w:val="center"/>
                </w:tcPr>
                <w:p w14:paraId="39E99421">
                  <w:pPr>
                    <w:jc w:val="center"/>
                    <w:rPr>
                      <w:rFonts w:cs="Times New Roman"/>
                      <w:kern w:val="0"/>
                      <w:sz w:val="21"/>
                      <w:szCs w:val="21"/>
                    </w:rPr>
                  </w:pPr>
                  <w:r>
                    <w:rPr>
                      <w:rFonts w:hint="eastAsia" w:cs="Times New Roman"/>
                      <w:kern w:val="0"/>
                      <w:sz w:val="21"/>
                      <w:szCs w:val="21"/>
                    </w:rPr>
                    <w:t>备注</w:t>
                  </w:r>
                </w:p>
              </w:tc>
            </w:tr>
            <w:tr w14:paraId="749EC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14:paraId="67AE74E1">
                  <w:pPr>
                    <w:jc w:val="center"/>
                    <w:rPr>
                      <w:rFonts w:cs="Times New Roman"/>
                      <w:kern w:val="0"/>
                      <w:sz w:val="21"/>
                      <w:szCs w:val="21"/>
                    </w:rPr>
                  </w:pPr>
                  <w:r>
                    <w:rPr>
                      <w:rFonts w:hint="eastAsia" w:cs="Times New Roman"/>
                      <w:kern w:val="0"/>
                      <w:sz w:val="21"/>
                      <w:szCs w:val="21"/>
                    </w:rPr>
                    <w:t>反铲式挖泥船</w:t>
                  </w:r>
                </w:p>
              </w:tc>
              <w:tc>
                <w:tcPr>
                  <w:tcW w:w="1106" w:type="dxa"/>
                  <w:vAlign w:val="center"/>
                </w:tcPr>
                <w:p w14:paraId="2AC6D6D9">
                  <w:pPr>
                    <w:jc w:val="center"/>
                    <w:rPr>
                      <w:rFonts w:cs="Times New Roman"/>
                      <w:kern w:val="0"/>
                      <w:sz w:val="21"/>
                      <w:szCs w:val="21"/>
                    </w:rPr>
                  </w:pPr>
                  <w:r>
                    <w:rPr>
                      <w:rFonts w:hint="eastAsia" w:cs="Times New Roman"/>
                      <w:kern w:val="0"/>
                      <w:sz w:val="21"/>
                      <w:szCs w:val="21"/>
                    </w:rPr>
                    <w:t>25.2</w:t>
                  </w:r>
                </w:p>
              </w:tc>
              <w:tc>
                <w:tcPr>
                  <w:tcW w:w="1106" w:type="dxa"/>
                  <w:vAlign w:val="center"/>
                </w:tcPr>
                <w:p w14:paraId="292D0705">
                  <w:pPr>
                    <w:jc w:val="center"/>
                    <w:rPr>
                      <w:rFonts w:cs="Times New Roman"/>
                      <w:kern w:val="0"/>
                      <w:sz w:val="21"/>
                      <w:szCs w:val="21"/>
                    </w:rPr>
                  </w:pPr>
                  <w:r>
                    <w:rPr>
                      <w:rFonts w:hint="eastAsia" w:cs="Times New Roman"/>
                      <w:kern w:val="0"/>
                      <w:sz w:val="21"/>
                      <w:szCs w:val="21"/>
                    </w:rPr>
                    <w:t>8.0</w:t>
                  </w:r>
                </w:p>
              </w:tc>
              <w:tc>
                <w:tcPr>
                  <w:tcW w:w="1106" w:type="dxa"/>
                  <w:vAlign w:val="center"/>
                </w:tcPr>
                <w:p w14:paraId="3F730988">
                  <w:pPr>
                    <w:jc w:val="center"/>
                    <w:rPr>
                      <w:rFonts w:cs="Times New Roman"/>
                      <w:kern w:val="0"/>
                      <w:sz w:val="21"/>
                      <w:szCs w:val="21"/>
                    </w:rPr>
                  </w:pPr>
                  <w:r>
                    <w:rPr>
                      <w:rFonts w:hint="eastAsia" w:cs="Times New Roman"/>
                      <w:kern w:val="0"/>
                      <w:sz w:val="21"/>
                      <w:szCs w:val="21"/>
                    </w:rPr>
                    <w:t>0.8</w:t>
                  </w:r>
                </w:p>
              </w:tc>
              <w:tc>
                <w:tcPr>
                  <w:tcW w:w="1247" w:type="dxa"/>
                  <w:vAlign w:val="center"/>
                </w:tcPr>
                <w:p w14:paraId="3B418185">
                  <w:pPr>
                    <w:jc w:val="center"/>
                    <w:rPr>
                      <w:rFonts w:cs="Times New Roman"/>
                      <w:kern w:val="0"/>
                      <w:sz w:val="21"/>
                      <w:szCs w:val="21"/>
                    </w:rPr>
                  </w:pPr>
                  <w:r>
                    <w:rPr>
                      <w:rFonts w:hint="eastAsia" w:cs="Times New Roman"/>
                      <w:kern w:val="0"/>
                      <w:sz w:val="21"/>
                      <w:szCs w:val="21"/>
                    </w:rPr>
                    <w:t>作业船</w:t>
                  </w:r>
                </w:p>
              </w:tc>
              <w:tc>
                <w:tcPr>
                  <w:tcW w:w="1247" w:type="dxa"/>
                  <w:vMerge w:val="restart"/>
                  <w:vAlign w:val="center"/>
                </w:tcPr>
                <w:p w14:paraId="5B12A05C">
                  <w:pPr>
                    <w:jc w:val="center"/>
                    <w:rPr>
                      <w:rFonts w:cs="Times New Roman"/>
                      <w:kern w:val="0"/>
                      <w:sz w:val="21"/>
                      <w:szCs w:val="21"/>
                    </w:rPr>
                  </w:pPr>
                  <w:r>
                    <w:rPr>
                      <w:rFonts w:hint="eastAsia" w:cs="Times New Roman"/>
                      <w:kern w:val="0"/>
                      <w:sz w:val="21"/>
                      <w:szCs w:val="21"/>
                    </w:rPr>
                    <w:t>现有船型</w:t>
                  </w:r>
                </w:p>
              </w:tc>
            </w:tr>
            <w:tr w14:paraId="64333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tcPr>
                <w:p w14:paraId="0AA44848">
                  <w:pPr>
                    <w:jc w:val="center"/>
                    <w:rPr>
                      <w:rFonts w:cs="Times New Roman"/>
                      <w:kern w:val="0"/>
                      <w:sz w:val="21"/>
                      <w:szCs w:val="21"/>
                    </w:rPr>
                  </w:pPr>
                  <w:r>
                    <w:rPr>
                      <w:rFonts w:hint="eastAsia" w:cs="Times New Roman"/>
                      <w:kern w:val="0"/>
                      <w:sz w:val="21"/>
                      <w:szCs w:val="21"/>
                    </w:rPr>
                    <w:t>自航驳船</w:t>
                  </w:r>
                </w:p>
              </w:tc>
              <w:tc>
                <w:tcPr>
                  <w:tcW w:w="1106" w:type="dxa"/>
                  <w:vAlign w:val="center"/>
                </w:tcPr>
                <w:p w14:paraId="5B75A87A">
                  <w:pPr>
                    <w:jc w:val="center"/>
                    <w:rPr>
                      <w:rFonts w:cs="Times New Roman"/>
                      <w:kern w:val="0"/>
                      <w:sz w:val="21"/>
                      <w:szCs w:val="21"/>
                    </w:rPr>
                  </w:pPr>
                  <w:r>
                    <w:rPr>
                      <w:rFonts w:hint="eastAsia" w:cs="Times New Roman"/>
                      <w:kern w:val="0"/>
                      <w:sz w:val="21"/>
                      <w:szCs w:val="21"/>
                    </w:rPr>
                    <w:t>29.15</w:t>
                  </w:r>
                </w:p>
              </w:tc>
              <w:tc>
                <w:tcPr>
                  <w:tcW w:w="1106" w:type="dxa"/>
                  <w:vAlign w:val="center"/>
                </w:tcPr>
                <w:p w14:paraId="4BCD449C">
                  <w:pPr>
                    <w:jc w:val="center"/>
                    <w:rPr>
                      <w:rFonts w:cs="Times New Roman"/>
                      <w:kern w:val="0"/>
                      <w:sz w:val="21"/>
                      <w:szCs w:val="21"/>
                    </w:rPr>
                  </w:pPr>
                  <w:r>
                    <w:rPr>
                      <w:rFonts w:hint="eastAsia" w:cs="Times New Roman"/>
                      <w:kern w:val="0"/>
                      <w:sz w:val="21"/>
                      <w:szCs w:val="21"/>
                    </w:rPr>
                    <w:t>8.0</w:t>
                  </w:r>
                </w:p>
              </w:tc>
              <w:tc>
                <w:tcPr>
                  <w:tcW w:w="1106" w:type="dxa"/>
                  <w:vAlign w:val="center"/>
                </w:tcPr>
                <w:p w14:paraId="1CCDEAEB">
                  <w:pPr>
                    <w:jc w:val="center"/>
                    <w:rPr>
                      <w:rFonts w:cs="Times New Roman"/>
                      <w:kern w:val="0"/>
                      <w:sz w:val="21"/>
                      <w:szCs w:val="21"/>
                    </w:rPr>
                  </w:pPr>
                  <w:r>
                    <w:rPr>
                      <w:rFonts w:hint="eastAsia" w:cs="Times New Roman"/>
                      <w:kern w:val="0"/>
                      <w:sz w:val="21"/>
                      <w:szCs w:val="21"/>
                    </w:rPr>
                    <w:t>0.8</w:t>
                  </w:r>
                </w:p>
              </w:tc>
              <w:tc>
                <w:tcPr>
                  <w:tcW w:w="1247" w:type="dxa"/>
                  <w:vAlign w:val="center"/>
                </w:tcPr>
                <w:p w14:paraId="22B9EF79">
                  <w:pPr>
                    <w:jc w:val="center"/>
                    <w:rPr>
                      <w:rFonts w:cs="Times New Roman"/>
                      <w:kern w:val="0"/>
                      <w:sz w:val="21"/>
                      <w:szCs w:val="21"/>
                    </w:rPr>
                  </w:pPr>
                  <w:r>
                    <w:rPr>
                      <w:rFonts w:hint="eastAsia" w:cs="Times New Roman"/>
                      <w:kern w:val="0"/>
                      <w:sz w:val="21"/>
                      <w:szCs w:val="21"/>
                    </w:rPr>
                    <w:t>作业船</w:t>
                  </w:r>
                </w:p>
              </w:tc>
              <w:tc>
                <w:tcPr>
                  <w:tcW w:w="1247" w:type="dxa"/>
                  <w:vMerge w:val="continue"/>
                  <w:vAlign w:val="center"/>
                </w:tcPr>
                <w:p w14:paraId="5224ADFA">
                  <w:pPr>
                    <w:jc w:val="center"/>
                    <w:rPr>
                      <w:rFonts w:cs="Times New Roman"/>
                      <w:kern w:val="0"/>
                      <w:sz w:val="21"/>
                      <w:szCs w:val="21"/>
                    </w:rPr>
                  </w:pPr>
                </w:p>
              </w:tc>
            </w:tr>
            <w:tr w14:paraId="0FAAA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tcPr>
                <w:p w14:paraId="1B225AF0">
                  <w:pPr>
                    <w:jc w:val="center"/>
                    <w:rPr>
                      <w:rFonts w:cs="Times New Roman"/>
                      <w:kern w:val="0"/>
                      <w:sz w:val="21"/>
                      <w:szCs w:val="21"/>
                    </w:rPr>
                  </w:pPr>
                  <w:r>
                    <w:rPr>
                      <w:rFonts w:hint="eastAsia" w:cs="Times New Roman"/>
                      <w:kern w:val="0"/>
                      <w:sz w:val="21"/>
                      <w:szCs w:val="21"/>
                    </w:rPr>
                    <w:t>测量船</w:t>
                  </w:r>
                </w:p>
              </w:tc>
              <w:tc>
                <w:tcPr>
                  <w:tcW w:w="1106" w:type="dxa"/>
                  <w:vAlign w:val="center"/>
                </w:tcPr>
                <w:p w14:paraId="10076CC7">
                  <w:pPr>
                    <w:jc w:val="center"/>
                    <w:rPr>
                      <w:rFonts w:cs="Times New Roman"/>
                      <w:kern w:val="0"/>
                      <w:sz w:val="21"/>
                      <w:szCs w:val="21"/>
                    </w:rPr>
                  </w:pPr>
                  <w:r>
                    <w:rPr>
                      <w:rFonts w:hint="eastAsia" w:cs="Times New Roman"/>
                      <w:kern w:val="0"/>
                      <w:sz w:val="21"/>
                      <w:szCs w:val="21"/>
                    </w:rPr>
                    <w:t>18.0</w:t>
                  </w:r>
                </w:p>
              </w:tc>
              <w:tc>
                <w:tcPr>
                  <w:tcW w:w="1106" w:type="dxa"/>
                  <w:vAlign w:val="center"/>
                </w:tcPr>
                <w:p w14:paraId="07E4BBA1">
                  <w:pPr>
                    <w:jc w:val="center"/>
                    <w:rPr>
                      <w:rFonts w:cs="Times New Roman"/>
                      <w:kern w:val="0"/>
                      <w:sz w:val="21"/>
                      <w:szCs w:val="21"/>
                    </w:rPr>
                  </w:pPr>
                  <w:r>
                    <w:rPr>
                      <w:rFonts w:hint="eastAsia" w:cs="Times New Roman"/>
                      <w:kern w:val="0"/>
                      <w:sz w:val="21"/>
                      <w:szCs w:val="21"/>
                    </w:rPr>
                    <w:t>4.3</w:t>
                  </w:r>
                </w:p>
              </w:tc>
              <w:tc>
                <w:tcPr>
                  <w:tcW w:w="1106" w:type="dxa"/>
                  <w:vAlign w:val="center"/>
                </w:tcPr>
                <w:p w14:paraId="6CFEBED7">
                  <w:pPr>
                    <w:jc w:val="center"/>
                    <w:rPr>
                      <w:rFonts w:cs="Times New Roman"/>
                      <w:kern w:val="0"/>
                      <w:sz w:val="21"/>
                      <w:szCs w:val="21"/>
                    </w:rPr>
                  </w:pPr>
                  <w:r>
                    <w:rPr>
                      <w:rFonts w:hint="eastAsia" w:cs="Times New Roman"/>
                      <w:kern w:val="0"/>
                      <w:sz w:val="21"/>
                      <w:szCs w:val="21"/>
                    </w:rPr>
                    <w:t>0.6</w:t>
                  </w:r>
                </w:p>
              </w:tc>
              <w:tc>
                <w:tcPr>
                  <w:tcW w:w="1247" w:type="dxa"/>
                  <w:vAlign w:val="center"/>
                </w:tcPr>
                <w:p w14:paraId="03EC3685">
                  <w:pPr>
                    <w:jc w:val="center"/>
                    <w:rPr>
                      <w:rFonts w:cs="Times New Roman"/>
                      <w:kern w:val="0"/>
                      <w:sz w:val="21"/>
                      <w:szCs w:val="21"/>
                    </w:rPr>
                  </w:pPr>
                  <w:r>
                    <w:rPr>
                      <w:rFonts w:hint="eastAsia" w:cs="Times New Roman"/>
                      <w:kern w:val="0"/>
                      <w:sz w:val="21"/>
                      <w:szCs w:val="21"/>
                    </w:rPr>
                    <w:t>工作船</w:t>
                  </w:r>
                </w:p>
              </w:tc>
              <w:tc>
                <w:tcPr>
                  <w:tcW w:w="1247" w:type="dxa"/>
                  <w:vMerge w:val="continue"/>
                  <w:vAlign w:val="center"/>
                </w:tcPr>
                <w:p w14:paraId="17F43BE6">
                  <w:pPr>
                    <w:jc w:val="center"/>
                    <w:rPr>
                      <w:rFonts w:cs="Times New Roman"/>
                      <w:kern w:val="0"/>
                      <w:sz w:val="21"/>
                      <w:szCs w:val="21"/>
                    </w:rPr>
                  </w:pPr>
                </w:p>
              </w:tc>
            </w:tr>
            <w:tr w14:paraId="67A0F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tcPr>
                <w:p w14:paraId="20DAFFF3">
                  <w:pPr>
                    <w:jc w:val="center"/>
                    <w:rPr>
                      <w:rFonts w:cs="Times New Roman"/>
                      <w:kern w:val="0"/>
                      <w:sz w:val="21"/>
                      <w:szCs w:val="21"/>
                    </w:rPr>
                  </w:pPr>
                  <w:r>
                    <w:rPr>
                      <w:rFonts w:hint="eastAsia" w:cs="Times New Roman"/>
                      <w:kern w:val="0"/>
                      <w:sz w:val="21"/>
                      <w:szCs w:val="21"/>
                    </w:rPr>
                    <w:t>快艇</w:t>
                  </w:r>
                </w:p>
              </w:tc>
              <w:tc>
                <w:tcPr>
                  <w:tcW w:w="1106" w:type="dxa"/>
                  <w:vAlign w:val="center"/>
                </w:tcPr>
                <w:p w14:paraId="0C99C806">
                  <w:pPr>
                    <w:jc w:val="center"/>
                    <w:rPr>
                      <w:rFonts w:cs="Times New Roman"/>
                      <w:kern w:val="0"/>
                      <w:sz w:val="21"/>
                      <w:szCs w:val="21"/>
                    </w:rPr>
                  </w:pPr>
                  <w:r>
                    <w:rPr>
                      <w:rFonts w:hint="eastAsia" w:cs="Times New Roman"/>
                      <w:kern w:val="0"/>
                      <w:sz w:val="21"/>
                      <w:szCs w:val="21"/>
                    </w:rPr>
                    <w:t>6.3</w:t>
                  </w:r>
                </w:p>
              </w:tc>
              <w:tc>
                <w:tcPr>
                  <w:tcW w:w="1106" w:type="dxa"/>
                  <w:vAlign w:val="center"/>
                </w:tcPr>
                <w:p w14:paraId="029B513F">
                  <w:pPr>
                    <w:jc w:val="center"/>
                    <w:rPr>
                      <w:rFonts w:cs="Times New Roman"/>
                      <w:kern w:val="0"/>
                      <w:sz w:val="21"/>
                      <w:szCs w:val="21"/>
                    </w:rPr>
                  </w:pPr>
                  <w:r>
                    <w:rPr>
                      <w:rFonts w:hint="eastAsia" w:cs="Times New Roman"/>
                      <w:kern w:val="0"/>
                      <w:sz w:val="21"/>
                      <w:szCs w:val="21"/>
                    </w:rPr>
                    <w:t>2.1</w:t>
                  </w:r>
                </w:p>
              </w:tc>
              <w:tc>
                <w:tcPr>
                  <w:tcW w:w="1106" w:type="dxa"/>
                  <w:vAlign w:val="center"/>
                </w:tcPr>
                <w:p w14:paraId="1B8880CE">
                  <w:pPr>
                    <w:jc w:val="center"/>
                    <w:rPr>
                      <w:rFonts w:cs="Times New Roman"/>
                      <w:kern w:val="0"/>
                      <w:sz w:val="21"/>
                      <w:szCs w:val="21"/>
                    </w:rPr>
                  </w:pPr>
                  <w:r>
                    <w:rPr>
                      <w:rFonts w:hint="eastAsia" w:cs="Times New Roman"/>
                      <w:kern w:val="0"/>
                      <w:sz w:val="21"/>
                      <w:szCs w:val="21"/>
                    </w:rPr>
                    <w:t>0.7</w:t>
                  </w:r>
                </w:p>
              </w:tc>
              <w:tc>
                <w:tcPr>
                  <w:tcW w:w="1247" w:type="dxa"/>
                  <w:vAlign w:val="center"/>
                </w:tcPr>
                <w:p w14:paraId="5EC22B0A">
                  <w:pPr>
                    <w:jc w:val="center"/>
                    <w:rPr>
                      <w:rFonts w:cs="Times New Roman"/>
                      <w:kern w:val="0"/>
                      <w:sz w:val="21"/>
                      <w:szCs w:val="21"/>
                    </w:rPr>
                  </w:pPr>
                  <w:r>
                    <w:rPr>
                      <w:rFonts w:hint="eastAsia" w:cs="Times New Roman"/>
                      <w:kern w:val="0"/>
                      <w:sz w:val="21"/>
                      <w:szCs w:val="21"/>
                    </w:rPr>
                    <w:t>工作船</w:t>
                  </w:r>
                </w:p>
              </w:tc>
              <w:tc>
                <w:tcPr>
                  <w:tcW w:w="1247" w:type="dxa"/>
                  <w:vMerge w:val="continue"/>
                  <w:vAlign w:val="center"/>
                </w:tcPr>
                <w:p w14:paraId="59FA050F">
                  <w:pPr>
                    <w:jc w:val="center"/>
                    <w:rPr>
                      <w:rFonts w:cs="Times New Roman"/>
                      <w:kern w:val="0"/>
                      <w:sz w:val="21"/>
                      <w:szCs w:val="21"/>
                    </w:rPr>
                  </w:pPr>
                </w:p>
              </w:tc>
            </w:tr>
            <w:tr w14:paraId="73EDE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812" w:type="dxa"/>
                </w:tcPr>
                <w:p w14:paraId="25067683">
                  <w:pPr>
                    <w:jc w:val="center"/>
                    <w:rPr>
                      <w:rFonts w:cs="Times New Roman"/>
                      <w:kern w:val="0"/>
                      <w:sz w:val="21"/>
                      <w:szCs w:val="21"/>
                    </w:rPr>
                  </w:pPr>
                  <w:r>
                    <w:rPr>
                      <w:rFonts w:hint="eastAsia" w:cs="Times New Roman"/>
                      <w:kern w:val="0"/>
                      <w:sz w:val="21"/>
                      <w:szCs w:val="21"/>
                    </w:rPr>
                    <w:t>航标测量船</w:t>
                  </w:r>
                </w:p>
              </w:tc>
              <w:tc>
                <w:tcPr>
                  <w:tcW w:w="1106" w:type="dxa"/>
                  <w:vAlign w:val="center"/>
                </w:tcPr>
                <w:p w14:paraId="03FD4008">
                  <w:pPr>
                    <w:jc w:val="center"/>
                    <w:rPr>
                      <w:rFonts w:cs="Times New Roman"/>
                      <w:kern w:val="0"/>
                      <w:sz w:val="21"/>
                      <w:szCs w:val="21"/>
                    </w:rPr>
                  </w:pPr>
                  <w:r>
                    <w:rPr>
                      <w:rFonts w:hint="eastAsia" w:cs="Times New Roman"/>
                      <w:kern w:val="0"/>
                      <w:sz w:val="21"/>
                      <w:szCs w:val="21"/>
                    </w:rPr>
                    <w:t>23</w:t>
                  </w:r>
                </w:p>
              </w:tc>
              <w:tc>
                <w:tcPr>
                  <w:tcW w:w="1106" w:type="dxa"/>
                  <w:vAlign w:val="center"/>
                </w:tcPr>
                <w:p w14:paraId="258E2E7A">
                  <w:pPr>
                    <w:jc w:val="center"/>
                    <w:rPr>
                      <w:rFonts w:cs="Times New Roman"/>
                      <w:kern w:val="0"/>
                      <w:sz w:val="21"/>
                      <w:szCs w:val="21"/>
                    </w:rPr>
                  </w:pPr>
                  <w:r>
                    <w:rPr>
                      <w:rFonts w:hint="eastAsia" w:cs="Times New Roman"/>
                      <w:kern w:val="0"/>
                      <w:sz w:val="21"/>
                      <w:szCs w:val="21"/>
                    </w:rPr>
                    <w:t>5</w:t>
                  </w:r>
                </w:p>
              </w:tc>
              <w:tc>
                <w:tcPr>
                  <w:tcW w:w="1106" w:type="dxa"/>
                  <w:vAlign w:val="center"/>
                </w:tcPr>
                <w:p w14:paraId="5A99C14E">
                  <w:pPr>
                    <w:jc w:val="center"/>
                    <w:rPr>
                      <w:rFonts w:cs="Times New Roman"/>
                      <w:kern w:val="0"/>
                      <w:sz w:val="21"/>
                      <w:szCs w:val="21"/>
                    </w:rPr>
                  </w:pPr>
                  <w:r>
                    <w:rPr>
                      <w:rFonts w:hint="eastAsia" w:cs="Times New Roman"/>
                      <w:kern w:val="0"/>
                      <w:sz w:val="21"/>
                      <w:szCs w:val="21"/>
                    </w:rPr>
                    <w:t>0.6</w:t>
                  </w:r>
                </w:p>
              </w:tc>
              <w:tc>
                <w:tcPr>
                  <w:tcW w:w="1247" w:type="dxa"/>
                  <w:vAlign w:val="center"/>
                </w:tcPr>
                <w:p w14:paraId="5799B602">
                  <w:pPr>
                    <w:jc w:val="center"/>
                    <w:rPr>
                      <w:rFonts w:cs="Times New Roman"/>
                      <w:kern w:val="0"/>
                      <w:sz w:val="21"/>
                      <w:szCs w:val="21"/>
                    </w:rPr>
                  </w:pPr>
                  <w:r>
                    <w:rPr>
                      <w:rFonts w:hint="eastAsia" w:cs="Times New Roman"/>
                      <w:kern w:val="0"/>
                      <w:sz w:val="21"/>
                      <w:szCs w:val="21"/>
                    </w:rPr>
                    <w:t>工作船</w:t>
                  </w:r>
                </w:p>
              </w:tc>
              <w:tc>
                <w:tcPr>
                  <w:tcW w:w="1247" w:type="dxa"/>
                  <w:vMerge w:val="continue"/>
                  <w:vAlign w:val="center"/>
                </w:tcPr>
                <w:p w14:paraId="3EE8616A">
                  <w:pPr>
                    <w:jc w:val="center"/>
                    <w:rPr>
                      <w:rFonts w:cs="Times New Roman"/>
                      <w:kern w:val="0"/>
                      <w:sz w:val="21"/>
                      <w:szCs w:val="21"/>
                    </w:rPr>
                  </w:pPr>
                </w:p>
              </w:tc>
            </w:tr>
            <w:tr w14:paraId="11E35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812" w:type="dxa"/>
                  <w:vAlign w:val="center"/>
                </w:tcPr>
                <w:p w14:paraId="09E5AFA1">
                  <w:pPr>
                    <w:jc w:val="center"/>
                    <w:rPr>
                      <w:rFonts w:cs="Times New Roman"/>
                      <w:kern w:val="0"/>
                      <w:sz w:val="21"/>
                      <w:szCs w:val="21"/>
                    </w:rPr>
                  </w:pPr>
                  <w:r>
                    <w:rPr>
                      <w:rFonts w:hint="eastAsia" w:cs="Times New Roman"/>
                      <w:kern w:val="0"/>
                      <w:sz w:val="21"/>
                      <w:szCs w:val="21"/>
                    </w:rPr>
                    <w:t>自卸砂船</w:t>
                  </w:r>
                </w:p>
              </w:tc>
              <w:tc>
                <w:tcPr>
                  <w:tcW w:w="1106" w:type="dxa"/>
                  <w:vAlign w:val="center"/>
                </w:tcPr>
                <w:p w14:paraId="4B8F78A6">
                  <w:pPr>
                    <w:jc w:val="center"/>
                    <w:rPr>
                      <w:rFonts w:cs="Times New Roman"/>
                      <w:kern w:val="0"/>
                      <w:sz w:val="21"/>
                      <w:szCs w:val="21"/>
                    </w:rPr>
                  </w:pPr>
                  <w:r>
                    <w:rPr>
                      <w:rFonts w:hint="eastAsia" w:cs="Times New Roman"/>
                      <w:kern w:val="0"/>
                      <w:sz w:val="21"/>
                      <w:szCs w:val="21"/>
                    </w:rPr>
                    <w:t>29</w:t>
                  </w:r>
                </w:p>
              </w:tc>
              <w:tc>
                <w:tcPr>
                  <w:tcW w:w="1106" w:type="dxa"/>
                  <w:vAlign w:val="center"/>
                </w:tcPr>
                <w:p w14:paraId="5A1444E1">
                  <w:pPr>
                    <w:jc w:val="center"/>
                    <w:rPr>
                      <w:rFonts w:cs="Times New Roman"/>
                      <w:kern w:val="0"/>
                      <w:sz w:val="21"/>
                      <w:szCs w:val="21"/>
                    </w:rPr>
                  </w:pPr>
                  <w:r>
                    <w:rPr>
                      <w:rFonts w:hint="eastAsia" w:cs="Times New Roman"/>
                      <w:kern w:val="0"/>
                      <w:sz w:val="21"/>
                      <w:szCs w:val="21"/>
                    </w:rPr>
                    <w:t>8</w:t>
                  </w:r>
                </w:p>
              </w:tc>
              <w:tc>
                <w:tcPr>
                  <w:tcW w:w="1106" w:type="dxa"/>
                  <w:vAlign w:val="center"/>
                </w:tcPr>
                <w:p w14:paraId="56A35E01">
                  <w:pPr>
                    <w:jc w:val="center"/>
                    <w:rPr>
                      <w:rFonts w:cs="Times New Roman"/>
                      <w:kern w:val="0"/>
                      <w:sz w:val="21"/>
                      <w:szCs w:val="21"/>
                    </w:rPr>
                  </w:pPr>
                  <w:r>
                    <w:rPr>
                      <w:rFonts w:hint="eastAsia" w:cs="Times New Roman"/>
                      <w:kern w:val="0"/>
                      <w:sz w:val="21"/>
                      <w:szCs w:val="21"/>
                    </w:rPr>
                    <w:t>0.8</w:t>
                  </w:r>
                </w:p>
              </w:tc>
              <w:tc>
                <w:tcPr>
                  <w:tcW w:w="1247" w:type="dxa"/>
                  <w:vAlign w:val="center"/>
                </w:tcPr>
                <w:p w14:paraId="545A2647">
                  <w:pPr>
                    <w:jc w:val="center"/>
                    <w:rPr>
                      <w:rFonts w:cs="Times New Roman"/>
                      <w:kern w:val="0"/>
                      <w:sz w:val="21"/>
                      <w:szCs w:val="21"/>
                    </w:rPr>
                  </w:pPr>
                  <w:r>
                    <w:rPr>
                      <w:rFonts w:hint="eastAsia" w:cs="Times New Roman"/>
                      <w:kern w:val="0"/>
                      <w:sz w:val="21"/>
                      <w:szCs w:val="21"/>
                    </w:rPr>
                    <w:t>作业船</w:t>
                  </w:r>
                </w:p>
              </w:tc>
              <w:tc>
                <w:tcPr>
                  <w:tcW w:w="1247" w:type="dxa"/>
                  <w:vMerge w:val="restart"/>
                  <w:vAlign w:val="center"/>
                </w:tcPr>
                <w:p w14:paraId="217B4A6F">
                  <w:pPr>
                    <w:jc w:val="center"/>
                    <w:rPr>
                      <w:rFonts w:cs="Times New Roman"/>
                      <w:kern w:val="0"/>
                      <w:sz w:val="21"/>
                      <w:szCs w:val="21"/>
                    </w:rPr>
                  </w:pPr>
                  <w:r>
                    <w:rPr>
                      <w:rFonts w:hint="eastAsia" w:cs="Times New Roman"/>
                      <w:kern w:val="0"/>
                      <w:sz w:val="21"/>
                      <w:szCs w:val="21"/>
                    </w:rPr>
                    <w:t>预留发展船型</w:t>
                  </w:r>
                </w:p>
              </w:tc>
            </w:tr>
            <w:tr w14:paraId="6DFE7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14:paraId="783A150F">
                  <w:pPr>
                    <w:jc w:val="center"/>
                    <w:rPr>
                      <w:rFonts w:cs="Times New Roman"/>
                      <w:kern w:val="0"/>
                      <w:sz w:val="21"/>
                      <w:szCs w:val="21"/>
                    </w:rPr>
                  </w:pPr>
                  <w:r>
                    <w:rPr>
                      <w:rFonts w:hint="eastAsia" w:cs="Times New Roman"/>
                      <w:kern w:val="0"/>
                      <w:sz w:val="21"/>
                      <w:szCs w:val="21"/>
                    </w:rPr>
                    <w:t>拖轮</w:t>
                  </w:r>
                </w:p>
              </w:tc>
              <w:tc>
                <w:tcPr>
                  <w:tcW w:w="1106" w:type="dxa"/>
                  <w:vAlign w:val="center"/>
                </w:tcPr>
                <w:p w14:paraId="6746D662">
                  <w:pPr>
                    <w:jc w:val="center"/>
                    <w:rPr>
                      <w:rFonts w:cs="Times New Roman"/>
                      <w:kern w:val="0"/>
                      <w:sz w:val="21"/>
                      <w:szCs w:val="21"/>
                    </w:rPr>
                  </w:pPr>
                  <w:r>
                    <w:rPr>
                      <w:rFonts w:hint="eastAsia" w:cs="Times New Roman"/>
                      <w:kern w:val="0"/>
                      <w:sz w:val="21"/>
                      <w:szCs w:val="21"/>
                    </w:rPr>
                    <w:t>26.8</w:t>
                  </w:r>
                </w:p>
              </w:tc>
              <w:tc>
                <w:tcPr>
                  <w:tcW w:w="1106" w:type="dxa"/>
                  <w:vAlign w:val="center"/>
                </w:tcPr>
                <w:p w14:paraId="239B6A36">
                  <w:pPr>
                    <w:jc w:val="center"/>
                    <w:rPr>
                      <w:rFonts w:cs="Times New Roman"/>
                      <w:kern w:val="0"/>
                      <w:sz w:val="21"/>
                      <w:szCs w:val="21"/>
                    </w:rPr>
                  </w:pPr>
                  <w:r>
                    <w:rPr>
                      <w:rFonts w:hint="eastAsia" w:cs="Times New Roman"/>
                      <w:kern w:val="0"/>
                      <w:sz w:val="21"/>
                      <w:szCs w:val="21"/>
                    </w:rPr>
                    <w:t>5</w:t>
                  </w:r>
                </w:p>
              </w:tc>
              <w:tc>
                <w:tcPr>
                  <w:tcW w:w="1106" w:type="dxa"/>
                  <w:vAlign w:val="center"/>
                </w:tcPr>
                <w:p w14:paraId="1C464FB8">
                  <w:pPr>
                    <w:jc w:val="center"/>
                    <w:rPr>
                      <w:rFonts w:cs="Times New Roman"/>
                      <w:kern w:val="0"/>
                      <w:sz w:val="21"/>
                      <w:szCs w:val="21"/>
                    </w:rPr>
                  </w:pPr>
                  <w:r>
                    <w:rPr>
                      <w:rFonts w:hint="eastAsia" w:cs="Times New Roman"/>
                      <w:kern w:val="0"/>
                      <w:sz w:val="21"/>
                      <w:szCs w:val="21"/>
                    </w:rPr>
                    <w:t>0.5</w:t>
                  </w:r>
                </w:p>
              </w:tc>
              <w:tc>
                <w:tcPr>
                  <w:tcW w:w="1247" w:type="dxa"/>
                  <w:vAlign w:val="center"/>
                </w:tcPr>
                <w:p w14:paraId="506CFEDD">
                  <w:pPr>
                    <w:jc w:val="center"/>
                    <w:rPr>
                      <w:rFonts w:cs="Times New Roman"/>
                      <w:kern w:val="0"/>
                      <w:sz w:val="21"/>
                      <w:szCs w:val="21"/>
                    </w:rPr>
                  </w:pPr>
                  <w:r>
                    <w:rPr>
                      <w:rFonts w:hint="eastAsia" w:cs="Times New Roman"/>
                      <w:kern w:val="0"/>
                      <w:sz w:val="21"/>
                      <w:szCs w:val="21"/>
                    </w:rPr>
                    <w:t>工作船</w:t>
                  </w:r>
                </w:p>
              </w:tc>
              <w:tc>
                <w:tcPr>
                  <w:tcW w:w="1247" w:type="dxa"/>
                  <w:vMerge w:val="continue"/>
                  <w:vAlign w:val="center"/>
                </w:tcPr>
                <w:p w14:paraId="007A46E5">
                  <w:pPr>
                    <w:jc w:val="center"/>
                    <w:rPr>
                      <w:rFonts w:cs="Times New Roman"/>
                      <w:kern w:val="0"/>
                      <w:sz w:val="21"/>
                      <w:szCs w:val="21"/>
                    </w:rPr>
                  </w:pPr>
                </w:p>
              </w:tc>
            </w:tr>
          </w:tbl>
          <w:p w14:paraId="7B20F371">
            <w:pPr>
              <w:spacing w:line="360" w:lineRule="auto"/>
              <w:ind w:firstLine="480" w:firstLineChars="200"/>
            </w:pPr>
          </w:p>
          <w:p w14:paraId="0F553A77">
            <w:pPr>
              <w:spacing w:line="360" w:lineRule="auto"/>
              <w:ind w:firstLine="480" w:firstLineChars="200"/>
            </w:pPr>
            <w:r>
              <w:rPr>
                <w:rFonts w:hint="eastAsia"/>
              </w:rPr>
              <w:t>（4）设计船型主尺寸</w:t>
            </w:r>
          </w:p>
          <w:p w14:paraId="3CC0DA2C">
            <w:pPr>
              <w:spacing w:line="360" w:lineRule="auto"/>
              <w:ind w:firstLine="480" w:firstLineChars="200"/>
            </w:pPr>
            <w:r>
              <w:rPr>
                <w:rFonts w:hint="eastAsia"/>
              </w:rPr>
              <w:t>根据上述现有船型和建设单位拟订购船型尺度，对尺度相近船型尺度整合后，总结本工程设计代表船型详见下表：</w:t>
            </w:r>
          </w:p>
          <w:p w14:paraId="0AADF117">
            <w:pPr>
              <w:spacing w:line="360" w:lineRule="auto"/>
              <w:ind w:firstLine="480" w:firstLineChars="200"/>
            </w:pPr>
          </w:p>
          <w:p w14:paraId="747A0ADB">
            <w:pPr>
              <w:spacing w:line="360" w:lineRule="auto"/>
              <w:jc w:val="center"/>
              <w:rPr>
                <w:b/>
                <w:bCs/>
              </w:rPr>
            </w:pPr>
            <w:r>
              <w:rPr>
                <w:rFonts w:hint="eastAsia"/>
                <w:b/>
                <w:bCs/>
              </w:rPr>
              <w:t>表14        设计代表船型一览表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276"/>
              <w:gridCol w:w="1276"/>
              <w:gridCol w:w="1701"/>
              <w:gridCol w:w="709"/>
              <w:gridCol w:w="1521"/>
            </w:tblGrid>
            <w:tr w14:paraId="007C8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31" w:type="dxa"/>
                  <w:vAlign w:val="center"/>
                </w:tcPr>
                <w:p w14:paraId="24926E3F">
                  <w:pPr>
                    <w:jc w:val="center"/>
                    <w:rPr>
                      <w:rFonts w:hint="eastAsia" w:ascii="宋体" w:hAnsi="宋体" w:cs="Times New Roman"/>
                      <w:kern w:val="0"/>
                      <w:sz w:val="21"/>
                      <w:szCs w:val="16"/>
                    </w:rPr>
                  </w:pPr>
                  <w:r>
                    <w:rPr>
                      <w:rFonts w:hint="eastAsia" w:ascii="宋体" w:hAnsi="宋体" w:cs="Times New Roman"/>
                      <w:kern w:val="0"/>
                      <w:sz w:val="21"/>
                      <w:szCs w:val="16"/>
                    </w:rPr>
                    <w:t>设计船型</w:t>
                  </w:r>
                </w:p>
              </w:tc>
              <w:tc>
                <w:tcPr>
                  <w:tcW w:w="1276" w:type="dxa"/>
                  <w:vAlign w:val="center"/>
                </w:tcPr>
                <w:p w14:paraId="209C30B1">
                  <w:pPr>
                    <w:jc w:val="center"/>
                    <w:rPr>
                      <w:rFonts w:hint="eastAsia" w:ascii="宋体" w:hAnsi="宋体" w:cs="Times New Roman"/>
                      <w:kern w:val="0"/>
                      <w:sz w:val="21"/>
                      <w:szCs w:val="16"/>
                    </w:rPr>
                  </w:pPr>
                  <w:r>
                    <w:rPr>
                      <w:rFonts w:hint="eastAsia" w:ascii="宋体" w:hAnsi="宋体" w:cs="Times New Roman"/>
                      <w:kern w:val="0"/>
                      <w:sz w:val="21"/>
                      <w:szCs w:val="16"/>
                    </w:rPr>
                    <w:t>总长（m）</w:t>
                  </w:r>
                </w:p>
              </w:tc>
              <w:tc>
                <w:tcPr>
                  <w:tcW w:w="1276" w:type="dxa"/>
                  <w:vAlign w:val="center"/>
                </w:tcPr>
                <w:p w14:paraId="2304CCEC">
                  <w:pPr>
                    <w:jc w:val="center"/>
                    <w:rPr>
                      <w:rFonts w:hint="eastAsia" w:ascii="宋体" w:hAnsi="宋体" w:cs="Times New Roman"/>
                      <w:kern w:val="0"/>
                      <w:sz w:val="21"/>
                      <w:szCs w:val="16"/>
                    </w:rPr>
                  </w:pPr>
                  <w:r>
                    <w:rPr>
                      <w:rFonts w:hint="eastAsia" w:cs="Times New Roman"/>
                      <w:kern w:val="0"/>
                      <w:sz w:val="21"/>
                      <w:szCs w:val="21"/>
                    </w:rPr>
                    <w:t>型宽（m）</w:t>
                  </w:r>
                </w:p>
              </w:tc>
              <w:tc>
                <w:tcPr>
                  <w:tcW w:w="1701" w:type="dxa"/>
                  <w:vAlign w:val="center"/>
                </w:tcPr>
                <w:p w14:paraId="0A362C51">
                  <w:pPr>
                    <w:jc w:val="center"/>
                    <w:rPr>
                      <w:rFonts w:hint="eastAsia" w:ascii="宋体" w:hAnsi="宋体" w:cs="Times New Roman"/>
                      <w:kern w:val="0"/>
                      <w:sz w:val="21"/>
                      <w:szCs w:val="16"/>
                    </w:rPr>
                  </w:pPr>
                  <w:r>
                    <w:rPr>
                      <w:rFonts w:hint="eastAsia" w:cs="Times New Roman"/>
                      <w:kern w:val="0"/>
                      <w:sz w:val="21"/>
                      <w:szCs w:val="21"/>
                    </w:rPr>
                    <w:t>满载吃水（m）</w:t>
                  </w:r>
                </w:p>
              </w:tc>
              <w:tc>
                <w:tcPr>
                  <w:tcW w:w="709" w:type="dxa"/>
                  <w:vAlign w:val="center"/>
                </w:tcPr>
                <w:p w14:paraId="5B4EC3D7">
                  <w:pPr>
                    <w:jc w:val="center"/>
                    <w:rPr>
                      <w:rFonts w:hint="eastAsia" w:ascii="宋体" w:hAnsi="宋体" w:cs="Times New Roman"/>
                      <w:kern w:val="0"/>
                      <w:sz w:val="21"/>
                      <w:szCs w:val="16"/>
                    </w:rPr>
                  </w:pPr>
                  <w:r>
                    <w:rPr>
                      <w:rFonts w:hint="eastAsia" w:ascii="宋体" w:hAnsi="宋体" w:cs="Times New Roman"/>
                      <w:kern w:val="0"/>
                      <w:sz w:val="21"/>
                      <w:szCs w:val="16"/>
                    </w:rPr>
                    <w:t>数量</w:t>
                  </w:r>
                </w:p>
              </w:tc>
              <w:tc>
                <w:tcPr>
                  <w:tcW w:w="1521" w:type="dxa"/>
                  <w:vAlign w:val="center"/>
                </w:tcPr>
                <w:p w14:paraId="77BBF395">
                  <w:pPr>
                    <w:jc w:val="center"/>
                    <w:rPr>
                      <w:rFonts w:hint="eastAsia" w:ascii="宋体" w:hAnsi="宋体" w:cs="Times New Roman"/>
                      <w:kern w:val="0"/>
                      <w:sz w:val="21"/>
                      <w:szCs w:val="16"/>
                    </w:rPr>
                  </w:pPr>
                  <w:r>
                    <w:rPr>
                      <w:rFonts w:hint="eastAsia" w:ascii="宋体" w:hAnsi="宋体" w:cs="Times New Roman"/>
                      <w:kern w:val="0"/>
                      <w:sz w:val="21"/>
                      <w:szCs w:val="16"/>
                    </w:rPr>
                    <w:t>材质</w:t>
                  </w:r>
                </w:p>
              </w:tc>
            </w:tr>
            <w:tr w14:paraId="79D50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14:paraId="44F5D95B">
                  <w:pPr>
                    <w:jc w:val="center"/>
                    <w:rPr>
                      <w:rFonts w:hint="eastAsia" w:ascii="宋体" w:hAnsi="宋体" w:cs="Times New Roman"/>
                      <w:kern w:val="0"/>
                      <w:sz w:val="21"/>
                      <w:szCs w:val="16"/>
                    </w:rPr>
                  </w:pPr>
                  <w:r>
                    <w:rPr>
                      <w:rFonts w:hint="eastAsia" w:ascii="宋体" w:hAnsi="宋体" w:cs="Times New Roman"/>
                      <w:kern w:val="0"/>
                      <w:sz w:val="21"/>
                      <w:szCs w:val="16"/>
                    </w:rPr>
                    <w:t>作业船1</w:t>
                  </w:r>
                </w:p>
              </w:tc>
              <w:tc>
                <w:tcPr>
                  <w:tcW w:w="1276" w:type="dxa"/>
                  <w:vAlign w:val="center"/>
                </w:tcPr>
                <w:p w14:paraId="26A0551F">
                  <w:pPr>
                    <w:jc w:val="center"/>
                    <w:rPr>
                      <w:rFonts w:hint="eastAsia" w:ascii="宋体" w:hAnsi="宋体" w:cs="Times New Roman"/>
                      <w:kern w:val="0"/>
                      <w:sz w:val="21"/>
                      <w:szCs w:val="16"/>
                    </w:rPr>
                  </w:pPr>
                  <w:r>
                    <w:rPr>
                      <w:rFonts w:hint="eastAsia" w:ascii="宋体" w:hAnsi="宋体" w:cs="Times New Roman"/>
                      <w:kern w:val="0"/>
                      <w:sz w:val="21"/>
                      <w:szCs w:val="16"/>
                    </w:rPr>
                    <w:t>29.15</w:t>
                  </w:r>
                </w:p>
              </w:tc>
              <w:tc>
                <w:tcPr>
                  <w:tcW w:w="1276" w:type="dxa"/>
                  <w:vAlign w:val="center"/>
                </w:tcPr>
                <w:p w14:paraId="6FEE5C20">
                  <w:pPr>
                    <w:jc w:val="center"/>
                    <w:rPr>
                      <w:rFonts w:hint="eastAsia" w:ascii="宋体" w:hAnsi="宋体" w:cs="Times New Roman"/>
                      <w:kern w:val="0"/>
                      <w:sz w:val="21"/>
                      <w:szCs w:val="16"/>
                    </w:rPr>
                  </w:pPr>
                  <w:r>
                    <w:rPr>
                      <w:rFonts w:hint="eastAsia" w:ascii="宋体" w:hAnsi="宋体" w:cs="Times New Roman"/>
                      <w:kern w:val="0"/>
                      <w:sz w:val="21"/>
                      <w:szCs w:val="16"/>
                    </w:rPr>
                    <w:t>8.0</w:t>
                  </w:r>
                </w:p>
              </w:tc>
              <w:tc>
                <w:tcPr>
                  <w:tcW w:w="1701" w:type="dxa"/>
                  <w:vAlign w:val="center"/>
                </w:tcPr>
                <w:p w14:paraId="26513DF9">
                  <w:pPr>
                    <w:jc w:val="center"/>
                    <w:rPr>
                      <w:rFonts w:hint="eastAsia" w:ascii="宋体" w:hAnsi="宋体" w:cs="Times New Roman"/>
                      <w:kern w:val="0"/>
                      <w:sz w:val="21"/>
                      <w:szCs w:val="16"/>
                    </w:rPr>
                  </w:pPr>
                  <w:r>
                    <w:rPr>
                      <w:rFonts w:hint="eastAsia" w:ascii="宋体" w:hAnsi="宋体" w:cs="Times New Roman"/>
                      <w:kern w:val="0"/>
                      <w:sz w:val="21"/>
                      <w:szCs w:val="16"/>
                    </w:rPr>
                    <w:t>0.8</w:t>
                  </w:r>
                </w:p>
              </w:tc>
              <w:tc>
                <w:tcPr>
                  <w:tcW w:w="709" w:type="dxa"/>
                  <w:vAlign w:val="center"/>
                </w:tcPr>
                <w:p w14:paraId="15C34729">
                  <w:pPr>
                    <w:jc w:val="center"/>
                    <w:rPr>
                      <w:rFonts w:hint="eastAsia" w:ascii="宋体" w:hAnsi="宋体" w:cs="Times New Roman"/>
                      <w:kern w:val="0"/>
                      <w:sz w:val="21"/>
                      <w:szCs w:val="16"/>
                    </w:rPr>
                  </w:pPr>
                  <w:r>
                    <w:rPr>
                      <w:rFonts w:hint="eastAsia" w:ascii="宋体" w:hAnsi="宋体" w:cs="Times New Roman"/>
                      <w:kern w:val="0"/>
                      <w:sz w:val="21"/>
                      <w:szCs w:val="16"/>
                    </w:rPr>
                    <w:t>2</w:t>
                  </w:r>
                </w:p>
              </w:tc>
              <w:tc>
                <w:tcPr>
                  <w:tcW w:w="1521" w:type="dxa"/>
                  <w:vAlign w:val="center"/>
                </w:tcPr>
                <w:p w14:paraId="7F8DB13A">
                  <w:pPr>
                    <w:jc w:val="center"/>
                    <w:rPr>
                      <w:rFonts w:hint="eastAsia" w:ascii="宋体" w:hAnsi="宋体" w:cs="Times New Roman"/>
                      <w:kern w:val="0"/>
                      <w:sz w:val="21"/>
                      <w:szCs w:val="16"/>
                    </w:rPr>
                  </w:pPr>
                  <w:r>
                    <w:rPr>
                      <w:rFonts w:hint="eastAsia" w:ascii="宋体" w:hAnsi="宋体" w:cs="Times New Roman"/>
                      <w:kern w:val="0"/>
                      <w:sz w:val="21"/>
                      <w:szCs w:val="16"/>
                    </w:rPr>
                    <w:t>钢质</w:t>
                  </w:r>
                </w:p>
              </w:tc>
            </w:tr>
            <w:tr w14:paraId="4BCE5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14:paraId="7D6A7B4F">
                  <w:pPr>
                    <w:jc w:val="center"/>
                    <w:rPr>
                      <w:rFonts w:hint="eastAsia" w:ascii="宋体" w:hAnsi="宋体" w:cs="Times New Roman"/>
                      <w:kern w:val="0"/>
                      <w:sz w:val="21"/>
                      <w:szCs w:val="16"/>
                    </w:rPr>
                  </w:pPr>
                  <w:r>
                    <w:rPr>
                      <w:rFonts w:hint="eastAsia" w:ascii="宋体" w:hAnsi="宋体" w:cs="Times New Roman"/>
                      <w:kern w:val="0"/>
                      <w:sz w:val="21"/>
                      <w:szCs w:val="16"/>
                    </w:rPr>
                    <w:t>作业船2</w:t>
                  </w:r>
                </w:p>
              </w:tc>
              <w:tc>
                <w:tcPr>
                  <w:tcW w:w="1276" w:type="dxa"/>
                  <w:vAlign w:val="center"/>
                </w:tcPr>
                <w:p w14:paraId="790979E9">
                  <w:pPr>
                    <w:jc w:val="center"/>
                    <w:rPr>
                      <w:rFonts w:hint="eastAsia" w:ascii="宋体" w:hAnsi="宋体" w:cs="Times New Roman"/>
                      <w:kern w:val="0"/>
                      <w:sz w:val="21"/>
                      <w:szCs w:val="16"/>
                    </w:rPr>
                  </w:pPr>
                  <w:r>
                    <w:rPr>
                      <w:rFonts w:hint="eastAsia" w:ascii="宋体" w:hAnsi="宋体" w:cs="Times New Roman"/>
                      <w:kern w:val="0"/>
                      <w:sz w:val="21"/>
                      <w:szCs w:val="16"/>
                    </w:rPr>
                    <w:t>25.2</w:t>
                  </w:r>
                </w:p>
              </w:tc>
              <w:tc>
                <w:tcPr>
                  <w:tcW w:w="1276" w:type="dxa"/>
                  <w:vAlign w:val="center"/>
                </w:tcPr>
                <w:p w14:paraId="7B96D55B">
                  <w:pPr>
                    <w:jc w:val="center"/>
                    <w:rPr>
                      <w:rFonts w:hint="eastAsia" w:ascii="宋体" w:hAnsi="宋体" w:cs="Times New Roman"/>
                      <w:kern w:val="0"/>
                      <w:sz w:val="21"/>
                      <w:szCs w:val="16"/>
                    </w:rPr>
                  </w:pPr>
                  <w:r>
                    <w:rPr>
                      <w:rFonts w:hint="eastAsia" w:ascii="宋体" w:hAnsi="宋体" w:cs="Times New Roman"/>
                      <w:kern w:val="0"/>
                      <w:sz w:val="21"/>
                      <w:szCs w:val="16"/>
                    </w:rPr>
                    <w:t>800</w:t>
                  </w:r>
                </w:p>
              </w:tc>
              <w:tc>
                <w:tcPr>
                  <w:tcW w:w="1701" w:type="dxa"/>
                  <w:vAlign w:val="center"/>
                </w:tcPr>
                <w:p w14:paraId="6483EBAF">
                  <w:pPr>
                    <w:jc w:val="center"/>
                    <w:rPr>
                      <w:rFonts w:hint="eastAsia" w:ascii="宋体" w:hAnsi="宋体" w:cs="Times New Roman"/>
                      <w:kern w:val="0"/>
                      <w:sz w:val="21"/>
                      <w:szCs w:val="16"/>
                    </w:rPr>
                  </w:pPr>
                  <w:r>
                    <w:rPr>
                      <w:rFonts w:hint="eastAsia" w:ascii="宋体" w:hAnsi="宋体" w:cs="Times New Roman"/>
                      <w:kern w:val="0"/>
                      <w:sz w:val="21"/>
                      <w:szCs w:val="16"/>
                    </w:rPr>
                    <w:t>0.8</w:t>
                  </w:r>
                </w:p>
              </w:tc>
              <w:tc>
                <w:tcPr>
                  <w:tcW w:w="709" w:type="dxa"/>
                  <w:vAlign w:val="center"/>
                </w:tcPr>
                <w:p w14:paraId="33F57A82">
                  <w:pPr>
                    <w:jc w:val="center"/>
                    <w:rPr>
                      <w:rFonts w:hint="eastAsia" w:ascii="宋体" w:hAnsi="宋体" w:cs="Times New Roman"/>
                      <w:kern w:val="0"/>
                      <w:sz w:val="21"/>
                      <w:szCs w:val="16"/>
                    </w:rPr>
                  </w:pPr>
                  <w:r>
                    <w:rPr>
                      <w:rFonts w:hint="eastAsia" w:ascii="宋体" w:hAnsi="宋体" w:cs="Times New Roman"/>
                      <w:kern w:val="0"/>
                      <w:sz w:val="21"/>
                      <w:szCs w:val="16"/>
                    </w:rPr>
                    <w:t>1</w:t>
                  </w:r>
                </w:p>
              </w:tc>
              <w:tc>
                <w:tcPr>
                  <w:tcW w:w="1521" w:type="dxa"/>
                  <w:vAlign w:val="center"/>
                </w:tcPr>
                <w:p w14:paraId="6B699036">
                  <w:pPr>
                    <w:jc w:val="center"/>
                    <w:rPr>
                      <w:rFonts w:hint="eastAsia" w:ascii="宋体" w:hAnsi="宋体" w:cs="Times New Roman"/>
                      <w:kern w:val="0"/>
                      <w:sz w:val="21"/>
                      <w:szCs w:val="16"/>
                    </w:rPr>
                  </w:pPr>
                  <w:r>
                    <w:rPr>
                      <w:rFonts w:hint="eastAsia" w:ascii="宋体" w:hAnsi="宋体" w:cs="Times New Roman"/>
                      <w:kern w:val="0"/>
                      <w:sz w:val="21"/>
                      <w:szCs w:val="16"/>
                    </w:rPr>
                    <w:t>钢质</w:t>
                  </w:r>
                </w:p>
              </w:tc>
            </w:tr>
            <w:tr w14:paraId="38C32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14:paraId="44EB1DA5">
                  <w:pPr>
                    <w:jc w:val="center"/>
                    <w:rPr>
                      <w:rFonts w:hint="eastAsia" w:ascii="宋体" w:hAnsi="宋体" w:cs="Times New Roman"/>
                      <w:kern w:val="0"/>
                      <w:sz w:val="21"/>
                      <w:szCs w:val="16"/>
                    </w:rPr>
                  </w:pPr>
                  <w:r>
                    <w:rPr>
                      <w:rFonts w:hint="eastAsia" w:ascii="宋体" w:hAnsi="宋体" w:cs="Times New Roman"/>
                      <w:kern w:val="0"/>
                      <w:sz w:val="21"/>
                      <w:szCs w:val="16"/>
                    </w:rPr>
                    <w:t>工作船1</w:t>
                  </w:r>
                </w:p>
              </w:tc>
              <w:tc>
                <w:tcPr>
                  <w:tcW w:w="1276" w:type="dxa"/>
                  <w:vAlign w:val="center"/>
                </w:tcPr>
                <w:p w14:paraId="0ADD18F6">
                  <w:pPr>
                    <w:jc w:val="center"/>
                    <w:rPr>
                      <w:rFonts w:hint="eastAsia" w:ascii="宋体" w:hAnsi="宋体" w:cs="Times New Roman"/>
                      <w:kern w:val="0"/>
                      <w:sz w:val="21"/>
                      <w:szCs w:val="16"/>
                    </w:rPr>
                  </w:pPr>
                  <w:r>
                    <w:rPr>
                      <w:rFonts w:hint="eastAsia" w:ascii="宋体" w:hAnsi="宋体" w:cs="Times New Roman"/>
                      <w:kern w:val="0"/>
                      <w:sz w:val="21"/>
                      <w:szCs w:val="16"/>
                    </w:rPr>
                    <w:t>26.8</w:t>
                  </w:r>
                </w:p>
              </w:tc>
              <w:tc>
                <w:tcPr>
                  <w:tcW w:w="1276" w:type="dxa"/>
                  <w:vAlign w:val="center"/>
                </w:tcPr>
                <w:p w14:paraId="5F135CEC">
                  <w:pPr>
                    <w:jc w:val="center"/>
                    <w:rPr>
                      <w:rFonts w:hint="eastAsia" w:ascii="宋体" w:hAnsi="宋体" w:cs="Times New Roman"/>
                      <w:kern w:val="0"/>
                      <w:sz w:val="21"/>
                      <w:szCs w:val="16"/>
                    </w:rPr>
                  </w:pPr>
                  <w:r>
                    <w:rPr>
                      <w:rFonts w:hint="eastAsia" w:ascii="宋体" w:hAnsi="宋体" w:cs="Times New Roman"/>
                      <w:kern w:val="0"/>
                      <w:sz w:val="21"/>
                      <w:szCs w:val="16"/>
                    </w:rPr>
                    <w:t>6.0</w:t>
                  </w:r>
                </w:p>
              </w:tc>
              <w:tc>
                <w:tcPr>
                  <w:tcW w:w="1701" w:type="dxa"/>
                  <w:vAlign w:val="center"/>
                </w:tcPr>
                <w:p w14:paraId="04E0B57C">
                  <w:pPr>
                    <w:jc w:val="center"/>
                    <w:rPr>
                      <w:rFonts w:hint="eastAsia" w:ascii="宋体" w:hAnsi="宋体" w:cs="Times New Roman"/>
                      <w:kern w:val="0"/>
                      <w:sz w:val="21"/>
                      <w:szCs w:val="16"/>
                    </w:rPr>
                  </w:pPr>
                  <w:r>
                    <w:rPr>
                      <w:rFonts w:hint="eastAsia" w:ascii="宋体" w:hAnsi="宋体" w:cs="Times New Roman"/>
                      <w:kern w:val="0"/>
                      <w:sz w:val="21"/>
                      <w:szCs w:val="16"/>
                    </w:rPr>
                    <w:t>0.8</w:t>
                  </w:r>
                </w:p>
              </w:tc>
              <w:tc>
                <w:tcPr>
                  <w:tcW w:w="709" w:type="dxa"/>
                  <w:vAlign w:val="center"/>
                </w:tcPr>
                <w:p w14:paraId="3B9F112A">
                  <w:pPr>
                    <w:jc w:val="center"/>
                    <w:rPr>
                      <w:rFonts w:hint="eastAsia" w:ascii="宋体" w:hAnsi="宋体" w:cs="Times New Roman"/>
                      <w:kern w:val="0"/>
                      <w:sz w:val="21"/>
                      <w:szCs w:val="16"/>
                    </w:rPr>
                  </w:pPr>
                  <w:r>
                    <w:rPr>
                      <w:rFonts w:hint="eastAsia" w:ascii="宋体" w:hAnsi="宋体" w:cs="Times New Roman"/>
                      <w:kern w:val="0"/>
                      <w:sz w:val="21"/>
                      <w:szCs w:val="16"/>
                    </w:rPr>
                    <w:t>5</w:t>
                  </w:r>
                </w:p>
              </w:tc>
              <w:tc>
                <w:tcPr>
                  <w:tcW w:w="1521" w:type="dxa"/>
                  <w:vAlign w:val="center"/>
                </w:tcPr>
                <w:p w14:paraId="60625E29">
                  <w:pPr>
                    <w:jc w:val="center"/>
                    <w:rPr>
                      <w:rFonts w:hint="eastAsia" w:ascii="宋体" w:hAnsi="宋体" w:cs="Times New Roman"/>
                      <w:kern w:val="0"/>
                      <w:sz w:val="21"/>
                      <w:szCs w:val="16"/>
                    </w:rPr>
                  </w:pPr>
                  <w:r>
                    <w:rPr>
                      <w:rFonts w:hint="eastAsia" w:ascii="宋体" w:hAnsi="宋体" w:cs="Times New Roman"/>
                      <w:kern w:val="0"/>
                      <w:sz w:val="21"/>
                      <w:szCs w:val="16"/>
                    </w:rPr>
                    <w:t>玻璃钢、钢质</w:t>
                  </w:r>
                </w:p>
              </w:tc>
            </w:tr>
            <w:tr w14:paraId="6548C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dxa"/>
                  <w:vAlign w:val="center"/>
                </w:tcPr>
                <w:p w14:paraId="31930FE7">
                  <w:pPr>
                    <w:jc w:val="center"/>
                    <w:rPr>
                      <w:rFonts w:hint="eastAsia" w:ascii="宋体" w:hAnsi="宋体" w:cs="Times New Roman"/>
                      <w:kern w:val="0"/>
                      <w:sz w:val="21"/>
                      <w:szCs w:val="16"/>
                    </w:rPr>
                  </w:pPr>
                  <w:r>
                    <w:rPr>
                      <w:rFonts w:hint="eastAsia" w:ascii="宋体" w:hAnsi="宋体" w:cs="Times New Roman"/>
                      <w:kern w:val="0"/>
                      <w:sz w:val="21"/>
                      <w:szCs w:val="16"/>
                    </w:rPr>
                    <w:t>工作船2</w:t>
                  </w:r>
                </w:p>
              </w:tc>
              <w:tc>
                <w:tcPr>
                  <w:tcW w:w="1276" w:type="dxa"/>
                  <w:vAlign w:val="center"/>
                </w:tcPr>
                <w:p w14:paraId="71D5CEBB">
                  <w:pPr>
                    <w:jc w:val="center"/>
                    <w:rPr>
                      <w:rFonts w:hint="eastAsia" w:ascii="宋体" w:hAnsi="宋体" w:cs="Times New Roman"/>
                      <w:kern w:val="0"/>
                      <w:sz w:val="21"/>
                      <w:szCs w:val="16"/>
                    </w:rPr>
                  </w:pPr>
                  <w:r>
                    <w:rPr>
                      <w:rFonts w:hint="eastAsia" w:ascii="宋体" w:hAnsi="宋体" w:cs="Times New Roman"/>
                      <w:kern w:val="0"/>
                      <w:sz w:val="21"/>
                      <w:szCs w:val="16"/>
                    </w:rPr>
                    <w:t>10</w:t>
                  </w:r>
                </w:p>
              </w:tc>
              <w:tc>
                <w:tcPr>
                  <w:tcW w:w="1276" w:type="dxa"/>
                  <w:vAlign w:val="center"/>
                </w:tcPr>
                <w:p w14:paraId="3268D684">
                  <w:pPr>
                    <w:jc w:val="center"/>
                    <w:rPr>
                      <w:rFonts w:hint="eastAsia" w:ascii="宋体" w:hAnsi="宋体" w:cs="Times New Roman"/>
                      <w:kern w:val="0"/>
                      <w:sz w:val="21"/>
                      <w:szCs w:val="16"/>
                    </w:rPr>
                  </w:pPr>
                  <w:r>
                    <w:rPr>
                      <w:rFonts w:hint="eastAsia" w:ascii="宋体" w:hAnsi="宋体" w:cs="Times New Roman"/>
                      <w:kern w:val="0"/>
                      <w:sz w:val="21"/>
                      <w:szCs w:val="16"/>
                    </w:rPr>
                    <w:t>2.5</w:t>
                  </w:r>
                </w:p>
              </w:tc>
              <w:tc>
                <w:tcPr>
                  <w:tcW w:w="1701" w:type="dxa"/>
                  <w:vAlign w:val="center"/>
                </w:tcPr>
                <w:p w14:paraId="7AFA6615">
                  <w:pPr>
                    <w:jc w:val="center"/>
                    <w:rPr>
                      <w:rFonts w:hint="eastAsia" w:ascii="宋体" w:hAnsi="宋体" w:cs="Times New Roman"/>
                      <w:kern w:val="0"/>
                      <w:sz w:val="21"/>
                      <w:szCs w:val="16"/>
                    </w:rPr>
                  </w:pPr>
                  <w:r>
                    <w:rPr>
                      <w:rFonts w:hint="eastAsia" w:ascii="宋体" w:hAnsi="宋体" w:cs="Times New Roman"/>
                      <w:kern w:val="0"/>
                      <w:sz w:val="21"/>
                      <w:szCs w:val="16"/>
                    </w:rPr>
                    <w:t>0.7</w:t>
                  </w:r>
                </w:p>
              </w:tc>
              <w:tc>
                <w:tcPr>
                  <w:tcW w:w="709" w:type="dxa"/>
                  <w:vAlign w:val="center"/>
                </w:tcPr>
                <w:p w14:paraId="732B358D">
                  <w:pPr>
                    <w:jc w:val="center"/>
                    <w:rPr>
                      <w:rFonts w:hint="eastAsia" w:ascii="宋体" w:hAnsi="宋体" w:cs="Times New Roman"/>
                      <w:kern w:val="0"/>
                      <w:sz w:val="21"/>
                      <w:szCs w:val="16"/>
                    </w:rPr>
                  </w:pPr>
                  <w:r>
                    <w:rPr>
                      <w:rFonts w:hint="eastAsia" w:ascii="宋体" w:hAnsi="宋体" w:cs="Times New Roman"/>
                      <w:kern w:val="0"/>
                      <w:sz w:val="21"/>
                      <w:szCs w:val="16"/>
                    </w:rPr>
                    <w:t>2</w:t>
                  </w:r>
                </w:p>
              </w:tc>
              <w:tc>
                <w:tcPr>
                  <w:tcW w:w="1521" w:type="dxa"/>
                  <w:vAlign w:val="center"/>
                </w:tcPr>
                <w:p w14:paraId="5BB2613A">
                  <w:pPr>
                    <w:jc w:val="center"/>
                    <w:rPr>
                      <w:rFonts w:hint="eastAsia" w:ascii="宋体" w:hAnsi="宋体" w:cs="Times New Roman"/>
                      <w:kern w:val="0"/>
                      <w:sz w:val="21"/>
                      <w:szCs w:val="16"/>
                    </w:rPr>
                  </w:pPr>
                  <w:r>
                    <w:rPr>
                      <w:rFonts w:hint="eastAsia" w:ascii="宋体" w:hAnsi="宋体" w:cs="Times New Roman"/>
                      <w:kern w:val="0"/>
                      <w:sz w:val="21"/>
                      <w:szCs w:val="16"/>
                    </w:rPr>
                    <w:t>玻璃钢</w:t>
                  </w:r>
                </w:p>
              </w:tc>
            </w:tr>
          </w:tbl>
          <w:p w14:paraId="4611B1A7">
            <w:pPr>
              <w:spacing w:line="360" w:lineRule="auto"/>
              <w:ind w:firstLine="480" w:firstLineChars="200"/>
            </w:pPr>
          </w:p>
          <w:p w14:paraId="1D66263A">
            <w:pPr>
              <w:spacing w:line="360" w:lineRule="auto"/>
              <w:ind w:firstLine="480" w:firstLineChars="200"/>
            </w:pPr>
            <w:r>
              <w:rPr>
                <w:rFonts w:hint="eastAsia"/>
              </w:rPr>
              <w:t>3、水域主尺度</w:t>
            </w:r>
          </w:p>
          <w:p w14:paraId="4E5FCE69">
            <w:pPr>
              <w:spacing w:line="360" w:lineRule="auto"/>
              <w:ind w:firstLine="480" w:firstLineChars="200"/>
            </w:pPr>
            <w:r>
              <w:rPr>
                <w:rFonts w:hint="eastAsia"/>
              </w:rPr>
              <w:t>（1）泊位长度</w:t>
            </w:r>
          </w:p>
          <w:p w14:paraId="0B4F94A2">
            <w:pPr>
              <w:spacing w:line="360" w:lineRule="auto"/>
              <w:ind w:firstLine="480" w:firstLineChars="200"/>
            </w:pPr>
            <w:r>
              <w:rPr>
                <w:rFonts w:hint="eastAsia"/>
              </w:rPr>
              <w:t>结合本工程《建设项目用地预审与选址意见书》（详见附件）及《水利部松辽水利委员会关于鸭绿江临江航道码头建设工程洪水影响评价类审批准予水行政许可的决定》（涉密），本工程码头前沿线位置根据用地红线划定，码头总长321.0m。</w:t>
            </w:r>
          </w:p>
          <w:p w14:paraId="33DC0C7A">
            <w:pPr>
              <w:spacing w:line="360" w:lineRule="auto"/>
              <w:ind w:firstLine="480" w:firstLineChars="200"/>
            </w:pPr>
            <w:r>
              <w:rPr>
                <w:rFonts w:hint="eastAsia"/>
              </w:rPr>
              <w:t>结合以上红线及码头长度，根据《河港总体设计规范》中的相关要求，确定本工程泊位富裕长度为5.0m。</w:t>
            </w:r>
          </w:p>
          <w:p w14:paraId="6F3C24D6">
            <w:pPr>
              <w:spacing w:line="360" w:lineRule="auto"/>
              <w:ind w:firstLine="480" w:firstLineChars="200"/>
            </w:pPr>
            <w:r>
              <w:rPr>
                <w:rFonts w:hint="eastAsia"/>
              </w:rPr>
              <w:t>本工程根据船舶类型将码头分成三个区域，作业区码头用于停靠作业船舶，工作船码头停靠工作船艇，防冰突堤对港池形成掩护，同时内侧兼顾小型船艇停靠。</w:t>
            </w:r>
          </w:p>
          <w:p w14:paraId="1552285C">
            <w:pPr>
              <w:spacing w:line="360" w:lineRule="auto"/>
              <w:ind w:firstLine="480" w:firstLineChars="200"/>
            </w:pPr>
            <w:r>
              <w:rPr>
                <w:rFonts w:hint="eastAsia"/>
              </w:rPr>
              <w:t>根据船型统计，共布置作业船艇泊位3个，工作船泊位5个以及小型船艇泊位2个。最终确定本项目作业区码头长度为103.5m；工作船泊位长度为177.5m。结合自然资源部门及水利部门对岸线及用地使用意见，防冰突堤兼码头长度取40m，可满足船舶掩护和停靠2艘小型船艇或一艘大型工作船的需求。</w:t>
            </w:r>
          </w:p>
          <w:p w14:paraId="33FC1756">
            <w:pPr>
              <w:spacing w:line="360" w:lineRule="auto"/>
              <w:ind w:firstLine="480" w:firstLineChars="200"/>
            </w:pPr>
            <w:r>
              <w:rPr>
                <w:rFonts w:hint="eastAsia"/>
              </w:rPr>
              <w:t>综上，确定本工程码头总长度为321.0m。</w:t>
            </w:r>
          </w:p>
          <w:p w14:paraId="213AFDD2">
            <w:pPr>
              <w:spacing w:line="360" w:lineRule="auto"/>
              <w:ind w:firstLine="480" w:firstLineChars="200"/>
            </w:pPr>
            <w:r>
              <w:rPr>
                <w:rFonts w:hint="eastAsia"/>
              </w:rPr>
              <w:t>（2）码头前沿顶面高程</w:t>
            </w:r>
          </w:p>
          <w:p w14:paraId="74BEFAAD">
            <w:pPr>
              <w:spacing w:line="360" w:lineRule="auto"/>
              <w:ind w:firstLine="480" w:firstLineChars="200"/>
            </w:pPr>
            <w:r>
              <w:rPr>
                <w:rFonts w:hint="eastAsia"/>
              </w:rPr>
              <w:t>本工程设计高水位为：321.86~321.93m（国家85高程）。根据《河港总体设计规范》，确定本工程低水级泊位码头前沿高程采用318.55m，其他泊位码头前沿高程统一采用322.10m。</w:t>
            </w:r>
          </w:p>
          <w:p w14:paraId="5F4D7BE1">
            <w:pPr>
              <w:spacing w:line="360" w:lineRule="auto"/>
              <w:ind w:firstLine="480" w:firstLineChars="200"/>
            </w:pPr>
            <w:r>
              <w:rPr>
                <w:rFonts w:hint="eastAsia"/>
              </w:rPr>
              <w:t>（3）码头前沿设计水深和底高程</w:t>
            </w:r>
          </w:p>
          <w:p w14:paraId="1B25CD37">
            <w:pPr>
              <w:spacing w:line="360" w:lineRule="auto"/>
              <w:ind w:firstLine="480" w:firstLineChars="200"/>
            </w:pPr>
            <w:r>
              <w:rPr>
                <w:rFonts w:hint="eastAsia"/>
              </w:rPr>
              <w:t>根据《河港总体设计规范》，确定本工程工作船泊位码头前沿水深1.3m，作业区泊位码头前沿水深1.3m。</w:t>
            </w:r>
          </w:p>
          <w:p w14:paraId="2995F429">
            <w:pPr>
              <w:spacing w:line="360" w:lineRule="auto"/>
              <w:ind w:firstLine="480" w:firstLineChars="200"/>
            </w:pPr>
            <w:r>
              <w:rPr>
                <w:rFonts w:hint="eastAsia"/>
              </w:rPr>
              <w:t>本工程设计低水位为316.50~317.07m，底高程设计值为：作业区315.6m、工作船区315.35m、防冰突堤315.2m，卧泊港池设计水位按冬季最低水位316.00m考虑，底高程设计值为314.7m。</w:t>
            </w:r>
          </w:p>
          <w:p w14:paraId="41CCEDC8">
            <w:pPr>
              <w:spacing w:line="360" w:lineRule="auto"/>
              <w:ind w:firstLine="480" w:firstLineChars="200"/>
            </w:pPr>
            <w:r>
              <w:rPr>
                <w:rFonts w:hint="eastAsia"/>
              </w:rPr>
              <w:t>（4）船台滑道水下作业区</w:t>
            </w:r>
          </w:p>
          <w:p w14:paraId="547C24EA">
            <w:pPr>
              <w:spacing w:line="360" w:lineRule="auto"/>
              <w:ind w:firstLine="480" w:firstLineChars="200"/>
            </w:pPr>
            <w:r>
              <w:rPr>
                <w:rFonts w:hint="eastAsia"/>
              </w:rPr>
              <w:t>本工程斜船台滑道下水作业区在顺滑道方向的水域长度，自滑道末端起共60m；滑道末端处水域宽度24m。下水滑道中心线距防冰突堤距离14m。</w:t>
            </w:r>
          </w:p>
          <w:p w14:paraId="1A691374">
            <w:pPr>
              <w:spacing w:line="360" w:lineRule="auto"/>
              <w:ind w:firstLine="480" w:firstLineChars="200"/>
            </w:pPr>
            <w:r>
              <w:rPr>
                <w:rFonts w:hint="eastAsia"/>
              </w:rPr>
              <w:t>（5）码头前沿停泊水域宽度</w:t>
            </w:r>
          </w:p>
          <w:p w14:paraId="6963834F">
            <w:pPr>
              <w:spacing w:line="360" w:lineRule="auto"/>
              <w:ind w:firstLine="480" w:firstLineChars="200"/>
            </w:pPr>
            <w:r>
              <w:rPr>
                <w:rFonts w:hint="eastAsia"/>
              </w:rPr>
              <w:t>码头前沿停泊水域宽度取码头前2倍设计船宽，即为16.0m。</w:t>
            </w:r>
          </w:p>
          <w:p w14:paraId="6BDFBEBF">
            <w:pPr>
              <w:spacing w:line="360" w:lineRule="auto"/>
              <w:ind w:firstLine="480" w:firstLineChars="200"/>
            </w:pPr>
            <w:r>
              <w:rPr>
                <w:rFonts w:hint="eastAsia"/>
              </w:rPr>
              <w:t>（6）港池水域主尺度</w:t>
            </w:r>
          </w:p>
          <w:p w14:paraId="6EFE1705">
            <w:pPr>
              <w:spacing w:line="360" w:lineRule="auto"/>
              <w:ind w:firstLine="480" w:firstLineChars="200"/>
            </w:pPr>
            <w:r>
              <w:rPr>
                <w:rFonts w:hint="eastAsia"/>
              </w:rPr>
              <w:t>本工程回旋水域沿垂直水流方向的宽度为45m，沿水流方向的长度为73m，平行于码头前沿连片布置。防冰突堤内侧港池回旋水域直径按最大设计船型的1.5倍船长考虑，为45m。</w:t>
            </w:r>
          </w:p>
          <w:p w14:paraId="12F6DA67">
            <w:pPr>
              <w:spacing w:line="360" w:lineRule="auto"/>
              <w:ind w:firstLine="480" w:firstLineChars="200"/>
            </w:pPr>
            <w:r>
              <w:rPr>
                <w:rFonts w:hint="eastAsia"/>
              </w:rPr>
              <w:t>本项目防冰突堤回旋水域设计底高程为315.4m，工作船泊位设计底高程为315.55m，作业区泊位设计底高程为315.80m。</w:t>
            </w:r>
          </w:p>
          <w:p w14:paraId="0AECB0C8">
            <w:pPr>
              <w:spacing w:line="360" w:lineRule="auto"/>
              <w:ind w:firstLine="480" w:firstLineChars="200"/>
            </w:pPr>
            <w:r>
              <w:rPr>
                <w:rFonts w:hint="eastAsia"/>
              </w:rPr>
              <w:t>4、主要技术指标及工程量</w:t>
            </w:r>
          </w:p>
          <w:p w14:paraId="715F1055">
            <w:pPr>
              <w:spacing w:line="360" w:lineRule="auto"/>
              <w:ind w:firstLine="480" w:firstLineChars="200"/>
            </w:pPr>
            <w:r>
              <w:rPr>
                <w:rFonts w:hint="eastAsia"/>
              </w:rPr>
              <w:t>本工程主要技术指标及工程量情况如下表所示：</w:t>
            </w:r>
          </w:p>
          <w:p w14:paraId="6D16828D">
            <w:pPr>
              <w:spacing w:line="360" w:lineRule="auto"/>
              <w:jc w:val="both"/>
              <w:rPr>
                <w:b/>
                <w:bCs/>
              </w:rPr>
            </w:pPr>
            <w:r>
              <w:rPr>
                <w:rFonts w:hint="eastAsia"/>
                <w:b/>
                <w:bCs/>
              </w:rPr>
              <w:t>表15       本工程主要技术指标一览表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126"/>
              <w:gridCol w:w="1418"/>
              <w:gridCol w:w="1835"/>
              <w:gridCol w:w="1523"/>
            </w:tblGrid>
            <w:tr w14:paraId="79184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3C2A83E8">
                  <w:pPr>
                    <w:jc w:val="center"/>
                    <w:rPr>
                      <w:rFonts w:cs="Times New Roman"/>
                      <w:kern w:val="0"/>
                      <w:sz w:val="21"/>
                      <w:szCs w:val="16"/>
                    </w:rPr>
                  </w:pPr>
                  <w:r>
                    <w:rPr>
                      <w:rFonts w:hint="eastAsia" w:cs="Times New Roman"/>
                      <w:kern w:val="0"/>
                      <w:sz w:val="21"/>
                      <w:szCs w:val="16"/>
                    </w:rPr>
                    <w:t>序号</w:t>
                  </w:r>
                </w:p>
              </w:tc>
              <w:tc>
                <w:tcPr>
                  <w:tcW w:w="2126" w:type="dxa"/>
                  <w:vAlign w:val="center"/>
                </w:tcPr>
                <w:p w14:paraId="4613204A">
                  <w:pPr>
                    <w:jc w:val="center"/>
                    <w:rPr>
                      <w:rFonts w:cs="Times New Roman"/>
                      <w:kern w:val="0"/>
                      <w:sz w:val="21"/>
                      <w:szCs w:val="16"/>
                    </w:rPr>
                  </w:pPr>
                  <w:r>
                    <w:rPr>
                      <w:rFonts w:hint="eastAsia" w:cs="Times New Roman"/>
                      <w:kern w:val="0"/>
                      <w:sz w:val="21"/>
                      <w:szCs w:val="16"/>
                    </w:rPr>
                    <w:t>项目</w:t>
                  </w:r>
                </w:p>
              </w:tc>
              <w:tc>
                <w:tcPr>
                  <w:tcW w:w="1418" w:type="dxa"/>
                  <w:vAlign w:val="center"/>
                </w:tcPr>
                <w:p w14:paraId="66CA9BE2">
                  <w:pPr>
                    <w:jc w:val="center"/>
                    <w:rPr>
                      <w:rFonts w:cs="Times New Roman"/>
                      <w:kern w:val="0"/>
                      <w:sz w:val="21"/>
                      <w:szCs w:val="16"/>
                    </w:rPr>
                  </w:pPr>
                  <w:r>
                    <w:rPr>
                      <w:rFonts w:hint="eastAsia" w:cs="Times New Roman"/>
                      <w:kern w:val="0"/>
                      <w:sz w:val="21"/>
                      <w:szCs w:val="16"/>
                    </w:rPr>
                    <w:t>单位</w:t>
                  </w:r>
                </w:p>
              </w:tc>
              <w:tc>
                <w:tcPr>
                  <w:tcW w:w="1835" w:type="dxa"/>
                  <w:vAlign w:val="center"/>
                </w:tcPr>
                <w:p w14:paraId="05CB279D">
                  <w:pPr>
                    <w:jc w:val="center"/>
                    <w:rPr>
                      <w:rFonts w:cs="Times New Roman"/>
                      <w:kern w:val="0"/>
                      <w:sz w:val="21"/>
                      <w:szCs w:val="16"/>
                    </w:rPr>
                  </w:pPr>
                  <w:r>
                    <w:rPr>
                      <w:rFonts w:hint="eastAsia" w:cs="Times New Roman"/>
                      <w:kern w:val="0"/>
                      <w:sz w:val="21"/>
                      <w:szCs w:val="16"/>
                    </w:rPr>
                    <w:t>工程量</w:t>
                  </w:r>
                </w:p>
              </w:tc>
              <w:tc>
                <w:tcPr>
                  <w:tcW w:w="1523" w:type="dxa"/>
                  <w:vAlign w:val="center"/>
                </w:tcPr>
                <w:p w14:paraId="5DBB64D6">
                  <w:pPr>
                    <w:jc w:val="center"/>
                    <w:rPr>
                      <w:rFonts w:cs="Times New Roman"/>
                      <w:kern w:val="0"/>
                      <w:sz w:val="21"/>
                      <w:szCs w:val="16"/>
                    </w:rPr>
                  </w:pPr>
                  <w:r>
                    <w:rPr>
                      <w:rFonts w:hint="eastAsia" w:cs="Times New Roman"/>
                      <w:kern w:val="0"/>
                      <w:sz w:val="21"/>
                      <w:szCs w:val="16"/>
                    </w:rPr>
                    <w:t>备注</w:t>
                  </w:r>
                </w:p>
              </w:tc>
            </w:tr>
            <w:tr w14:paraId="7795D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332C3EB7">
                  <w:pPr>
                    <w:jc w:val="center"/>
                    <w:rPr>
                      <w:rFonts w:cs="Times New Roman"/>
                      <w:kern w:val="0"/>
                      <w:sz w:val="21"/>
                      <w:szCs w:val="16"/>
                    </w:rPr>
                  </w:pPr>
                  <w:r>
                    <w:rPr>
                      <w:rFonts w:hint="eastAsia" w:cs="Times New Roman"/>
                      <w:kern w:val="0"/>
                      <w:sz w:val="21"/>
                      <w:szCs w:val="16"/>
                    </w:rPr>
                    <w:t>1</w:t>
                  </w:r>
                </w:p>
              </w:tc>
              <w:tc>
                <w:tcPr>
                  <w:tcW w:w="2126" w:type="dxa"/>
                  <w:vAlign w:val="center"/>
                </w:tcPr>
                <w:p w14:paraId="436EBD55">
                  <w:pPr>
                    <w:jc w:val="center"/>
                    <w:rPr>
                      <w:rFonts w:cs="Times New Roman"/>
                      <w:kern w:val="0"/>
                      <w:sz w:val="21"/>
                      <w:szCs w:val="16"/>
                    </w:rPr>
                  </w:pPr>
                  <w:r>
                    <w:rPr>
                      <w:rFonts w:hint="eastAsia" w:cs="Times New Roman"/>
                      <w:kern w:val="0"/>
                      <w:sz w:val="21"/>
                      <w:szCs w:val="16"/>
                    </w:rPr>
                    <w:t>码头泊位数</w:t>
                  </w:r>
                </w:p>
              </w:tc>
              <w:tc>
                <w:tcPr>
                  <w:tcW w:w="1418" w:type="dxa"/>
                  <w:vAlign w:val="center"/>
                </w:tcPr>
                <w:p w14:paraId="0A625154">
                  <w:pPr>
                    <w:jc w:val="center"/>
                    <w:rPr>
                      <w:rFonts w:cs="Times New Roman"/>
                      <w:kern w:val="0"/>
                      <w:sz w:val="21"/>
                      <w:szCs w:val="16"/>
                    </w:rPr>
                  </w:pPr>
                  <w:r>
                    <w:rPr>
                      <w:rFonts w:hint="eastAsia" w:cs="Times New Roman"/>
                      <w:kern w:val="0"/>
                      <w:sz w:val="21"/>
                      <w:szCs w:val="16"/>
                    </w:rPr>
                    <w:t>个</w:t>
                  </w:r>
                </w:p>
              </w:tc>
              <w:tc>
                <w:tcPr>
                  <w:tcW w:w="1835" w:type="dxa"/>
                  <w:vAlign w:val="center"/>
                </w:tcPr>
                <w:p w14:paraId="78D6C91F">
                  <w:pPr>
                    <w:jc w:val="center"/>
                    <w:rPr>
                      <w:rFonts w:cs="Times New Roman"/>
                      <w:kern w:val="0"/>
                      <w:sz w:val="21"/>
                      <w:szCs w:val="16"/>
                    </w:rPr>
                  </w:pPr>
                  <w:r>
                    <w:rPr>
                      <w:rFonts w:hint="eastAsia" w:cs="Times New Roman"/>
                      <w:kern w:val="0"/>
                      <w:sz w:val="21"/>
                      <w:szCs w:val="16"/>
                    </w:rPr>
                    <w:t>10</w:t>
                  </w:r>
                </w:p>
              </w:tc>
              <w:tc>
                <w:tcPr>
                  <w:tcW w:w="1523" w:type="dxa"/>
                  <w:vAlign w:val="center"/>
                </w:tcPr>
                <w:p w14:paraId="62EEA0A6">
                  <w:pPr>
                    <w:jc w:val="center"/>
                    <w:rPr>
                      <w:rFonts w:cs="Times New Roman"/>
                      <w:kern w:val="0"/>
                      <w:sz w:val="21"/>
                      <w:szCs w:val="16"/>
                    </w:rPr>
                  </w:pPr>
                  <w:r>
                    <w:rPr>
                      <w:rFonts w:hint="eastAsia" w:cs="Times New Roman"/>
                      <w:kern w:val="0"/>
                      <w:sz w:val="21"/>
                      <w:szCs w:val="16"/>
                    </w:rPr>
                    <w:t>/</w:t>
                  </w:r>
                </w:p>
              </w:tc>
            </w:tr>
            <w:tr w14:paraId="0CDB1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4AD30FA1">
                  <w:pPr>
                    <w:jc w:val="center"/>
                    <w:rPr>
                      <w:rFonts w:cs="Times New Roman"/>
                      <w:kern w:val="0"/>
                      <w:sz w:val="21"/>
                      <w:szCs w:val="16"/>
                    </w:rPr>
                  </w:pPr>
                  <w:r>
                    <w:rPr>
                      <w:rFonts w:hint="eastAsia" w:cs="Times New Roman"/>
                      <w:kern w:val="0"/>
                      <w:sz w:val="21"/>
                      <w:szCs w:val="16"/>
                    </w:rPr>
                    <w:t>2</w:t>
                  </w:r>
                </w:p>
              </w:tc>
              <w:tc>
                <w:tcPr>
                  <w:tcW w:w="2126" w:type="dxa"/>
                  <w:vAlign w:val="center"/>
                </w:tcPr>
                <w:p w14:paraId="1E0B7D84">
                  <w:pPr>
                    <w:jc w:val="center"/>
                    <w:rPr>
                      <w:rFonts w:cs="Times New Roman"/>
                      <w:kern w:val="0"/>
                      <w:sz w:val="21"/>
                      <w:szCs w:val="16"/>
                    </w:rPr>
                  </w:pPr>
                  <w:r>
                    <w:rPr>
                      <w:rFonts w:hint="eastAsia" w:cs="Times New Roman"/>
                      <w:kern w:val="0"/>
                      <w:sz w:val="21"/>
                      <w:szCs w:val="16"/>
                    </w:rPr>
                    <w:t>码头岸线长度</w:t>
                  </w:r>
                </w:p>
              </w:tc>
              <w:tc>
                <w:tcPr>
                  <w:tcW w:w="1418" w:type="dxa"/>
                  <w:vAlign w:val="center"/>
                </w:tcPr>
                <w:p w14:paraId="39DAE541">
                  <w:pPr>
                    <w:jc w:val="center"/>
                    <w:rPr>
                      <w:rFonts w:cs="Times New Roman"/>
                      <w:kern w:val="0"/>
                      <w:sz w:val="21"/>
                      <w:szCs w:val="16"/>
                    </w:rPr>
                  </w:pPr>
                  <w:r>
                    <w:rPr>
                      <w:rFonts w:hint="eastAsia" w:cs="Times New Roman"/>
                      <w:kern w:val="0"/>
                      <w:sz w:val="21"/>
                      <w:szCs w:val="16"/>
                    </w:rPr>
                    <w:t>m</w:t>
                  </w:r>
                </w:p>
              </w:tc>
              <w:tc>
                <w:tcPr>
                  <w:tcW w:w="1835" w:type="dxa"/>
                  <w:vAlign w:val="center"/>
                </w:tcPr>
                <w:p w14:paraId="1D99C036">
                  <w:pPr>
                    <w:jc w:val="center"/>
                    <w:rPr>
                      <w:rFonts w:cs="Times New Roman"/>
                      <w:kern w:val="0"/>
                      <w:sz w:val="21"/>
                      <w:szCs w:val="16"/>
                    </w:rPr>
                  </w:pPr>
                  <w:r>
                    <w:rPr>
                      <w:rFonts w:hint="eastAsia" w:cs="Times New Roman"/>
                      <w:kern w:val="0"/>
                      <w:sz w:val="21"/>
                      <w:szCs w:val="16"/>
                    </w:rPr>
                    <w:t>321.0</w:t>
                  </w:r>
                </w:p>
              </w:tc>
              <w:tc>
                <w:tcPr>
                  <w:tcW w:w="1523" w:type="dxa"/>
                  <w:vAlign w:val="center"/>
                </w:tcPr>
                <w:p w14:paraId="2E6FAA0A">
                  <w:pPr>
                    <w:jc w:val="center"/>
                    <w:rPr>
                      <w:rFonts w:cs="Times New Roman"/>
                      <w:kern w:val="0"/>
                      <w:sz w:val="21"/>
                      <w:szCs w:val="16"/>
                    </w:rPr>
                  </w:pPr>
                  <w:r>
                    <w:rPr>
                      <w:rFonts w:hint="eastAsia" w:cs="Times New Roman"/>
                      <w:kern w:val="0"/>
                      <w:sz w:val="21"/>
                      <w:szCs w:val="16"/>
                    </w:rPr>
                    <w:t>含防冰突堤</w:t>
                  </w:r>
                </w:p>
              </w:tc>
            </w:tr>
            <w:tr w14:paraId="114CF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4B9A4F90">
                  <w:pPr>
                    <w:jc w:val="center"/>
                    <w:rPr>
                      <w:rFonts w:cs="Times New Roman"/>
                      <w:kern w:val="0"/>
                      <w:sz w:val="21"/>
                      <w:szCs w:val="16"/>
                    </w:rPr>
                  </w:pPr>
                  <w:r>
                    <w:rPr>
                      <w:rFonts w:hint="eastAsia" w:cs="Times New Roman"/>
                      <w:kern w:val="0"/>
                      <w:sz w:val="21"/>
                      <w:szCs w:val="16"/>
                    </w:rPr>
                    <w:t>3</w:t>
                  </w:r>
                </w:p>
              </w:tc>
              <w:tc>
                <w:tcPr>
                  <w:tcW w:w="2126" w:type="dxa"/>
                  <w:vAlign w:val="center"/>
                </w:tcPr>
                <w:p w14:paraId="79EB16CF">
                  <w:pPr>
                    <w:jc w:val="center"/>
                    <w:rPr>
                      <w:rFonts w:cs="Times New Roman"/>
                      <w:kern w:val="0"/>
                      <w:sz w:val="21"/>
                      <w:szCs w:val="16"/>
                    </w:rPr>
                  </w:pPr>
                  <w:r>
                    <w:rPr>
                      <w:rFonts w:hint="eastAsia" w:cs="Times New Roman"/>
                      <w:kern w:val="0"/>
                      <w:sz w:val="21"/>
                      <w:szCs w:val="16"/>
                    </w:rPr>
                    <w:t>船台滑道</w:t>
                  </w:r>
                </w:p>
              </w:tc>
              <w:tc>
                <w:tcPr>
                  <w:tcW w:w="1418" w:type="dxa"/>
                  <w:vAlign w:val="center"/>
                </w:tcPr>
                <w:p w14:paraId="4AD6F8B0">
                  <w:pPr>
                    <w:jc w:val="center"/>
                    <w:rPr>
                      <w:rFonts w:cs="Times New Roman"/>
                      <w:kern w:val="0"/>
                      <w:sz w:val="21"/>
                      <w:szCs w:val="16"/>
                    </w:rPr>
                  </w:pPr>
                  <w:r>
                    <w:rPr>
                      <w:rFonts w:hint="eastAsia" w:cs="Times New Roman"/>
                      <w:kern w:val="0"/>
                      <w:sz w:val="21"/>
                      <w:szCs w:val="16"/>
                    </w:rPr>
                    <w:t>座</w:t>
                  </w:r>
                </w:p>
              </w:tc>
              <w:tc>
                <w:tcPr>
                  <w:tcW w:w="1835" w:type="dxa"/>
                  <w:vAlign w:val="center"/>
                </w:tcPr>
                <w:p w14:paraId="340F4A96">
                  <w:pPr>
                    <w:jc w:val="center"/>
                    <w:rPr>
                      <w:rFonts w:cs="Times New Roman"/>
                      <w:kern w:val="0"/>
                      <w:sz w:val="21"/>
                      <w:szCs w:val="16"/>
                    </w:rPr>
                  </w:pPr>
                  <w:r>
                    <w:rPr>
                      <w:rFonts w:hint="eastAsia" w:cs="Times New Roman"/>
                      <w:kern w:val="0"/>
                      <w:sz w:val="21"/>
                      <w:szCs w:val="16"/>
                    </w:rPr>
                    <w:t>1</w:t>
                  </w:r>
                </w:p>
              </w:tc>
              <w:tc>
                <w:tcPr>
                  <w:tcW w:w="1523" w:type="dxa"/>
                  <w:vAlign w:val="center"/>
                </w:tcPr>
                <w:p w14:paraId="49AD1D61">
                  <w:pPr>
                    <w:jc w:val="center"/>
                    <w:rPr>
                      <w:rFonts w:cs="Times New Roman"/>
                      <w:kern w:val="0"/>
                      <w:sz w:val="21"/>
                      <w:szCs w:val="16"/>
                    </w:rPr>
                  </w:pPr>
                  <w:r>
                    <w:rPr>
                      <w:rFonts w:hint="eastAsia" w:cs="Times New Roman"/>
                      <w:kern w:val="0"/>
                      <w:sz w:val="21"/>
                      <w:szCs w:val="16"/>
                    </w:rPr>
                    <w:t>/</w:t>
                  </w:r>
                </w:p>
              </w:tc>
            </w:tr>
            <w:tr w14:paraId="7D05E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50C43905">
                  <w:pPr>
                    <w:jc w:val="center"/>
                    <w:rPr>
                      <w:rFonts w:cs="Times New Roman"/>
                      <w:kern w:val="0"/>
                      <w:sz w:val="21"/>
                      <w:szCs w:val="16"/>
                    </w:rPr>
                  </w:pPr>
                  <w:r>
                    <w:rPr>
                      <w:rFonts w:hint="eastAsia" w:cs="Times New Roman"/>
                      <w:kern w:val="0"/>
                      <w:sz w:val="21"/>
                      <w:szCs w:val="16"/>
                    </w:rPr>
                    <w:t>4</w:t>
                  </w:r>
                </w:p>
              </w:tc>
              <w:tc>
                <w:tcPr>
                  <w:tcW w:w="2126" w:type="dxa"/>
                  <w:vAlign w:val="center"/>
                </w:tcPr>
                <w:p w14:paraId="12CC5FBE">
                  <w:pPr>
                    <w:jc w:val="center"/>
                    <w:rPr>
                      <w:rFonts w:cs="Times New Roman"/>
                      <w:kern w:val="0"/>
                      <w:sz w:val="21"/>
                      <w:szCs w:val="16"/>
                    </w:rPr>
                  </w:pPr>
                  <w:r>
                    <w:rPr>
                      <w:rFonts w:hint="eastAsia" w:cs="Times New Roman"/>
                      <w:kern w:val="0"/>
                      <w:sz w:val="21"/>
                      <w:szCs w:val="16"/>
                    </w:rPr>
                    <w:t>陆域场地面积</w:t>
                  </w:r>
                </w:p>
              </w:tc>
              <w:tc>
                <w:tcPr>
                  <w:tcW w:w="1418" w:type="dxa"/>
                  <w:vAlign w:val="center"/>
                </w:tcPr>
                <w:p w14:paraId="4581B737">
                  <w:pPr>
                    <w:jc w:val="center"/>
                    <w:rPr>
                      <w:rFonts w:cs="Times New Roman"/>
                      <w:kern w:val="0"/>
                      <w:sz w:val="21"/>
                      <w:szCs w:val="16"/>
                    </w:rPr>
                  </w:pPr>
                  <w:r>
                    <w:rPr>
                      <w:rFonts w:hint="eastAsia" w:cs="Times New Roman"/>
                      <w:kern w:val="0"/>
                      <w:sz w:val="21"/>
                      <w:szCs w:val="16"/>
                    </w:rPr>
                    <w:t>㎡</w:t>
                  </w:r>
                </w:p>
              </w:tc>
              <w:tc>
                <w:tcPr>
                  <w:tcW w:w="1835" w:type="dxa"/>
                  <w:vAlign w:val="center"/>
                </w:tcPr>
                <w:p w14:paraId="1C5EA5DB">
                  <w:pPr>
                    <w:jc w:val="center"/>
                    <w:rPr>
                      <w:rFonts w:cs="Times New Roman"/>
                      <w:kern w:val="0"/>
                      <w:sz w:val="21"/>
                      <w:szCs w:val="16"/>
                    </w:rPr>
                  </w:pPr>
                  <w:r>
                    <w:rPr>
                      <w:rFonts w:hint="eastAsia" w:cs="Times New Roman"/>
                      <w:kern w:val="0"/>
                      <w:sz w:val="21"/>
                      <w:szCs w:val="16"/>
                    </w:rPr>
                    <w:t>26596</w:t>
                  </w:r>
                </w:p>
              </w:tc>
              <w:tc>
                <w:tcPr>
                  <w:tcW w:w="1523" w:type="dxa"/>
                  <w:vAlign w:val="center"/>
                </w:tcPr>
                <w:p w14:paraId="760D731C">
                  <w:pPr>
                    <w:jc w:val="center"/>
                    <w:rPr>
                      <w:rFonts w:cs="Times New Roman"/>
                      <w:kern w:val="0"/>
                      <w:sz w:val="21"/>
                      <w:szCs w:val="16"/>
                    </w:rPr>
                  </w:pPr>
                  <w:r>
                    <w:rPr>
                      <w:rFonts w:hint="eastAsia" w:cs="Times New Roman"/>
                      <w:kern w:val="0"/>
                      <w:sz w:val="21"/>
                      <w:szCs w:val="16"/>
                    </w:rPr>
                    <w:t>/</w:t>
                  </w:r>
                </w:p>
              </w:tc>
            </w:tr>
            <w:tr w14:paraId="059E4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787BD47">
                  <w:pPr>
                    <w:jc w:val="center"/>
                    <w:rPr>
                      <w:rFonts w:cs="Times New Roman"/>
                      <w:kern w:val="0"/>
                      <w:sz w:val="21"/>
                      <w:szCs w:val="16"/>
                    </w:rPr>
                  </w:pPr>
                  <w:r>
                    <w:rPr>
                      <w:rFonts w:hint="eastAsia" w:cs="Times New Roman"/>
                      <w:kern w:val="0"/>
                      <w:sz w:val="21"/>
                      <w:szCs w:val="16"/>
                    </w:rPr>
                    <w:t>5</w:t>
                  </w:r>
                </w:p>
              </w:tc>
              <w:tc>
                <w:tcPr>
                  <w:tcW w:w="2126" w:type="dxa"/>
                  <w:vAlign w:val="center"/>
                </w:tcPr>
                <w:p w14:paraId="5D7539D0">
                  <w:pPr>
                    <w:jc w:val="center"/>
                    <w:rPr>
                      <w:rFonts w:cs="Times New Roman"/>
                      <w:kern w:val="0"/>
                      <w:sz w:val="21"/>
                      <w:szCs w:val="16"/>
                    </w:rPr>
                  </w:pPr>
                  <w:r>
                    <w:rPr>
                      <w:rFonts w:hint="eastAsia" w:cs="Times New Roman"/>
                      <w:kern w:val="0"/>
                      <w:sz w:val="21"/>
                      <w:szCs w:val="16"/>
                    </w:rPr>
                    <w:t>水域面积</w:t>
                  </w:r>
                </w:p>
              </w:tc>
              <w:tc>
                <w:tcPr>
                  <w:tcW w:w="1418" w:type="dxa"/>
                  <w:vAlign w:val="center"/>
                </w:tcPr>
                <w:p w14:paraId="7537C56A">
                  <w:pPr>
                    <w:jc w:val="center"/>
                    <w:rPr>
                      <w:rFonts w:cs="Times New Roman"/>
                      <w:kern w:val="0"/>
                      <w:sz w:val="21"/>
                      <w:szCs w:val="16"/>
                    </w:rPr>
                  </w:pPr>
                  <w:r>
                    <w:rPr>
                      <w:rFonts w:hint="eastAsia" w:cs="Times New Roman"/>
                      <w:kern w:val="0"/>
                      <w:sz w:val="21"/>
                      <w:szCs w:val="16"/>
                    </w:rPr>
                    <w:t>㎡</w:t>
                  </w:r>
                </w:p>
              </w:tc>
              <w:tc>
                <w:tcPr>
                  <w:tcW w:w="1835" w:type="dxa"/>
                  <w:vAlign w:val="center"/>
                </w:tcPr>
                <w:p w14:paraId="779D6013">
                  <w:pPr>
                    <w:jc w:val="center"/>
                    <w:rPr>
                      <w:rFonts w:cs="Times New Roman"/>
                      <w:kern w:val="0"/>
                      <w:sz w:val="21"/>
                      <w:szCs w:val="16"/>
                    </w:rPr>
                  </w:pPr>
                  <w:r>
                    <w:rPr>
                      <w:rFonts w:hint="eastAsia" w:cs="Times New Roman"/>
                      <w:kern w:val="0"/>
                      <w:sz w:val="21"/>
                      <w:szCs w:val="16"/>
                    </w:rPr>
                    <w:t>11768</w:t>
                  </w:r>
                </w:p>
              </w:tc>
              <w:tc>
                <w:tcPr>
                  <w:tcW w:w="1523" w:type="dxa"/>
                  <w:vAlign w:val="center"/>
                </w:tcPr>
                <w:p w14:paraId="6B7BC0BF">
                  <w:pPr>
                    <w:jc w:val="center"/>
                    <w:rPr>
                      <w:rFonts w:cs="Times New Roman"/>
                      <w:kern w:val="0"/>
                      <w:sz w:val="21"/>
                      <w:szCs w:val="16"/>
                    </w:rPr>
                  </w:pPr>
                  <w:r>
                    <w:rPr>
                      <w:rFonts w:hint="eastAsia" w:cs="Times New Roman"/>
                      <w:kern w:val="0"/>
                      <w:sz w:val="21"/>
                      <w:szCs w:val="16"/>
                    </w:rPr>
                    <w:t>/</w:t>
                  </w:r>
                </w:p>
              </w:tc>
            </w:tr>
            <w:tr w14:paraId="65755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23D7E2DE">
                  <w:pPr>
                    <w:jc w:val="center"/>
                    <w:rPr>
                      <w:rFonts w:cs="Times New Roman"/>
                      <w:kern w:val="0"/>
                      <w:sz w:val="21"/>
                      <w:szCs w:val="16"/>
                    </w:rPr>
                  </w:pPr>
                  <w:r>
                    <w:rPr>
                      <w:rFonts w:hint="eastAsia" w:cs="Times New Roman"/>
                      <w:kern w:val="0"/>
                      <w:sz w:val="21"/>
                      <w:szCs w:val="16"/>
                    </w:rPr>
                    <w:t>6</w:t>
                  </w:r>
                </w:p>
              </w:tc>
              <w:tc>
                <w:tcPr>
                  <w:tcW w:w="2126" w:type="dxa"/>
                  <w:vAlign w:val="center"/>
                </w:tcPr>
                <w:p w14:paraId="2C272F93">
                  <w:pPr>
                    <w:jc w:val="center"/>
                    <w:rPr>
                      <w:rFonts w:cs="Times New Roman"/>
                      <w:kern w:val="0"/>
                      <w:sz w:val="21"/>
                      <w:szCs w:val="16"/>
                    </w:rPr>
                  </w:pPr>
                  <w:r>
                    <w:rPr>
                      <w:rFonts w:hint="eastAsia" w:cs="Times New Roman"/>
                      <w:kern w:val="0"/>
                      <w:sz w:val="21"/>
                      <w:szCs w:val="16"/>
                    </w:rPr>
                    <w:t>材料临时存放区</w:t>
                  </w:r>
                </w:p>
              </w:tc>
              <w:tc>
                <w:tcPr>
                  <w:tcW w:w="1418" w:type="dxa"/>
                  <w:vAlign w:val="center"/>
                </w:tcPr>
                <w:p w14:paraId="7658D478">
                  <w:pPr>
                    <w:jc w:val="center"/>
                    <w:rPr>
                      <w:rFonts w:cs="Times New Roman"/>
                      <w:kern w:val="0"/>
                      <w:sz w:val="21"/>
                      <w:szCs w:val="16"/>
                    </w:rPr>
                  </w:pPr>
                  <w:r>
                    <w:rPr>
                      <w:rFonts w:hint="eastAsia" w:cs="Times New Roman"/>
                      <w:kern w:val="0"/>
                      <w:sz w:val="21"/>
                      <w:szCs w:val="16"/>
                    </w:rPr>
                    <w:t>㎡</w:t>
                  </w:r>
                </w:p>
              </w:tc>
              <w:tc>
                <w:tcPr>
                  <w:tcW w:w="1835" w:type="dxa"/>
                  <w:vAlign w:val="center"/>
                </w:tcPr>
                <w:p w14:paraId="48DBF707">
                  <w:pPr>
                    <w:jc w:val="center"/>
                    <w:rPr>
                      <w:rFonts w:cs="Times New Roman"/>
                      <w:kern w:val="0"/>
                      <w:sz w:val="21"/>
                      <w:szCs w:val="16"/>
                    </w:rPr>
                  </w:pPr>
                  <w:r>
                    <w:rPr>
                      <w:rFonts w:hint="eastAsia" w:cs="Times New Roman"/>
                      <w:kern w:val="0"/>
                      <w:sz w:val="21"/>
                      <w:szCs w:val="16"/>
                    </w:rPr>
                    <w:t>4162</w:t>
                  </w:r>
                </w:p>
              </w:tc>
              <w:tc>
                <w:tcPr>
                  <w:tcW w:w="1523" w:type="dxa"/>
                  <w:vAlign w:val="center"/>
                </w:tcPr>
                <w:p w14:paraId="39A0B610">
                  <w:pPr>
                    <w:jc w:val="center"/>
                    <w:rPr>
                      <w:rFonts w:cs="Times New Roman"/>
                      <w:kern w:val="0"/>
                      <w:sz w:val="21"/>
                      <w:szCs w:val="16"/>
                    </w:rPr>
                  </w:pPr>
                  <w:r>
                    <w:rPr>
                      <w:rFonts w:hint="eastAsia" w:cs="Times New Roman"/>
                      <w:kern w:val="0"/>
                      <w:sz w:val="21"/>
                      <w:szCs w:val="16"/>
                    </w:rPr>
                    <w:t>/</w:t>
                  </w:r>
                </w:p>
              </w:tc>
            </w:tr>
            <w:tr w14:paraId="75D12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220C6A4">
                  <w:pPr>
                    <w:jc w:val="center"/>
                    <w:rPr>
                      <w:rFonts w:cs="Times New Roman"/>
                      <w:kern w:val="0"/>
                      <w:sz w:val="21"/>
                      <w:szCs w:val="16"/>
                    </w:rPr>
                  </w:pPr>
                  <w:r>
                    <w:rPr>
                      <w:rFonts w:hint="eastAsia" w:cs="Times New Roman"/>
                      <w:kern w:val="0"/>
                      <w:sz w:val="21"/>
                      <w:szCs w:val="16"/>
                    </w:rPr>
                    <w:t>7</w:t>
                  </w:r>
                </w:p>
              </w:tc>
              <w:tc>
                <w:tcPr>
                  <w:tcW w:w="2126" w:type="dxa"/>
                  <w:vAlign w:val="center"/>
                </w:tcPr>
                <w:p w14:paraId="1E716A7B">
                  <w:pPr>
                    <w:jc w:val="center"/>
                    <w:rPr>
                      <w:rFonts w:cs="Times New Roman"/>
                      <w:kern w:val="0"/>
                      <w:sz w:val="21"/>
                      <w:szCs w:val="16"/>
                    </w:rPr>
                  </w:pPr>
                  <w:r>
                    <w:rPr>
                      <w:rFonts w:hint="eastAsia" w:cs="Times New Roman"/>
                      <w:kern w:val="0"/>
                      <w:sz w:val="21"/>
                      <w:szCs w:val="16"/>
                    </w:rPr>
                    <w:t>配套建筑</w:t>
                  </w:r>
                </w:p>
              </w:tc>
              <w:tc>
                <w:tcPr>
                  <w:tcW w:w="1418" w:type="dxa"/>
                  <w:vAlign w:val="center"/>
                </w:tcPr>
                <w:p w14:paraId="000EAF8D">
                  <w:pPr>
                    <w:jc w:val="center"/>
                    <w:rPr>
                      <w:rFonts w:cs="Times New Roman"/>
                      <w:kern w:val="0"/>
                      <w:sz w:val="21"/>
                      <w:szCs w:val="16"/>
                    </w:rPr>
                  </w:pPr>
                  <w:r>
                    <w:rPr>
                      <w:rFonts w:hint="eastAsia" w:cs="Times New Roman"/>
                      <w:kern w:val="0"/>
                      <w:sz w:val="21"/>
                      <w:szCs w:val="16"/>
                    </w:rPr>
                    <w:t>㎡</w:t>
                  </w:r>
                </w:p>
              </w:tc>
              <w:tc>
                <w:tcPr>
                  <w:tcW w:w="1835" w:type="dxa"/>
                  <w:vAlign w:val="center"/>
                </w:tcPr>
                <w:p w14:paraId="4E7176E9">
                  <w:pPr>
                    <w:jc w:val="center"/>
                    <w:rPr>
                      <w:rFonts w:cs="Times New Roman"/>
                      <w:kern w:val="0"/>
                      <w:sz w:val="21"/>
                      <w:szCs w:val="16"/>
                    </w:rPr>
                  </w:pPr>
                  <w:r>
                    <w:rPr>
                      <w:rFonts w:hint="eastAsia" w:cs="Times New Roman"/>
                      <w:kern w:val="0"/>
                      <w:sz w:val="21"/>
                      <w:szCs w:val="16"/>
                    </w:rPr>
                    <w:t>130</w:t>
                  </w:r>
                </w:p>
              </w:tc>
              <w:tc>
                <w:tcPr>
                  <w:tcW w:w="1523" w:type="dxa"/>
                  <w:vAlign w:val="center"/>
                </w:tcPr>
                <w:p w14:paraId="71EB9572">
                  <w:pPr>
                    <w:jc w:val="center"/>
                    <w:rPr>
                      <w:rFonts w:cs="Times New Roman"/>
                      <w:kern w:val="0"/>
                      <w:sz w:val="21"/>
                      <w:szCs w:val="16"/>
                    </w:rPr>
                  </w:pPr>
                  <w:r>
                    <w:rPr>
                      <w:rFonts w:hint="eastAsia" w:cs="Times New Roman"/>
                      <w:kern w:val="0"/>
                      <w:sz w:val="21"/>
                      <w:szCs w:val="16"/>
                    </w:rPr>
                    <w:t>/</w:t>
                  </w:r>
                </w:p>
              </w:tc>
            </w:tr>
          </w:tbl>
          <w:p w14:paraId="0B2D6BF1">
            <w:pPr>
              <w:spacing w:line="360" w:lineRule="auto"/>
              <w:ind w:firstLine="480" w:firstLineChars="200"/>
            </w:pPr>
          </w:p>
          <w:p w14:paraId="45FBC537">
            <w:pPr>
              <w:spacing w:line="360" w:lineRule="auto"/>
              <w:ind w:firstLine="480" w:firstLineChars="200"/>
            </w:pPr>
            <w:r>
              <w:rPr>
                <w:rFonts w:hint="eastAsia"/>
              </w:rPr>
              <w:t>5、主要建设内容</w:t>
            </w:r>
          </w:p>
          <w:p w14:paraId="63ACA142">
            <w:pPr>
              <w:spacing w:line="360" w:lineRule="auto"/>
              <w:ind w:firstLine="480" w:firstLineChars="200"/>
            </w:pPr>
            <w:r>
              <w:rPr>
                <w:rFonts w:hint="eastAsia"/>
              </w:rPr>
              <w:t>根据本工程初步设计，本工程主要水工建筑物情况如下表所示：</w:t>
            </w:r>
          </w:p>
          <w:p w14:paraId="0E18D67A">
            <w:pPr>
              <w:spacing w:line="360" w:lineRule="auto"/>
              <w:ind w:firstLine="480" w:firstLineChars="200"/>
            </w:pPr>
          </w:p>
          <w:p w14:paraId="0E3884E3">
            <w:pPr>
              <w:spacing w:line="360" w:lineRule="auto"/>
              <w:jc w:val="center"/>
              <w:rPr>
                <w:b/>
                <w:bCs/>
              </w:rPr>
            </w:pPr>
            <w:r>
              <w:rPr>
                <w:rFonts w:hint="eastAsia"/>
                <w:b/>
                <w:bCs/>
              </w:rPr>
              <w:t>表16        本工程水工建筑物情况一览表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018"/>
              <w:gridCol w:w="813"/>
              <w:gridCol w:w="1230"/>
              <w:gridCol w:w="1843"/>
              <w:gridCol w:w="1101"/>
            </w:tblGrid>
            <w:tr w14:paraId="14A3D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7C243B99">
                  <w:pPr>
                    <w:jc w:val="center"/>
                    <w:rPr>
                      <w:rFonts w:cs="Times New Roman"/>
                      <w:b/>
                      <w:bCs/>
                      <w:kern w:val="0"/>
                      <w:sz w:val="21"/>
                      <w:szCs w:val="21"/>
                    </w:rPr>
                  </w:pPr>
                  <w:r>
                    <w:rPr>
                      <w:rFonts w:hint="eastAsia" w:cs="Times New Roman"/>
                      <w:b/>
                      <w:bCs/>
                      <w:kern w:val="0"/>
                      <w:sz w:val="21"/>
                      <w:szCs w:val="21"/>
                    </w:rPr>
                    <w:t>序号</w:t>
                  </w:r>
                </w:p>
              </w:tc>
              <w:tc>
                <w:tcPr>
                  <w:tcW w:w="2018" w:type="dxa"/>
                  <w:vAlign w:val="center"/>
                </w:tcPr>
                <w:p w14:paraId="150F464F">
                  <w:pPr>
                    <w:jc w:val="center"/>
                    <w:rPr>
                      <w:rFonts w:cs="Times New Roman"/>
                      <w:b/>
                      <w:bCs/>
                      <w:kern w:val="0"/>
                      <w:sz w:val="21"/>
                      <w:szCs w:val="21"/>
                    </w:rPr>
                  </w:pPr>
                  <w:r>
                    <w:rPr>
                      <w:rFonts w:hint="eastAsia" w:cs="Times New Roman"/>
                      <w:b/>
                      <w:bCs/>
                      <w:kern w:val="0"/>
                      <w:sz w:val="21"/>
                      <w:szCs w:val="21"/>
                    </w:rPr>
                    <w:t>种类</w:t>
                  </w:r>
                </w:p>
              </w:tc>
              <w:tc>
                <w:tcPr>
                  <w:tcW w:w="708" w:type="dxa"/>
                  <w:vAlign w:val="center"/>
                </w:tcPr>
                <w:p w14:paraId="0D6B9D76">
                  <w:pPr>
                    <w:jc w:val="center"/>
                    <w:rPr>
                      <w:rFonts w:cs="Times New Roman"/>
                      <w:b/>
                      <w:bCs/>
                      <w:kern w:val="0"/>
                      <w:sz w:val="21"/>
                      <w:szCs w:val="21"/>
                    </w:rPr>
                  </w:pPr>
                  <w:r>
                    <w:rPr>
                      <w:rFonts w:hint="eastAsia" w:cs="Times New Roman"/>
                      <w:b/>
                      <w:bCs/>
                      <w:kern w:val="0"/>
                      <w:sz w:val="21"/>
                      <w:szCs w:val="21"/>
                    </w:rPr>
                    <w:t>长度</w:t>
                  </w:r>
                </w:p>
                <w:p w14:paraId="06090391">
                  <w:pPr>
                    <w:jc w:val="center"/>
                    <w:rPr>
                      <w:rFonts w:cs="Times New Roman"/>
                      <w:b/>
                      <w:bCs/>
                      <w:kern w:val="0"/>
                      <w:sz w:val="21"/>
                      <w:szCs w:val="21"/>
                    </w:rPr>
                  </w:pPr>
                  <w:r>
                    <w:rPr>
                      <w:rFonts w:hint="eastAsia" w:cs="Times New Roman"/>
                      <w:b/>
                      <w:bCs/>
                      <w:kern w:val="0"/>
                      <w:sz w:val="21"/>
                      <w:szCs w:val="21"/>
                    </w:rPr>
                    <w:t>（m）</w:t>
                  </w:r>
                </w:p>
              </w:tc>
              <w:tc>
                <w:tcPr>
                  <w:tcW w:w="1230" w:type="dxa"/>
                  <w:vAlign w:val="center"/>
                </w:tcPr>
                <w:p w14:paraId="22DA945D">
                  <w:pPr>
                    <w:jc w:val="center"/>
                    <w:rPr>
                      <w:rFonts w:cs="Times New Roman"/>
                      <w:b/>
                      <w:bCs/>
                      <w:kern w:val="0"/>
                      <w:sz w:val="21"/>
                      <w:szCs w:val="21"/>
                    </w:rPr>
                  </w:pPr>
                  <w:r>
                    <w:rPr>
                      <w:rFonts w:hint="eastAsia" w:cs="Times New Roman"/>
                      <w:b/>
                      <w:bCs/>
                      <w:kern w:val="0"/>
                      <w:sz w:val="21"/>
                      <w:szCs w:val="21"/>
                    </w:rPr>
                    <w:t>顶面高程（m）</w:t>
                  </w:r>
                </w:p>
              </w:tc>
              <w:tc>
                <w:tcPr>
                  <w:tcW w:w="1843" w:type="dxa"/>
                  <w:vAlign w:val="center"/>
                </w:tcPr>
                <w:p w14:paraId="367A8096">
                  <w:pPr>
                    <w:jc w:val="center"/>
                    <w:rPr>
                      <w:rFonts w:cs="Times New Roman"/>
                      <w:b/>
                      <w:bCs/>
                      <w:kern w:val="0"/>
                      <w:sz w:val="21"/>
                      <w:szCs w:val="21"/>
                    </w:rPr>
                  </w:pPr>
                  <w:r>
                    <w:rPr>
                      <w:rFonts w:hint="eastAsia" w:cs="Times New Roman"/>
                      <w:b/>
                      <w:bCs/>
                      <w:kern w:val="0"/>
                      <w:sz w:val="21"/>
                      <w:szCs w:val="21"/>
                    </w:rPr>
                    <w:t>码头前沿底高程</w:t>
                  </w:r>
                </w:p>
              </w:tc>
              <w:tc>
                <w:tcPr>
                  <w:tcW w:w="1101" w:type="dxa"/>
                  <w:vAlign w:val="center"/>
                </w:tcPr>
                <w:p w14:paraId="67AB84E0">
                  <w:pPr>
                    <w:jc w:val="center"/>
                    <w:rPr>
                      <w:rFonts w:cs="Times New Roman"/>
                      <w:b/>
                      <w:bCs/>
                      <w:kern w:val="0"/>
                      <w:sz w:val="21"/>
                      <w:szCs w:val="21"/>
                    </w:rPr>
                  </w:pPr>
                  <w:r>
                    <w:rPr>
                      <w:rFonts w:hint="eastAsia" w:cs="Times New Roman"/>
                      <w:b/>
                      <w:bCs/>
                      <w:kern w:val="0"/>
                      <w:sz w:val="21"/>
                      <w:szCs w:val="21"/>
                    </w:rPr>
                    <w:t>备注</w:t>
                  </w:r>
                </w:p>
              </w:tc>
            </w:tr>
            <w:tr w14:paraId="15A90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6D20E685">
                  <w:pPr>
                    <w:jc w:val="center"/>
                    <w:rPr>
                      <w:rFonts w:cs="Times New Roman"/>
                      <w:kern w:val="0"/>
                      <w:sz w:val="21"/>
                      <w:szCs w:val="21"/>
                    </w:rPr>
                  </w:pPr>
                  <w:r>
                    <w:rPr>
                      <w:rFonts w:hint="eastAsia" w:cs="Times New Roman"/>
                      <w:kern w:val="0"/>
                      <w:sz w:val="21"/>
                      <w:szCs w:val="21"/>
                    </w:rPr>
                    <w:t>1</w:t>
                  </w:r>
                </w:p>
              </w:tc>
              <w:tc>
                <w:tcPr>
                  <w:tcW w:w="2018" w:type="dxa"/>
                  <w:vAlign w:val="center"/>
                </w:tcPr>
                <w:p w14:paraId="22387C72">
                  <w:pPr>
                    <w:jc w:val="center"/>
                    <w:rPr>
                      <w:rFonts w:cs="Times New Roman"/>
                      <w:kern w:val="0"/>
                      <w:sz w:val="21"/>
                      <w:szCs w:val="21"/>
                    </w:rPr>
                  </w:pPr>
                  <w:r>
                    <w:rPr>
                      <w:rFonts w:hint="eastAsia" w:cs="Times New Roman"/>
                      <w:kern w:val="0"/>
                      <w:sz w:val="21"/>
                      <w:szCs w:val="21"/>
                    </w:rPr>
                    <w:t>防冰突堤</w:t>
                  </w:r>
                </w:p>
              </w:tc>
              <w:tc>
                <w:tcPr>
                  <w:tcW w:w="708" w:type="dxa"/>
                  <w:vAlign w:val="center"/>
                </w:tcPr>
                <w:p w14:paraId="6C0AEC44">
                  <w:pPr>
                    <w:jc w:val="center"/>
                    <w:rPr>
                      <w:rFonts w:cs="Times New Roman"/>
                      <w:kern w:val="0"/>
                      <w:sz w:val="21"/>
                      <w:szCs w:val="21"/>
                    </w:rPr>
                  </w:pPr>
                  <w:r>
                    <w:rPr>
                      <w:rFonts w:hint="eastAsia" w:cs="Times New Roman"/>
                      <w:kern w:val="0"/>
                      <w:sz w:val="21"/>
                      <w:szCs w:val="21"/>
                    </w:rPr>
                    <w:t>40</w:t>
                  </w:r>
                </w:p>
              </w:tc>
              <w:tc>
                <w:tcPr>
                  <w:tcW w:w="1230" w:type="dxa"/>
                  <w:vAlign w:val="center"/>
                </w:tcPr>
                <w:p w14:paraId="7A16D826">
                  <w:pPr>
                    <w:jc w:val="center"/>
                    <w:rPr>
                      <w:rFonts w:cs="Times New Roman"/>
                      <w:kern w:val="0"/>
                      <w:sz w:val="21"/>
                      <w:szCs w:val="21"/>
                    </w:rPr>
                  </w:pPr>
                  <w:r>
                    <w:rPr>
                      <w:rFonts w:hint="eastAsia" w:cs="Times New Roman"/>
                      <w:kern w:val="0"/>
                      <w:sz w:val="21"/>
                      <w:szCs w:val="21"/>
                    </w:rPr>
                    <w:t>322.10</w:t>
                  </w:r>
                </w:p>
              </w:tc>
              <w:tc>
                <w:tcPr>
                  <w:tcW w:w="1843" w:type="dxa"/>
                  <w:vAlign w:val="center"/>
                </w:tcPr>
                <w:p w14:paraId="596F15ED">
                  <w:pPr>
                    <w:jc w:val="center"/>
                    <w:rPr>
                      <w:rFonts w:cs="Times New Roman"/>
                      <w:kern w:val="0"/>
                      <w:sz w:val="21"/>
                      <w:szCs w:val="21"/>
                    </w:rPr>
                  </w:pPr>
                  <w:r>
                    <w:rPr>
                      <w:rFonts w:hint="eastAsia" w:cs="Times New Roman"/>
                      <w:kern w:val="0"/>
                      <w:sz w:val="21"/>
                      <w:szCs w:val="21"/>
                    </w:rPr>
                    <w:t>315.20</w:t>
                  </w:r>
                </w:p>
              </w:tc>
              <w:tc>
                <w:tcPr>
                  <w:tcW w:w="1101" w:type="dxa"/>
                  <w:vAlign w:val="center"/>
                </w:tcPr>
                <w:p w14:paraId="63D5516A">
                  <w:pPr>
                    <w:jc w:val="center"/>
                    <w:rPr>
                      <w:rFonts w:cs="Times New Roman"/>
                      <w:kern w:val="0"/>
                      <w:sz w:val="21"/>
                      <w:szCs w:val="21"/>
                    </w:rPr>
                  </w:pPr>
                  <w:r>
                    <w:rPr>
                      <w:rFonts w:hint="eastAsia" w:cs="Times New Roman"/>
                      <w:kern w:val="0"/>
                      <w:sz w:val="21"/>
                      <w:szCs w:val="21"/>
                    </w:rPr>
                    <w:t>宽度8m</w:t>
                  </w:r>
                </w:p>
              </w:tc>
            </w:tr>
            <w:tr w14:paraId="37B0F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FEA079F">
                  <w:pPr>
                    <w:jc w:val="center"/>
                    <w:rPr>
                      <w:rFonts w:cs="Times New Roman"/>
                      <w:kern w:val="0"/>
                      <w:sz w:val="21"/>
                      <w:szCs w:val="21"/>
                    </w:rPr>
                  </w:pPr>
                  <w:r>
                    <w:rPr>
                      <w:rFonts w:hint="eastAsia" w:cs="Times New Roman"/>
                      <w:kern w:val="0"/>
                      <w:sz w:val="21"/>
                      <w:szCs w:val="21"/>
                    </w:rPr>
                    <w:t>2</w:t>
                  </w:r>
                </w:p>
              </w:tc>
              <w:tc>
                <w:tcPr>
                  <w:tcW w:w="2018" w:type="dxa"/>
                  <w:vAlign w:val="center"/>
                </w:tcPr>
                <w:p w14:paraId="20331131">
                  <w:pPr>
                    <w:jc w:val="center"/>
                    <w:rPr>
                      <w:rFonts w:cs="Times New Roman"/>
                      <w:kern w:val="0"/>
                      <w:sz w:val="21"/>
                      <w:szCs w:val="21"/>
                    </w:rPr>
                  </w:pPr>
                  <w:r>
                    <w:rPr>
                      <w:rFonts w:hint="eastAsia" w:cs="Times New Roman"/>
                      <w:kern w:val="0"/>
                      <w:sz w:val="21"/>
                      <w:szCs w:val="21"/>
                    </w:rPr>
                    <w:t>工作船码头</w:t>
                  </w:r>
                </w:p>
              </w:tc>
              <w:tc>
                <w:tcPr>
                  <w:tcW w:w="708" w:type="dxa"/>
                  <w:vAlign w:val="center"/>
                </w:tcPr>
                <w:p w14:paraId="622741A4">
                  <w:pPr>
                    <w:jc w:val="center"/>
                    <w:rPr>
                      <w:rFonts w:cs="Times New Roman"/>
                      <w:kern w:val="0"/>
                      <w:sz w:val="21"/>
                      <w:szCs w:val="21"/>
                    </w:rPr>
                  </w:pPr>
                </w:p>
              </w:tc>
              <w:tc>
                <w:tcPr>
                  <w:tcW w:w="1230" w:type="dxa"/>
                  <w:vAlign w:val="center"/>
                </w:tcPr>
                <w:p w14:paraId="170E1D4D">
                  <w:pPr>
                    <w:jc w:val="center"/>
                    <w:rPr>
                      <w:rFonts w:cs="Times New Roman"/>
                      <w:kern w:val="0"/>
                      <w:sz w:val="21"/>
                      <w:szCs w:val="21"/>
                    </w:rPr>
                  </w:pPr>
                </w:p>
              </w:tc>
              <w:tc>
                <w:tcPr>
                  <w:tcW w:w="1843" w:type="dxa"/>
                  <w:vAlign w:val="center"/>
                </w:tcPr>
                <w:p w14:paraId="1386DBF5">
                  <w:pPr>
                    <w:jc w:val="center"/>
                    <w:rPr>
                      <w:rFonts w:cs="Times New Roman"/>
                      <w:kern w:val="0"/>
                      <w:sz w:val="21"/>
                      <w:szCs w:val="21"/>
                    </w:rPr>
                  </w:pPr>
                </w:p>
              </w:tc>
              <w:tc>
                <w:tcPr>
                  <w:tcW w:w="1101" w:type="dxa"/>
                  <w:vAlign w:val="center"/>
                </w:tcPr>
                <w:p w14:paraId="08EC93CA">
                  <w:pPr>
                    <w:jc w:val="center"/>
                    <w:rPr>
                      <w:rFonts w:cs="Times New Roman"/>
                      <w:kern w:val="0"/>
                      <w:sz w:val="21"/>
                      <w:szCs w:val="21"/>
                    </w:rPr>
                  </w:pPr>
                </w:p>
              </w:tc>
            </w:tr>
            <w:tr w14:paraId="564EC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1AE6FACA">
                  <w:pPr>
                    <w:jc w:val="center"/>
                    <w:rPr>
                      <w:rFonts w:cs="Times New Roman"/>
                      <w:kern w:val="0"/>
                      <w:sz w:val="21"/>
                      <w:szCs w:val="21"/>
                    </w:rPr>
                  </w:pPr>
                  <w:r>
                    <w:rPr>
                      <w:rFonts w:hint="eastAsia" w:cs="Times New Roman"/>
                      <w:kern w:val="0"/>
                      <w:sz w:val="21"/>
                      <w:szCs w:val="21"/>
                    </w:rPr>
                    <w:t>2.2</w:t>
                  </w:r>
                </w:p>
              </w:tc>
              <w:tc>
                <w:tcPr>
                  <w:tcW w:w="2018" w:type="dxa"/>
                  <w:vAlign w:val="center"/>
                </w:tcPr>
                <w:p w14:paraId="2A2FDE0B">
                  <w:pPr>
                    <w:jc w:val="center"/>
                    <w:rPr>
                      <w:rFonts w:cs="Times New Roman"/>
                      <w:kern w:val="0"/>
                      <w:sz w:val="21"/>
                      <w:szCs w:val="21"/>
                    </w:rPr>
                  </w:pPr>
                  <w:r>
                    <w:rPr>
                      <w:rFonts w:hint="eastAsia" w:cs="Times New Roman"/>
                      <w:kern w:val="0"/>
                      <w:sz w:val="21"/>
                      <w:szCs w:val="21"/>
                    </w:rPr>
                    <w:t>标准段</w:t>
                  </w:r>
                </w:p>
              </w:tc>
              <w:tc>
                <w:tcPr>
                  <w:tcW w:w="708" w:type="dxa"/>
                  <w:vAlign w:val="center"/>
                </w:tcPr>
                <w:p w14:paraId="09660A7D">
                  <w:pPr>
                    <w:jc w:val="center"/>
                    <w:rPr>
                      <w:rFonts w:cs="Times New Roman"/>
                      <w:kern w:val="0"/>
                      <w:sz w:val="21"/>
                      <w:szCs w:val="21"/>
                    </w:rPr>
                  </w:pPr>
                  <w:r>
                    <w:rPr>
                      <w:rFonts w:hint="eastAsia" w:cs="Times New Roman"/>
                      <w:kern w:val="0"/>
                      <w:sz w:val="21"/>
                      <w:szCs w:val="21"/>
                    </w:rPr>
                    <w:t>106.5</w:t>
                  </w:r>
                </w:p>
              </w:tc>
              <w:tc>
                <w:tcPr>
                  <w:tcW w:w="1230" w:type="dxa"/>
                  <w:vAlign w:val="center"/>
                </w:tcPr>
                <w:p w14:paraId="2AAD239F">
                  <w:pPr>
                    <w:jc w:val="center"/>
                    <w:rPr>
                      <w:rFonts w:cs="Times New Roman"/>
                      <w:kern w:val="0"/>
                      <w:sz w:val="21"/>
                      <w:szCs w:val="21"/>
                    </w:rPr>
                  </w:pPr>
                  <w:r>
                    <w:rPr>
                      <w:rFonts w:hint="eastAsia" w:cs="Times New Roman"/>
                      <w:kern w:val="0"/>
                      <w:sz w:val="21"/>
                      <w:szCs w:val="21"/>
                    </w:rPr>
                    <w:t>322.10</w:t>
                  </w:r>
                </w:p>
              </w:tc>
              <w:tc>
                <w:tcPr>
                  <w:tcW w:w="1843" w:type="dxa"/>
                  <w:vAlign w:val="center"/>
                </w:tcPr>
                <w:p w14:paraId="4F3C45CE">
                  <w:pPr>
                    <w:jc w:val="center"/>
                    <w:rPr>
                      <w:rFonts w:cs="Times New Roman"/>
                      <w:kern w:val="0"/>
                      <w:sz w:val="21"/>
                      <w:szCs w:val="21"/>
                    </w:rPr>
                  </w:pPr>
                  <w:r>
                    <w:rPr>
                      <w:rFonts w:hint="eastAsia" w:cs="Times New Roman"/>
                      <w:kern w:val="0"/>
                      <w:sz w:val="21"/>
                      <w:szCs w:val="21"/>
                    </w:rPr>
                    <w:t>315.35</w:t>
                  </w:r>
                </w:p>
              </w:tc>
              <w:tc>
                <w:tcPr>
                  <w:tcW w:w="1101" w:type="dxa"/>
                  <w:vAlign w:val="center"/>
                </w:tcPr>
                <w:p w14:paraId="321CA9E1">
                  <w:pPr>
                    <w:jc w:val="center"/>
                    <w:rPr>
                      <w:rFonts w:cs="Times New Roman"/>
                      <w:kern w:val="0"/>
                      <w:sz w:val="21"/>
                      <w:szCs w:val="21"/>
                    </w:rPr>
                  </w:pPr>
                </w:p>
              </w:tc>
            </w:tr>
            <w:tr w14:paraId="71C55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285F3ABA">
                  <w:pPr>
                    <w:jc w:val="center"/>
                    <w:rPr>
                      <w:rFonts w:cs="Times New Roman"/>
                      <w:kern w:val="0"/>
                      <w:sz w:val="21"/>
                      <w:szCs w:val="21"/>
                    </w:rPr>
                  </w:pPr>
                  <w:r>
                    <w:rPr>
                      <w:rFonts w:hint="eastAsia" w:cs="Times New Roman"/>
                      <w:kern w:val="0"/>
                      <w:sz w:val="21"/>
                      <w:szCs w:val="21"/>
                    </w:rPr>
                    <w:t>2.2</w:t>
                  </w:r>
                </w:p>
              </w:tc>
              <w:tc>
                <w:tcPr>
                  <w:tcW w:w="2018" w:type="dxa"/>
                  <w:vAlign w:val="center"/>
                </w:tcPr>
                <w:p w14:paraId="685CBF45">
                  <w:pPr>
                    <w:jc w:val="center"/>
                    <w:rPr>
                      <w:rFonts w:cs="Times New Roman"/>
                      <w:kern w:val="0"/>
                      <w:sz w:val="21"/>
                      <w:szCs w:val="21"/>
                    </w:rPr>
                  </w:pPr>
                  <w:r>
                    <w:rPr>
                      <w:rFonts w:hint="eastAsia" w:cs="Times New Roman"/>
                      <w:kern w:val="0"/>
                      <w:sz w:val="21"/>
                      <w:szCs w:val="21"/>
                    </w:rPr>
                    <w:t>低水段</w:t>
                  </w:r>
                </w:p>
              </w:tc>
              <w:tc>
                <w:tcPr>
                  <w:tcW w:w="708" w:type="dxa"/>
                  <w:vAlign w:val="center"/>
                </w:tcPr>
                <w:p w14:paraId="4922A1C4">
                  <w:pPr>
                    <w:jc w:val="center"/>
                    <w:rPr>
                      <w:rFonts w:cs="Times New Roman"/>
                      <w:kern w:val="0"/>
                      <w:sz w:val="21"/>
                      <w:szCs w:val="21"/>
                    </w:rPr>
                  </w:pPr>
                  <w:r>
                    <w:rPr>
                      <w:rFonts w:hint="eastAsia" w:cs="Times New Roman"/>
                      <w:kern w:val="0"/>
                      <w:sz w:val="21"/>
                      <w:szCs w:val="21"/>
                    </w:rPr>
                    <w:t>71</w:t>
                  </w:r>
                </w:p>
              </w:tc>
              <w:tc>
                <w:tcPr>
                  <w:tcW w:w="1230" w:type="dxa"/>
                  <w:vAlign w:val="center"/>
                </w:tcPr>
                <w:p w14:paraId="50A4C507">
                  <w:pPr>
                    <w:jc w:val="center"/>
                    <w:rPr>
                      <w:rFonts w:cs="Times New Roman"/>
                      <w:kern w:val="0"/>
                      <w:sz w:val="21"/>
                      <w:szCs w:val="21"/>
                    </w:rPr>
                  </w:pPr>
                  <w:r>
                    <w:rPr>
                      <w:rFonts w:hint="eastAsia" w:cs="Times New Roman"/>
                      <w:kern w:val="0"/>
                      <w:sz w:val="21"/>
                      <w:szCs w:val="21"/>
                    </w:rPr>
                    <w:t>318.55</w:t>
                  </w:r>
                </w:p>
              </w:tc>
              <w:tc>
                <w:tcPr>
                  <w:tcW w:w="1843" w:type="dxa"/>
                  <w:vAlign w:val="center"/>
                </w:tcPr>
                <w:p w14:paraId="5C277BCD">
                  <w:pPr>
                    <w:jc w:val="center"/>
                    <w:rPr>
                      <w:rFonts w:cs="Times New Roman"/>
                      <w:kern w:val="0"/>
                      <w:sz w:val="21"/>
                      <w:szCs w:val="21"/>
                    </w:rPr>
                  </w:pPr>
                  <w:r>
                    <w:rPr>
                      <w:rFonts w:hint="eastAsia" w:cs="Times New Roman"/>
                      <w:kern w:val="0"/>
                      <w:sz w:val="21"/>
                      <w:szCs w:val="21"/>
                    </w:rPr>
                    <w:t>315.35</w:t>
                  </w:r>
                </w:p>
              </w:tc>
              <w:tc>
                <w:tcPr>
                  <w:tcW w:w="1101" w:type="dxa"/>
                  <w:vAlign w:val="center"/>
                </w:tcPr>
                <w:p w14:paraId="7B526F06">
                  <w:pPr>
                    <w:jc w:val="center"/>
                    <w:rPr>
                      <w:rFonts w:cs="Times New Roman"/>
                      <w:kern w:val="0"/>
                      <w:sz w:val="21"/>
                      <w:szCs w:val="21"/>
                    </w:rPr>
                  </w:pPr>
                </w:p>
              </w:tc>
            </w:tr>
            <w:tr w14:paraId="46A11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3A4D0A5E">
                  <w:pPr>
                    <w:jc w:val="center"/>
                    <w:rPr>
                      <w:rFonts w:cs="Times New Roman"/>
                      <w:kern w:val="0"/>
                      <w:sz w:val="21"/>
                      <w:szCs w:val="21"/>
                    </w:rPr>
                  </w:pPr>
                  <w:r>
                    <w:rPr>
                      <w:rFonts w:hint="eastAsia" w:cs="Times New Roman"/>
                      <w:kern w:val="0"/>
                      <w:sz w:val="21"/>
                      <w:szCs w:val="21"/>
                    </w:rPr>
                    <w:t>3</w:t>
                  </w:r>
                </w:p>
              </w:tc>
              <w:tc>
                <w:tcPr>
                  <w:tcW w:w="2018" w:type="dxa"/>
                  <w:vAlign w:val="center"/>
                </w:tcPr>
                <w:p w14:paraId="38939C7A">
                  <w:pPr>
                    <w:jc w:val="center"/>
                    <w:rPr>
                      <w:rFonts w:cs="Times New Roman"/>
                      <w:kern w:val="0"/>
                      <w:sz w:val="21"/>
                      <w:szCs w:val="21"/>
                    </w:rPr>
                  </w:pPr>
                  <w:r>
                    <w:rPr>
                      <w:rFonts w:hint="eastAsia" w:cs="Times New Roman"/>
                      <w:kern w:val="0"/>
                      <w:sz w:val="21"/>
                      <w:szCs w:val="21"/>
                    </w:rPr>
                    <w:t>作业区码头</w:t>
                  </w:r>
                </w:p>
              </w:tc>
              <w:tc>
                <w:tcPr>
                  <w:tcW w:w="708" w:type="dxa"/>
                  <w:vAlign w:val="center"/>
                </w:tcPr>
                <w:p w14:paraId="11E6D67B">
                  <w:pPr>
                    <w:jc w:val="center"/>
                    <w:rPr>
                      <w:rFonts w:cs="Times New Roman"/>
                      <w:kern w:val="0"/>
                      <w:sz w:val="21"/>
                      <w:szCs w:val="21"/>
                    </w:rPr>
                  </w:pPr>
                  <w:r>
                    <w:rPr>
                      <w:rFonts w:hint="eastAsia" w:cs="Times New Roman"/>
                      <w:kern w:val="0"/>
                      <w:sz w:val="21"/>
                      <w:szCs w:val="21"/>
                    </w:rPr>
                    <w:t>103.5</w:t>
                  </w:r>
                </w:p>
              </w:tc>
              <w:tc>
                <w:tcPr>
                  <w:tcW w:w="1230" w:type="dxa"/>
                  <w:vAlign w:val="center"/>
                </w:tcPr>
                <w:p w14:paraId="5FBEDE36">
                  <w:pPr>
                    <w:jc w:val="center"/>
                    <w:rPr>
                      <w:rFonts w:cs="Times New Roman"/>
                      <w:kern w:val="0"/>
                      <w:sz w:val="21"/>
                      <w:szCs w:val="21"/>
                    </w:rPr>
                  </w:pPr>
                  <w:r>
                    <w:rPr>
                      <w:rFonts w:hint="eastAsia" w:cs="Times New Roman"/>
                      <w:kern w:val="0"/>
                      <w:sz w:val="21"/>
                      <w:szCs w:val="21"/>
                    </w:rPr>
                    <w:t>322.10</w:t>
                  </w:r>
                </w:p>
              </w:tc>
              <w:tc>
                <w:tcPr>
                  <w:tcW w:w="1843" w:type="dxa"/>
                  <w:vAlign w:val="center"/>
                </w:tcPr>
                <w:p w14:paraId="385F99EE">
                  <w:pPr>
                    <w:jc w:val="center"/>
                    <w:rPr>
                      <w:rFonts w:cs="Times New Roman"/>
                      <w:kern w:val="0"/>
                      <w:sz w:val="21"/>
                      <w:szCs w:val="21"/>
                    </w:rPr>
                  </w:pPr>
                  <w:r>
                    <w:rPr>
                      <w:rFonts w:hint="eastAsia" w:cs="Times New Roman"/>
                      <w:kern w:val="0"/>
                      <w:sz w:val="21"/>
                      <w:szCs w:val="21"/>
                    </w:rPr>
                    <w:t>315.60</w:t>
                  </w:r>
                </w:p>
              </w:tc>
              <w:tc>
                <w:tcPr>
                  <w:tcW w:w="1101" w:type="dxa"/>
                  <w:vAlign w:val="center"/>
                </w:tcPr>
                <w:p w14:paraId="7DA810FC">
                  <w:pPr>
                    <w:jc w:val="center"/>
                    <w:rPr>
                      <w:rFonts w:cs="Times New Roman"/>
                      <w:kern w:val="0"/>
                      <w:sz w:val="21"/>
                      <w:szCs w:val="21"/>
                    </w:rPr>
                  </w:pPr>
                </w:p>
              </w:tc>
            </w:tr>
            <w:tr w14:paraId="1E09F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2C127F21">
                  <w:pPr>
                    <w:jc w:val="center"/>
                    <w:rPr>
                      <w:rFonts w:cs="Times New Roman"/>
                      <w:kern w:val="0"/>
                      <w:sz w:val="21"/>
                      <w:szCs w:val="21"/>
                    </w:rPr>
                  </w:pPr>
                  <w:r>
                    <w:rPr>
                      <w:rFonts w:hint="eastAsia" w:cs="Times New Roman"/>
                      <w:kern w:val="0"/>
                      <w:sz w:val="21"/>
                      <w:szCs w:val="21"/>
                    </w:rPr>
                    <w:t>4</w:t>
                  </w:r>
                </w:p>
              </w:tc>
              <w:tc>
                <w:tcPr>
                  <w:tcW w:w="2018" w:type="dxa"/>
                  <w:vAlign w:val="center"/>
                </w:tcPr>
                <w:p w14:paraId="5CA3EF93">
                  <w:pPr>
                    <w:jc w:val="center"/>
                    <w:rPr>
                      <w:rFonts w:cs="Times New Roman"/>
                      <w:kern w:val="0"/>
                      <w:sz w:val="21"/>
                      <w:szCs w:val="21"/>
                    </w:rPr>
                  </w:pPr>
                  <w:r>
                    <w:rPr>
                      <w:rFonts w:hint="eastAsia" w:cs="Times New Roman"/>
                      <w:kern w:val="0"/>
                      <w:sz w:val="21"/>
                      <w:szCs w:val="21"/>
                    </w:rPr>
                    <w:t>护岸</w:t>
                  </w:r>
                </w:p>
              </w:tc>
              <w:tc>
                <w:tcPr>
                  <w:tcW w:w="708" w:type="dxa"/>
                  <w:vAlign w:val="center"/>
                </w:tcPr>
                <w:p w14:paraId="182ACB66">
                  <w:pPr>
                    <w:jc w:val="center"/>
                    <w:rPr>
                      <w:rFonts w:cs="Times New Roman"/>
                      <w:kern w:val="0"/>
                      <w:sz w:val="21"/>
                      <w:szCs w:val="21"/>
                    </w:rPr>
                  </w:pPr>
                  <w:r>
                    <w:rPr>
                      <w:rFonts w:hint="eastAsia" w:cs="Times New Roman"/>
                      <w:kern w:val="0"/>
                      <w:sz w:val="21"/>
                      <w:szCs w:val="21"/>
                    </w:rPr>
                    <w:t>156.4</w:t>
                  </w:r>
                </w:p>
              </w:tc>
              <w:tc>
                <w:tcPr>
                  <w:tcW w:w="1230" w:type="dxa"/>
                  <w:vAlign w:val="center"/>
                </w:tcPr>
                <w:p w14:paraId="3CC9B83C">
                  <w:pPr>
                    <w:jc w:val="center"/>
                    <w:rPr>
                      <w:rFonts w:cs="Times New Roman"/>
                      <w:kern w:val="0"/>
                      <w:sz w:val="21"/>
                      <w:szCs w:val="21"/>
                    </w:rPr>
                  </w:pPr>
                  <w:r>
                    <w:rPr>
                      <w:rFonts w:hint="eastAsia" w:cs="Times New Roman"/>
                      <w:kern w:val="0"/>
                      <w:sz w:val="21"/>
                      <w:szCs w:val="21"/>
                    </w:rPr>
                    <w:t>322.10</w:t>
                  </w:r>
                </w:p>
              </w:tc>
              <w:tc>
                <w:tcPr>
                  <w:tcW w:w="1843" w:type="dxa"/>
                  <w:vAlign w:val="center"/>
                </w:tcPr>
                <w:p w14:paraId="21ADA7C5">
                  <w:pPr>
                    <w:jc w:val="center"/>
                    <w:rPr>
                      <w:rFonts w:cs="Times New Roman"/>
                      <w:kern w:val="0"/>
                      <w:sz w:val="21"/>
                      <w:szCs w:val="21"/>
                    </w:rPr>
                  </w:pPr>
                  <w:r>
                    <w:rPr>
                      <w:rFonts w:hint="eastAsia" w:cs="Times New Roman"/>
                      <w:kern w:val="0"/>
                      <w:sz w:val="21"/>
                      <w:szCs w:val="21"/>
                    </w:rPr>
                    <w:t>-</w:t>
                  </w:r>
                </w:p>
              </w:tc>
              <w:tc>
                <w:tcPr>
                  <w:tcW w:w="1101" w:type="dxa"/>
                  <w:vAlign w:val="center"/>
                </w:tcPr>
                <w:p w14:paraId="3408CAA3">
                  <w:pPr>
                    <w:jc w:val="center"/>
                    <w:rPr>
                      <w:rFonts w:cs="Times New Roman"/>
                      <w:kern w:val="0"/>
                      <w:sz w:val="21"/>
                      <w:szCs w:val="21"/>
                    </w:rPr>
                  </w:pPr>
                </w:p>
              </w:tc>
            </w:tr>
            <w:tr w14:paraId="418A3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09A5C57">
                  <w:pPr>
                    <w:jc w:val="center"/>
                    <w:rPr>
                      <w:rFonts w:cs="Times New Roman"/>
                      <w:kern w:val="0"/>
                      <w:sz w:val="21"/>
                      <w:szCs w:val="21"/>
                    </w:rPr>
                  </w:pPr>
                  <w:r>
                    <w:rPr>
                      <w:rFonts w:hint="eastAsia" w:cs="Times New Roman"/>
                      <w:kern w:val="0"/>
                      <w:sz w:val="21"/>
                      <w:szCs w:val="21"/>
                    </w:rPr>
                    <w:t>4.1</w:t>
                  </w:r>
                </w:p>
              </w:tc>
              <w:tc>
                <w:tcPr>
                  <w:tcW w:w="2018" w:type="dxa"/>
                  <w:vAlign w:val="center"/>
                </w:tcPr>
                <w:p w14:paraId="3CD51C7E">
                  <w:pPr>
                    <w:jc w:val="center"/>
                    <w:rPr>
                      <w:rFonts w:cs="Times New Roman"/>
                      <w:kern w:val="0"/>
                      <w:sz w:val="21"/>
                      <w:szCs w:val="21"/>
                    </w:rPr>
                  </w:pPr>
                  <w:r>
                    <w:rPr>
                      <w:rFonts w:hint="eastAsia" w:cs="Times New Roman"/>
                      <w:kern w:val="0"/>
                      <w:sz w:val="21"/>
                      <w:szCs w:val="21"/>
                    </w:rPr>
                    <w:t>南侧直立式护岸</w:t>
                  </w:r>
                </w:p>
              </w:tc>
              <w:tc>
                <w:tcPr>
                  <w:tcW w:w="708" w:type="dxa"/>
                  <w:vAlign w:val="center"/>
                </w:tcPr>
                <w:p w14:paraId="56B2F207">
                  <w:pPr>
                    <w:jc w:val="center"/>
                    <w:rPr>
                      <w:rFonts w:cs="Times New Roman"/>
                      <w:kern w:val="0"/>
                      <w:sz w:val="21"/>
                      <w:szCs w:val="21"/>
                    </w:rPr>
                  </w:pPr>
                  <w:r>
                    <w:rPr>
                      <w:rFonts w:hint="eastAsia" w:cs="Times New Roman"/>
                      <w:kern w:val="0"/>
                      <w:sz w:val="21"/>
                      <w:szCs w:val="21"/>
                    </w:rPr>
                    <w:t>64</w:t>
                  </w:r>
                </w:p>
              </w:tc>
              <w:tc>
                <w:tcPr>
                  <w:tcW w:w="1230" w:type="dxa"/>
                  <w:vAlign w:val="center"/>
                </w:tcPr>
                <w:p w14:paraId="29FBDD32">
                  <w:pPr>
                    <w:jc w:val="center"/>
                    <w:rPr>
                      <w:rFonts w:cs="Times New Roman"/>
                      <w:kern w:val="0"/>
                      <w:sz w:val="21"/>
                      <w:szCs w:val="21"/>
                    </w:rPr>
                  </w:pPr>
                  <w:r>
                    <w:rPr>
                      <w:rFonts w:hint="eastAsia" w:cs="Times New Roman"/>
                      <w:kern w:val="0"/>
                      <w:sz w:val="21"/>
                      <w:szCs w:val="21"/>
                    </w:rPr>
                    <w:t>322.10</w:t>
                  </w:r>
                </w:p>
              </w:tc>
              <w:tc>
                <w:tcPr>
                  <w:tcW w:w="1843" w:type="dxa"/>
                  <w:vAlign w:val="center"/>
                </w:tcPr>
                <w:p w14:paraId="3E619B29">
                  <w:pPr>
                    <w:jc w:val="center"/>
                    <w:rPr>
                      <w:rFonts w:cs="Times New Roman"/>
                      <w:kern w:val="0"/>
                      <w:sz w:val="21"/>
                      <w:szCs w:val="21"/>
                    </w:rPr>
                  </w:pPr>
                  <w:r>
                    <w:rPr>
                      <w:rFonts w:hint="eastAsia" w:cs="Times New Roman"/>
                      <w:kern w:val="0"/>
                      <w:sz w:val="21"/>
                      <w:szCs w:val="21"/>
                    </w:rPr>
                    <w:t>315.20</w:t>
                  </w:r>
                </w:p>
              </w:tc>
              <w:tc>
                <w:tcPr>
                  <w:tcW w:w="1101" w:type="dxa"/>
                  <w:vAlign w:val="center"/>
                </w:tcPr>
                <w:p w14:paraId="0B9A0D60">
                  <w:pPr>
                    <w:jc w:val="center"/>
                    <w:rPr>
                      <w:rFonts w:cs="Times New Roman"/>
                      <w:kern w:val="0"/>
                      <w:sz w:val="21"/>
                      <w:szCs w:val="21"/>
                    </w:rPr>
                  </w:pPr>
                </w:p>
              </w:tc>
            </w:tr>
            <w:tr w14:paraId="69F3A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6FA4702F">
                  <w:pPr>
                    <w:jc w:val="center"/>
                    <w:rPr>
                      <w:rFonts w:cs="Times New Roman"/>
                      <w:kern w:val="0"/>
                      <w:sz w:val="21"/>
                      <w:szCs w:val="21"/>
                    </w:rPr>
                  </w:pPr>
                  <w:r>
                    <w:rPr>
                      <w:rFonts w:hint="eastAsia" w:cs="Times New Roman"/>
                      <w:kern w:val="0"/>
                      <w:sz w:val="21"/>
                      <w:szCs w:val="21"/>
                    </w:rPr>
                    <w:t>4.2</w:t>
                  </w:r>
                </w:p>
              </w:tc>
              <w:tc>
                <w:tcPr>
                  <w:tcW w:w="2018" w:type="dxa"/>
                  <w:vAlign w:val="center"/>
                </w:tcPr>
                <w:p w14:paraId="1270B8CF">
                  <w:pPr>
                    <w:jc w:val="center"/>
                    <w:rPr>
                      <w:rFonts w:cs="Times New Roman"/>
                      <w:kern w:val="0"/>
                      <w:sz w:val="21"/>
                      <w:szCs w:val="21"/>
                    </w:rPr>
                  </w:pPr>
                  <w:r>
                    <w:rPr>
                      <w:rFonts w:hint="eastAsia" w:cs="Times New Roman"/>
                      <w:kern w:val="0"/>
                      <w:sz w:val="21"/>
                      <w:szCs w:val="21"/>
                    </w:rPr>
                    <w:t>北侧斜坡式护岸</w:t>
                  </w:r>
                </w:p>
              </w:tc>
              <w:tc>
                <w:tcPr>
                  <w:tcW w:w="708" w:type="dxa"/>
                  <w:vAlign w:val="center"/>
                </w:tcPr>
                <w:p w14:paraId="096E88E3">
                  <w:pPr>
                    <w:jc w:val="center"/>
                    <w:rPr>
                      <w:rFonts w:cs="Times New Roman"/>
                      <w:kern w:val="0"/>
                      <w:sz w:val="21"/>
                      <w:szCs w:val="21"/>
                    </w:rPr>
                  </w:pPr>
                  <w:r>
                    <w:rPr>
                      <w:rFonts w:hint="eastAsia" w:cs="Times New Roman"/>
                      <w:kern w:val="0"/>
                      <w:sz w:val="21"/>
                      <w:szCs w:val="21"/>
                    </w:rPr>
                    <w:t>92.4</w:t>
                  </w:r>
                </w:p>
              </w:tc>
              <w:tc>
                <w:tcPr>
                  <w:tcW w:w="1230" w:type="dxa"/>
                  <w:vAlign w:val="center"/>
                </w:tcPr>
                <w:p w14:paraId="70861BF7">
                  <w:pPr>
                    <w:jc w:val="center"/>
                    <w:rPr>
                      <w:rFonts w:cs="Times New Roman"/>
                      <w:kern w:val="0"/>
                      <w:sz w:val="21"/>
                      <w:szCs w:val="21"/>
                    </w:rPr>
                  </w:pPr>
                  <w:r>
                    <w:rPr>
                      <w:rFonts w:hint="eastAsia" w:cs="Times New Roman"/>
                      <w:kern w:val="0"/>
                      <w:sz w:val="21"/>
                      <w:szCs w:val="21"/>
                    </w:rPr>
                    <w:t>322.10</w:t>
                  </w:r>
                </w:p>
              </w:tc>
              <w:tc>
                <w:tcPr>
                  <w:tcW w:w="1843" w:type="dxa"/>
                  <w:vAlign w:val="center"/>
                </w:tcPr>
                <w:p w14:paraId="63EBD913">
                  <w:pPr>
                    <w:jc w:val="center"/>
                    <w:rPr>
                      <w:rFonts w:cs="Times New Roman"/>
                      <w:kern w:val="0"/>
                      <w:sz w:val="21"/>
                      <w:szCs w:val="21"/>
                    </w:rPr>
                  </w:pPr>
                  <w:r>
                    <w:rPr>
                      <w:rFonts w:hint="eastAsia" w:cs="Times New Roman"/>
                      <w:kern w:val="0"/>
                      <w:sz w:val="21"/>
                      <w:szCs w:val="21"/>
                    </w:rPr>
                    <w:t>315.60~318.60</w:t>
                  </w:r>
                </w:p>
              </w:tc>
              <w:tc>
                <w:tcPr>
                  <w:tcW w:w="1101" w:type="dxa"/>
                  <w:vAlign w:val="center"/>
                </w:tcPr>
                <w:p w14:paraId="0723BA72">
                  <w:pPr>
                    <w:jc w:val="center"/>
                    <w:rPr>
                      <w:rFonts w:cs="Times New Roman"/>
                      <w:kern w:val="0"/>
                      <w:sz w:val="21"/>
                      <w:szCs w:val="21"/>
                    </w:rPr>
                  </w:pPr>
                </w:p>
              </w:tc>
            </w:tr>
            <w:tr w14:paraId="16FD3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4299686E">
                  <w:pPr>
                    <w:jc w:val="center"/>
                    <w:rPr>
                      <w:rFonts w:cs="Times New Roman"/>
                      <w:kern w:val="0"/>
                      <w:sz w:val="21"/>
                      <w:szCs w:val="21"/>
                    </w:rPr>
                  </w:pPr>
                  <w:r>
                    <w:rPr>
                      <w:rFonts w:hint="eastAsia" w:cs="Times New Roman"/>
                      <w:kern w:val="0"/>
                      <w:sz w:val="21"/>
                      <w:szCs w:val="21"/>
                    </w:rPr>
                    <w:t>5</w:t>
                  </w:r>
                </w:p>
              </w:tc>
              <w:tc>
                <w:tcPr>
                  <w:tcW w:w="2018" w:type="dxa"/>
                  <w:vAlign w:val="center"/>
                </w:tcPr>
                <w:p w14:paraId="12482CCA">
                  <w:pPr>
                    <w:jc w:val="center"/>
                    <w:rPr>
                      <w:rFonts w:cs="Times New Roman"/>
                      <w:kern w:val="0"/>
                      <w:sz w:val="21"/>
                      <w:szCs w:val="21"/>
                    </w:rPr>
                  </w:pPr>
                  <w:r>
                    <w:rPr>
                      <w:rFonts w:hint="eastAsia" w:cs="Times New Roman"/>
                      <w:kern w:val="0"/>
                      <w:sz w:val="21"/>
                      <w:szCs w:val="21"/>
                    </w:rPr>
                    <w:t>船舶上岸维护滑道</w:t>
                  </w:r>
                </w:p>
              </w:tc>
              <w:tc>
                <w:tcPr>
                  <w:tcW w:w="708" w:type="dxa"/>
                  <w:vAlign w:val="center"/>
                </w:tcPr>
                <w:p w14:paraId="75EAF947">
                  <w:pPr>
                    <w:jc w:val="center"/>
                    <w:rPr>
                      <w:rFonts w:cs="Times New Roman"/>
                      <w:kern w:val="0"/>
                      <w:sz w:val="21"/>
                      <w:szCs w:val="21"/>
                    </w:rPr>
                  </w:pPr>
                  <w:r>
                    <w:rPr>
                      <w:rFonts w:hint="eastAsia" w:cs="Times New Roman"/>
                      <w:kern w:val="0"/>
                      <w:sz w:val="21"/>
                      <w:szCs w:val="21"/>
                    </w:rPr>
                    <w:t>69</w:t>
                  </w:r>
                </w:p>
              </w:tc>
              <w:tc>
                <w:tcPr>
                  <w:tcW w:w="1230" w:type="dxa"/>
                  <w:vAlign w:val="center"/>
                </w:tcPr>
                <w:p w14:paraId="526A05F6">
                  <w:pPr>
                    <w:jc w:val="center"/>
                    <w:rPr>
                      <w:rFonts w:cs="Times New Roman"/>
                      <w:kern w:val="0"/>
                      <w:sz w:val="21"/>
                      <w:szCs w:val="21"/>
                    </w:rPr>
                  </w:pPr>
                  <w:r>
                    <w:rPr>
                      <w:rFonts w:hint="eastAsia" w:cs="Times New Roman"/>
                      <w:kern w:val="0"/>
                      <w:sz w:val="21"/>
                      <w:szCs w:val="21"/>
                    </w:rPr>
                    <w:t>322.10</w:t>
                  </w:r>
                </w:p>
              </w:tc>
              <w:tc>
                <w:tcPr>
                  <w:tcW w:w="1843" w:type="dxa"/>
                  <w:vAlign w:val="center"/>
                </w:tcPr>
                <w:p w14:paraId="4873A13B">
                  <w:pPr>
                    <w:jc w:val="center"/>
                    <w:rPr>
                      <w:rFonts w:cs="Times New Roman"/>
                      <w:kern w:val="0"/>
                      <w:sz w:val="21"/>
                      <w:szCs w:val="21"/>
                    </w:rPr>
                  </w:pPr>
                  <w:r>
                    <w:rPr>
                      <w:rFonts w:hint="eastAsia" w:cs="Times New Roman"/>
                      <w:kern w:val="0"/>
                      <w:sz w:val="21"/>
                      <w:szCs w:val="21"/>
                    </w:rPr>
                    <w:t>315.20</w:t>
                  </w:r>
                </w:p>
              </w:tc>
              <w:tc>
                <w:tcPr>
                  <w:tcW w:w="1101" w:type="dxa"/>
                  <w:vAlign w:val="center"/>
                </w:tcPr>
                <w:p w14:paraId="2012E565">
                  <w:pPr>
                    <w:jc w:val="center"/>
                    <w:rPr>
                      <w:rFonts w:cs="Times New Roman"/>
                      <w:kern w:val="0"/>
                      <w:sz w:val="21"/>
                      <w:szCs w:val="21"/>
                    </w:rPr>
                  </w:pPr>
                </w:p>
              </w:tc>
            </w:tr>
          </w:tbl>
          <w:p w14:paraId="6A7BB311">
            <w:pPr>
              <w:spacing w:line="360" w:lineRule="auto"/>
              <w:ind w:firstLine="480" w:firstLineChars="200"/>
            </w:pPr>
          </w:p>
          <w:p w14:paraId="793E9FED">
            <w:pPr>
              <w:spacing w:line="360" w:lineRule="auto"/>
              <w:ind w:firstLine="480" w:firstLineChars="200"/>
            </w:pPr>
            <w:r>
              <w:rPr>
                <w:rFonts w:hint="eastAsia"/>
              </w:rPr>
              <w:t>6、结构方案</w:t>
            </w:r>
          </w:p>
          <w:p w14:paraId="3D03B08C">
            <w:pPr>
              <w:spacing w:line="360" w:lineRule="auto"/>
              <w:ind w:firstLine="480" w:firstLineChars="200"/>
            </w:pPr>
            <w:r>
              <w:rPr>
                <w:rFonts w:hint="eastAsia"/>
              </w:rPr>
              <w:t>（1）防冰突堤码头</w:t>
            </w:r>
          </w:p>
          <w:p w14:paraId="6EAD4274">
            <w:pPr>
              <w:spacing w:line="360" w:lineRule="auto"/>
              <w:ind w:firstLine="480" w:firstLineChars="200"/>
            </w:pPr>
            <w:r>
              <w:rPr>
                <w:rFonts w:hint="eastAsia"/>
              </w:rPr>
              <w:t>防冰突堤总长40m。结构顶高程322.10m，底高程315.20m。</w:t>
            </w:r>
          </w:p>
          <w:p w14:paraId="02A3CE0D">
            <w:pPr>
              <w:spacing w:line="360" w:lineRule="auto"/>
              <w:ind w:firstLine="480" w:firstLineChars="200"/>
            </w:pPr>
            <w:r>
              <w:rPr>
                <w:rFonts w:hint="eastAsia"/>
              </w:rPr>
              <w:t>防冰突堤主体结构为实心方块结构，泥面开挖至314.70m后抛填0.5m厚10～100kg块石并夯实形成基床，基床顶面高程315.20m。基床上安放两层实心方块，上下层方块错缝安装。实心方块上现浇U型钢筋混凝土胸墙，胸墙底高程318.4m。U型混凝土槽内回填山皮石，上部依次铺设一层120mm 厚级配碎石（最大粒径≤50mm），一层80mm厚级配碎石（最大粒径≤30mm），一层30mm厚中粗砂和一层80mm厚高强联锁块形成面层结构。为防止基床冲刷，在基床外侧5m范围内设置60~100kg块石护底。同时在防冰突堤堤头处设置护边角钢，防止流冰损坏堤头。</w:t>
            </w:r>
          </w:p>
          <w:p w14:paraId="4FE2E085">
            <w:pPr>
              <w:spacing w:line="360" w:lineRule="auto"/>
              <w:ind w:firstLine="480" w:firstLineChars="200"/>
            </w:pPr>
            <w:r>
              <w:rPr>
                <w:rFonts w:hint="eastAsia"/>
              </w:rPr>
              <w:t>防冰突堤内侧兼作码头使用，内侧设置系靠船设施，防撞设施采用D300×300×1500（1000）型橡胶护舷、150KN系船柱及系船环。外侧布置系靠船设施，水位较高时，低水级泊位船舶可临时停靠防冰突堤外侧。</w:t>
            </w:r>
          </w:p>
          <w:p w14:paraId="1D89E9C6">
            <w:pPr>
              <w:spacing w:line="360" w:lineRule="auto"/>
              <w:jc w:val="center"/>
            </w:pPr>
            <w:r>
              <w:drawing>
                <wp:inline distT="0" distB="0" distL="0" distR="0">
                  <wp:extent cx="4515485" cy="2540000"/>
                  <wp:effectExtent l="0" t="0" r="0" b="0"/>
                  <wp:docPr id="9457120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12088"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34329" cy="2550902"/>
                          </a:xfrm>
                          <a:prstGeom prst="rect">
                            <a:avLst/>
                          </a:prstGeom>
                          <a:noFill/>
                          <a:ln>
                            <a:noFill/>
                          </a:ln>
                        </pic:spPr>
                      </pic:pic>
                    </a:graphicData>
                  </a:graphic>
                </wp:inline>
              </w:drawing>
            </w:r>
          </w:p>
          <w:p w14:paraId="2037E0CE">
            <w:pPr>
              <w:spacing w:line="360" w:lineRule="auto"/>
              <w:jc w:val="center"/>
              <w:rPr>
                <w:b/>
                <w:bCs/>
              </w:rPr>
            </w:pPr>
            <w:r>
              <w:rPr>
                <w:rFonts w:hint="eastAsia"/>
                <w:b/>
                <w:bCs/>
              </w:rPr>
              <w:t>图1      防冰突堤实心方块结构图</w:t>
            </w:r>
          </w:p>
          <w:p w14:paraId="21C2EB9A">
            <w:pPr>
              <w:spacing w:line="360" w:lineRule="auto"/>
              <w:ind w:firstLine="480" w:firstLineChars="200"/>
            </w:pPr>
            <w:r>
              <w:rPr>
                <w:rFonts w:hint="eastAsia"/>
              </w:rPr>
              <w:t>（2）工作船码头结构</w:t>
            </w:r>
          </w:p>
          <w:p w14:paraId="080CCDEF">
            <w:pPr>
              <w:spacing w:line="360" w:lineRule="auto"/>
              <w:ind w:firstLine="480" w:firstLineChars="200"/>
            </w:pPr>
            <w:r>
              <w:rPr>
                <w:rFonts w:hint="eastAsia"/>
              </w:rPr>
              <w:t>工作船码头总长177.5m，包括标准段106.5m和低水段71m，码头前沿宽度15.50m，其中标准段顶高程322.10m，低水段顶高程318.55m。</w:t>
            </w:r>
          </w:p>
          <w:p w14:paraId="5B68DDC5">
            <w:pPr>
              <w:spacing w:line="360" w:lineRule="auto"/>
              <w:ind w:firstLine="480" w:firstLineChars="200"/>
            </w:pPr>
            <w:r>
              <w:rPr>
                <w:rFonts w:hint="eastAsia"/>
              </w:rPr>
              <w:t>①标准段结构</w:t>
            </w:r>
          </w:p>
          <w:p w14:paraId="5C9B21F6">
            <w:pPr>
              <w:spacing w:line="360" w:lineRule="auto"/>
              <w:ind w:firstLine="480" w:firstLineChars="200"/>
            </w:pPr>
            <w:r>
              <w:rPr>
                <w:rFonts w:hint="eastAsia"/>
              </w:rPr>
              <w:t>本方案主体结构为实心方块结构， 泥面开挖至314.85m 后抛填0.5m 厚10~100kg块石并夯实形成基床，基床顶面高程315.35m。基床上安放两层实心方块，各层方块错缝安装。实心方块上部现浇钢筋混凝土胸墙，胸墙底高程为318.55m，顶高程为322.10m，宽3.55m。墙后设置10~100kg 抛石棱体，棱体后布设0.5m厚二片石+0.6m厚碎石倒滤层。倒滤层后侧回填开山石形成码头前沿区及后方陆域。回填开山石顶面依次铺设一层120mm厚级配碎石（最大粒径≤50mm），一层80mm厚级配碎石（最大粒径≤30mm），一层30mm厚中粗砂和一层80mm厚高强联锁块形成面层结构。为满足低水位上下船舶，设置1.2m宽1:1.5台阶，台阶设置成高低台阶，外侧0.6m为高台阶，内侧0.6m为低台阶。为防止基床冲刷，在基床外侧5m范围内设置60~100kg块石护底。</w:t>
            </w:r>
          </w:p>
          <w:p w14:paraId="7AA7180D">
            <w:pPr>
              <w:spacing w:line="360" w:lineRule="auto"/>
              <w:ind w:firstLine="480" w:firstLineChars="200"/>
            </w:pPr>
            <w:r>
              <w:rPr>
                <w:rFonts w:hint="eastAsia"/>
              </w:rPr>
              <w:t>防撞设施采用D300×300×1500（1000）型橡胶护舷、150KN系船柱及系船环。</w:t>
            </w:r>
          </w:p>
          <w:p w14:paraId="3768EF62">
            <w:pPr>
              <w:spacing w:line="360" w:lineRule="auto"/>
            </w:pPr>
            <w:r>
              <w:drawing>
                <wp:inline distT="0" distB="0" distL="0" distR="0">
                  <wp:extent cx="4833620" cy="2245360"/>
                  <wp:effectExtent l="0" t="0" r="5080" b="2540"/>
                  <wp:docPr id="12084515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51592"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47790" cy="2252302"/>
                          </a:xfrm>
                          <a:prstGeom prst="rect">
                            <a:avLst/>
                          </a:prstGeom>
                          <a:noFill/>
                          <a:ln>
                            <a:noFill/>
                          </a:ln>
                        </pic:spPr>
                      </pic:pic>
                    </a:graphicData>
                  </a:graphic>
                </wp:inline>
              </w:drawing>
            </w:r>
          </w:p>
          <w:p w14:paraId="53B2FF16">
            <w:pPr>
              <w:spacing w:line="360" w:lineRule="auto"/>
              <w:jc w:val="center"/>
              <w:rPr>
                <w:b/>
                <w:bCs/>
              </w:rPr>
            </w:pPr>
            <w:r>
              <w:rPr>
                <w:rFonts w:hint="eastAsia"/>
                <w:b/>
                <w:bCs/>
              </w:rPr>
              <w:t>图2     标准段工作码头实心方块结构图</w:t>
            </w:r>
          </w:p>
          <w:p w14:paraId="75B9D503">
            <w:pPr>
              <w:spacing w:line="360" w:lineRule="auto"/>
              <w:ind w:firstLine="480" w:firstLineChars="200"/>
            </w:pPr>
          </w:p>
          <w:p w14:paraId="2D470B88">
            <w:pPr>
              <w:spacing w:line="360" w:lineRule="auto"/>
              <w:ind w:firstLine="480" w:firstLineChars="200"/>
            </w:pPr>
            <w:r>
              <w:rPr>
                <w:rFonts w:hint="eastAsia"/>
              </w:rPr>
              <w:t>②低水段结构</w:t>
            </w:r>
          </w:p>
          <w:p w14:paraId="359AFAE9">
            <w:pPr>
              <w:spacing w:line="360" w:lineRule="auto"/>
              <w:ind w:firstLine="480" w:firstLineChars="200"/>
            </w:pPr>
            <w:r>
              <w:rPr>
                <w:rFonts w:hint="eastAsia"/>
              </w:rPr>
              <w:t>本方案主体结构为实心方块结构， 泥面开挖至314.85m 后抛填0.5m 厚10~100kg 块石并夯实形成基床，基床顶面高程315.35m。基床上安放一层实心方块。实心方块上部现浇钢筋混凝土胸墙，胸墙底高程为316.95m，顶高程为318.55m。墙后设置10~100kg抛石棱体，棱体后布设0.5m厚二片石+0.6m厚碎石倒滤层。倒滤层后侧回填开山石形成码头前沿区及后方陆域。后方陆域顶高程322.10m，设置2处5m宽1:2混凝土台阶踏步衔接前沿区。回填开山石顶面依次铺设一层120mm厚级配碎石（最大粒径≤50mm），一层80mm厚级配碎石（最大粒径≤30mm），一层30mm厚中粗砂和一层80mm厚高强联锁块形成面层结构。为满足不同水位上下船舶，设置1.2m宽1:1.5台阶，台阶设置成高低台阶，外侧0.6m 为高台阶，内侧0.6m为低台阶。</w:t>
            </w:r>
          </w:p>
          <w:p w14:paraId="2CB7110E">
            <w:pPr>
              <w:spacing w:line="360" w:lineRule="auto"/>
              <w:ind w:firstLine="480" w:firstLineChars="200"/>
            </w:pPr>
            <w:r>
              <w:rPr>
                <w:rFonts w:hint="eastAsia"/>
              </w:rPr>
              <w:t>防撞设施采用D300×300×1500（1000）-3Z型橡胶护舷、150KN系船柱及系船环。为防止基床冲刷，在基床外侧5m范围内设置60~100kg块石护底。</w:t>
            </w:r>
          </w:p>
          <w:p w14:paraId="0AEABBE0">
            <w:pPr>
              <w:spacing w:line="360" w:lineRule="auto"/>
              <w:ind w:firstLine="480" w:firstLineChars="200"/>
            </w:pPr>
          </w:p>
          <w:p w14:paraId="18976700">
            <w:pPr>
              <w:spacing w:line="360" w:lineRule="auto"/>
              <w:jc w:val="center"/>
            </w:pPr>
            <w:r>
              <w:drawing>
                <wp:inline distT="0" distB="0" distL="0" distR="0">
                  <wp:extent cx="4791075" cy="2232025"/>
                  <wp:effectExtent l="0" t="0" r="0" b="0"/>
                  <wp:docPr id="1622279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79189"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99491" cy="2236054"/>
                          </a:xfrm>
                          <a:prstGeom prst="rect">
                            <a:avLst/>
                          </a:prstGeom>
                          <a:noFill/>
                          <a:ln>
                            <a:noFill/>
                          </a:ln>
                        </pic:spPr>
                      </pic:pic>
                    </a:graphicData>
                  </a:graphic>
                </wp:inline>
              </w:drawing>
            </w:r>
          </w:p>
          <w:p w14:paraId="3F198CED">
            <w:pPr>
              <w:spacing w:line="360" w:lineRule="auto"/>
              <w:jc w:val="center"/>
            </w:pPr>
            <w:r>
              <w:rPr>
                <w:rFonts w:hint="eastAsia"/>
                <w:b/>
                <w:bCs/>
              </w:rPr>
              <w:t>图3     低水段工作码头实心方块结构图</w:t>
            </w:r>
          </w:p>
          <w:p w14:paraId="036ECFB6">
            <w:pPr>
              <w:spacing w:line="360" w:lineRule="auto"/>
              <w:ind w:firstLine="480" w:firstLineChars="200"/>
            </w:pPr>
          </w:p>
          <w:p w14:paraId="1A7CDF9F">
            <w:pPr>
              <w:spacing w:line="360" w:lineRule="auto"/>
              <w:ind w:firstLine="480" w:firstLineChars="200"/>
            </w:pPr>
            <w:r>
              <w:rPr>
                <w:rFonts w:hint="eastAsia"/>
              </w:rPr>
              <w:t>（3）作业区码头结构</w:t>
            </w:r>
          </w:p>
          <w:p w14:paraId="285AB074">
            <w:pPr>
              <w:spacing w:line="360" w:lineRule="auto"/>
              <w:ind w:firstLine="480" w:firstLineChars="200"/>
            </w:pPr>
            <w:r>
              <w:rPr>
                <w:rFonts w:hint="eastAsia"/>
              </w:rPr>
              <w:t>作业区码头总长103.5m，顶高程322.10m，前沿底高程315.60m。</w:t>
            </w:r>
          </w:p>
          <w:p w14:paraId="62370ED5">
            <w:pPr>
              <w:spacing w:line="360" w:lineRule="auto"/>
              <w:ind w:firstLine="480" w:firstLineChars="200"/>
            </w:pPr>
            <w:r>
              <w:rPr>
                <w:rFonts w:hint="eastAsia"/>
              </w:rPr>
              <w:t>主体结构为实心方块结构，泥面开挖至315.10m后抛填0.5m厚10~100kg块石并夯实形成基床，基床顶面高程315.60m。基床上安放两层实心方块，上下层方块错缝安装。实心方块上部现浇钢筋混凝土胸墙，胸墙底高程为318.80m，顶高程为322.10m，宽3.30m。墙后设置10~100kg 抛石棱体，棱体后布设0.5m厚二片石+0.6m厚碎石倒滤层，倒滤层后侧回填开山石形成陆域。回填开山石顶面依次铺设一层120mm厚级配碎石（最大粒径≤50mm），一层80mm厚级配碎石（最大粒径≤50mm），一层30mm厚中粗砂和一层80mm厚C60联锁块形成面层结构。为满足低水位上下船舶，设置1.2m宽1:1.5台阶，台阶设置成高低台阶，外侧0.6m为高台阶，内侧0.6m为低台阶。为防止基床冲刷，在基床外侧5m范围内设置60~100kg块石护底。同时在作业区码头上游端部处设置护边角钢，防止流冰损坏码头端部。</w:t>
            </w:r>
          </w:p>
          <w:p w14:paraId="56574BCC">
            <w:pPr>
              <w:spacing w:line="360" w:lineRule="auto"/>
              <w:ind w:firstLine="480" w:firstLineChars="200"/>
            </w:pPr>
            <w:r>
              <w:rPr>
                <w:rFonts w:hint="eastAsia"/>
              </w:rPr>
              <w:t>防撞设施采用D300×300×1500（1000）型橡胶护舷、150KN系船柱及系船环。</w:t>
            </w:r>
          </w:p>
          <w:p w14:paraId="67E541E6">
            <w:pPr>
              <w:spacing w:line="360" w:lineRule="auto"/>
              <w:ind w:firstLine="480" w:firstLineChars="200"/>
            </w:pPr>
          </w:p>
          <w:p w14:paraId="79A0FCBA">
            <w:pPr>
              <w:spacing w:line="360" w:lineRule="auto"/>
              <w:ind w:firstLine="480" w:firstLineChars="200"/>
            </w:pPr>
          </w:p>
          <w:p w14:paraId="2B53E816">
            <w:pPr>
              <w:spacing w:line="360" w:lineRule="auto"/>
            </w:pPr>
            <w:r>
              <w:rPr>
                <w:rFonts w:hint="eastAsia"/>
              </w:rPr>
              <w:drawing>
                <wp:inline distT="0" distB="0" distL="0" distR="0">
                  <wp:extent cx="4834890" cy="2125980"/>
                  <wp:effectExtent l="0" t="0" r="3810" b="7620"/>
                  <wp:docPr id="19826186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18687"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40267" cy="2128179"/>
                          </a:xfrm>
                          <a:prstGeom prst="rect">
                            <a:avLst/>
                          </a:prstGeom>
                          <a:noFill/>
                          <a:ln>
                            <a:noFill/>
                          </a:ln>
                        </pic:spPr>
                      </pic:pic>
                    </a:graphicData>
                  </a:graphic>
                </wp:inline>
              </w:drawing>
            </w:r>
          </w:p>
          <w:p w14:paraId="5F8FB127">
            <w:pPr>
              <w:spacing w:line="360" w:lineRule="auto"/>
              <w:jc w:val="center"/>
              <w:rPr>
                <w:b/>
                <w:bCs/>
              </w:rPr>
            </w:pPr>
            <w:r>
              <w:rPr>
                <w:rFonts w:hint="eastAsia"/>
                <w:b/>
                <w:bCs/>
              </w:rPr>
              <w:t>图4       码头作业区实心方块结构图</w:t>
            </w:r>
          </w:p>
          <w:p w14:paraId="64389C18">
            <w:pPr>
              <w:spacing w:line="360" w:lineRule="auto"/>
              <w:ind w:firstLine="480" w:firstLineChars="200"/>
            </w:pPr>
          </w:p>
          <w:p w14:paraId="44019EF4">
            <w:pPr>
              <w:spacing w:line="360" w:lineRule="auto"/>
              <w:ind w:firstLine="480" w:firstLineChars="200"/>
            </w:pPr>
            <w:r>
              <w:rPr>
                <w:rFonts w:hint="eastAsia"/>
              </w:rPr>
              <w:t>（4）船舶上岸维护滑道</w:t>
            </w:r>
          </w:p>
          <w:p w14:paraId="1E013B1B">
            <w:pPr>
              <w:spacing w:line="360" w:lineRule="auto"/>
              <w:ind w:firstLine="480" w:firstLineChars="200"/>
            </w:pPr>
            <w:r>
              <w:rPr>
                <w:rFonts w:hint="eastAsia"/>
              </w:rPr>
              <w:t>船舶上岸维护滑道总长69m，总宽13m，顶高程322.10m，底高程315.20m；滑道坡面选用水泥混凝土大板结构，结构层依次为300mmC30F300混凝土、300mm水泥稳定碎石、180mm12%石灰稳定土，结构层下方回填卵砾石。坡道两侧为挡墙，挡墙结构结合滑道高程采用预制混凝土方块结构和现浇混凝土挡墙结合型式，滑道末端结构断面形式与直立式护岸相同。</w:t>
            </w:r>
          </w:p>
          <w:p w14:paraId="152D295A">
            <w:pPr>
              <w:spacing w:line="360" w:lineRule="auto"/>
              <w:ind w:firstLine="480" w:firstLineChars="200"/>
            </w:pPr>
          </w:p>
          <w:p w14:paraId="61C78D56">
            <w:pPr>
              <w:spacing w:line="360" w:lineRule="auto"/>
            </w:pPr>
            <w:r>
              <w:drawing>
                <wp:inline distT="0" distB="0" distL="0" distR="0">
                  <wp:extent cx="4849495" cy="1640840"/>
                  <wp:effectExtent l="0" t="0" r="8255" b="0"/>
                  <wp:docPr id="8564568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56892"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58165" cy="1644149"/>
                          </a:xfrm>
                          <a:prstGeom prst="rect">
                            <a:avLst/>
                          </a:prstGeom>
                          <a:noFill/>
                          <a:ln>
                            <a:noFill/>
                          </a:ln>
                        </pic:spPr>
                      </pic:pic>
                    </a:graphicData>
                  </a:graphic>
                </wp:inline>
              </w:drawing>
            </w:r>
          </w:p>
          <w:p w14:paraId="1249A947">
            <w:pPr>
              <w:spacing w:line="360" w:lineRule="auto"/>
              <w:jc w:val="center"/>
              <w:rPr>
                <w:b/>
                <w:bCs/>
              </w:rPr>
            </w:pPr>
            <w:r>
              <w:rPr>
                <w:rFonts w:hint="eastAsia"/>
                <w:b/>
                <w:bCs/>
              </w:rPr>
              <w:t>图5      船舶上岸维护滑道平面图</w:t>
            </w:r>
          </w:p>
          <w:p w14:paraId="55C7F96C">
            <w:pPr>
              <w:spacing w:line="360" w:lineRule="auto"/>
              <w:jc w:val="center"/>
              <w:rPr>
                <w:b/>
                <w:bCs/>
              </w:rPr>
            </w:pPr>
          </w:p>
          <w:p w14:paraId="42FF53DA">
            <w:pPr>
              <w:spacing w:line="360" w:lineRule="auto"/>
              <w:jc w:val="center"/>
              <w:rPr>
                <w:b/>
                <w:bCs/>
              </w:rPr>
            </w:pPr>
          </w:p>
          <w:p w14:paraId="42C735F1">
            <w:pPr>
              <w:spacing w:line="360" w:lineRule="auto"/>
              <w:jc w:val="center"/>
              <w:rPr>
                <w:b/>
                <w:bCs/>
              </w:rPr>
            </w:pPr>
          </w:p>
          <w:p w14:paraId="4EAE4841">
            <w:pPr>
              <w:spacing w:line="360" w:lineRule="auto"/>
              <w:jc w:val="center"/>
              <w:rPr>
                <w:b/>
                <w:bCs/>
              </w:rPr>
            </w:pPr>
          </w:p>
          <w:p w14:paraId="3E1394DE">
            <w:pPr>
              <w:spacing w:line="360" w:lineRule="auto"/>
            </w:pPr>
            <w:r>
              <w:drawing>
                <wp:inline distT="0" distB="0" distL="0" distR="0">
                  <wp:extent cx="4881880" cy="1952625"/>
                  <wp:effectExtent l="0" t="0" r="0" b="9525"/>
                  <wp:docPr id="5690130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3056"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98031" cy="1959449"/>
                          </a:xfrm>
                          <a:prstGeom prst="rect">
                            <a:avLst/>
                          </a:prstGeom>
                          <a:noFill/>
                          <a:ln>
                            <a:noFill/>
                          </a:ln>
                        </pic:spPr>
                      </pic:pic>
                    </a:graphicData>
                  </a:graphic>
                </wp:inline>
              </w:drawing>
            </w:r>
          </w:p>
          <w:p w14:paraId="718480BE">
            <w:pPr>
              <w:spacing w:line="360" w:lineRule="auto"/>
              <w:jc w:val="center"/>
              <w:rPr>
                <w:b/>
                <w:bCs/>
              </w:rPr>
            </w:pPr>
            <w:r>
              <w:rPr>
                <w:rFonts w:hint="eastAsia"/>
                <w:b/>
                <w:bCs/>
              </w:rPr>
              <w:t>图6     船舶上岸维护滑道剖面图</w:t>
            </w:r>
          </w:p>
          <w:p w14:paraId="6CA54ECE">
            <w:pPr>
              <w:spacing w:line="360" w:lineRule="auto"/>
              <w:ind w:firstLine="480" w:firstLineChars="200"/>
            </w:pPr>
          </w:p>
          <w:p w14:paraId="19399BA0">
            <w:pPr>
              <w:spacing w:line="360" w:lineRule="auto"/>
            </w:pPr>
            <w:r>
              <w:drawing>
                <wp:inline distT="0" distB="0" distL="0" distR="0">
                  <wp:extent cx="4805680" cy="3258820"/>
                  <wp:effectExtent l="0" t="0" r="0" b="0"/>
                  <wp:docPr id="1280411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11636"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2332" cy="3263649"/>
                          </a:xfrm>
                          <a:prstGeom prst="rect">
                            <a:avLst/>
                          </a:prstGeom>
                          <a:noFill/>
                          <a:ln>
                            <a:noFill/>
                          </a:ln>
                        </pic:spPr>
                      </pic:pic>
                    </a:graphicData>
                  </a:graphic>
                </wp:inline>
              </w:drawing>
            </w:r>
          </w:p>
          <w:p w14:paraId="682F7F2E">
            <w:pPr>
              <w:spacing w:line="360" w:lineRule="auto"/>
              <w:jc w:val="center"/>
              <w:rPr>
                <w:b/>
                <w:bCs/>
              </w:rPr>
            </w:pPr>
            <w:r>
              <w:rPr>
                <w:rFonts w:hint="eastAsia"/>
                <w:b/>
                <w:bCs/>
              </w:rPr>
              <w:t>图7      船舶上岸维护滑道挡墙断面图</w:t>
            </w:r>
          </w:p>
          <w:p w14:paraId="1DD3E0B4">
            <w:pPr>
              <w:spacing w:line="360" w:lineRule="auto"/>
              <w:ind w:firstLine="480" w:firstLineChars="200"/>
            </w:pPr>
            <w:r>
              <w:rPr>
                <w:rFonts w:hint="eastAsia"/>
              </w:rPr>
              <w:t>（5）护岸工程</w:t>
            </w:r>
          </w:p>
          <w:p w14:paraId="053F6BFD">
            <w:pPr>
              <w:spacing w:line="360" w:lineRule="auto"/>
              <w:ind w:firstLine="480" w:firstLineChars="200"/>
            </w:pPr>
            <w:r>
              <w:rPr>
                <w:rFonts w:hint="eastAsia"/>
              </w:rPr>
              <w:t>护岸工程总长度约156.4m，其中南侧直立式护岸长度64m，北侧斜坡式护岸长度92.4m。考虑到工程区域地质条件较好，重力式结构形式比较适合，直立式护岸本阶段拟采用实心方块结构方案。</w:t>
            </w:r>
          </w:p>
          <w:p w14:paraId="0C22EB93">
            <w:pPr>
              <w:spacing w:line="360" w:lineRule="auto"/>
              <w:ind w:firstLine="480" w:firstLineChars="200"/>
            </w:pPr>
            <w:r>
              <w:rPr>
                <w:rFonts w:hint="eastAsia"/>
              </w:rPr>
              <w:t>①南侧直立式护岸结构</w:t>
            </w:r>
          </w:p>
          <w:p w14:paraId="5C19E765">
            <w:pPr>
              <w:spacing w:line="360" w:lineRule="auto"/>
              <w:ind w:firstLine="480" w:firstLineChars="200"/>
            </w:pPr>
            <w:r>
              <w:rPr>
                <w:rFonts w:hint="eastAsia"/>
              </w:rPr>
              <w:t>主体结构为实心方块结构， 泥面开挖至314.70m后抛填0.5m厚10~100kg块石并夯实形成基床，基床顶面高程315.20m。基床上安放两层实心方块，各层方块错缝安装。实心方块上部现浇钢筋混凝土胸墙，胸墙底高程为318.40m，顶高程为322.10m，顶宽2.0m，底宽3.0m。墙后设置10~100kg抛石棱体，棱体后布设0.5m厚二片石+0.6m 厚碎石倒滤层。倒滤层后侧回填开山石形成码头前沿区及后方陆域。回填开山石顶面依次铺设一层120mm厚级配碎石（最大粒径≤50mm），一层80mm厚级配碎石（最大粒径≤50mm），一层30mm厚中粗砂和一层80mm厚高强联锁块形成面层结构。</w:t>
            </w:r>
          </w:p>
          <w:p w14:paraId="6521F7BD">
            <w:pPr>
              <w:spacing w:line="360" w:lineRule="auto"/>
            </w:pPr>
            <w:r>
              <w:drawing>
                <wp:inline distT="0" distB="0" distL="0" distR="0">
                  <wp:extent cx="4842510" cy="2461260"/>
                  <wp:effectExtent l="0" t="0" r="0" b="0"/>
                  <wp:docPr id="8944819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81975"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58650" cy="2469745"/>
                          </a:xfrm>
                          <a:prstGeom prst="rect">
                            <a:avLst/>
                          </a:prstGeom>
                          <a:noFill/>
                          <a:ln>
                            <a:noFill/>
                          </a:ln>
                        </pic:spPr>
                      </pic:pic>
                    </a:graphicData>
                  </a:graphic>
                </wp:inline>
              </w:drawing>
            </w:r>
          </w:p>
          <w:p w14:paraId="5DCD5B31">
            <w:pPr>
              <w:spacing w:line="360" w:lineRule="auto"/>
              <w:jc w:val="center"/>
              <w:rPr>
                <w:b/>
                <w:bCs/>
              </w:rPr>
            </w:pPr>
            <w:r>
              <w:rPr>
                <w:rFonts w:hint="eastAsia"/>
                <w:b/>
                <w:bCs/>
              </w:rPr>
              <w:t>图8      南侧直立式护岸结构图</w:t>
            </w:r>
          </w:p>
          <w:p w14:paraId="64181A2C">
            <w:pPr>
              <w:spacing w:line="360" w:lineRule="auto"/>
              <w:ind w:firstLine="480" w:firstLineChars="200"/>
            </w:pPr>
          </w:p>
          <w:p w14:paraId="481D768A">
            <w:pPr>
              <w:spacing w:line="360" w:lineRule="auto"/>
              <w:ind w:firstLine="480" w:firstLineChars="200"/>
            </w:pPr>
            <w:r>
              <w:rPr>
                <w:rFonts w:hint="eastAsia"/>
              </w:rPr>
              <w:t>②北侧斜坡式护岸结构</w:t>
            </w:r>
          </w:p>
          <w:p w14:paraId="405B201C">
            <w:pPr>
              <w:spacing w:line="360" w:lineRule="auto"/>
              <w:ind w:firstLine="480" w:firstLineChars="200"/>
            </w:pPr>
            <w:r>
              <w:rPr>
                <w:rFonts w:hint="eastAsia"/>
              </w:rPr>
              <w:t>北侧护岸采用斜坡式结构方案，综合工程建设条件、防洪堤的稳定性以及水利上护堤地的要求。护坡坡度为1:3，坡面结构由外至内依次为：300mm厚干砌块石护面、300mm厚碎石垫层，同时在设置脚槽护脚。</w:t>
            </w:r>
          </w:p>
          <w:p w14:paraId="4762D10A">
            <w:pPr>
              <w:spacing w:line="360" w:lineRule="auto"/>
              <w:ind w:firstLine="480" w:firstLineChars="200"/>
            </w:pPr>
          </w:p>
          <w:p w14:paraId="6682FE68">
            <w:pPr>
              <w:spacing w:line="360" w:lineRule="auto"/>
            </w:pPr>
            <w:r>
              <w:drawing>
                <wp:inline distT="0" distB="0" distL="0" distR="0">
                  <wp:extent cx="4827905" cy="1809750"/>
                  <wp:effectExtent l="0" t="0" r="0" b="0"/>
                  <wp:docPr id="19876415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41543"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42587" cy="1815824"/>
                          </a:xfrm>
                          <a:prstGeom prst="rect">
                            <a:avLst/>
                          </a:prstGeom>
                          <a:noFill/>
                          <a:ln>
                            <a:noFill/>
                          </a:ln>
                        </pic:spPr>
                      </pic:pic>
                    </a:graphicData>
                  </a:graphic>
                </wp:inline>
              </w:drawing>
            </w:r>
          </w:p>
          <w:p w14:paraId="1AA5FB1E">
            <w:pPr>
              <w:spacing w:line="360" w:lineRule="auto"/>
              <w:jc w:val="center"/>
              <w:rPr>
                <w:b/>
                <w:bCs/>
              </w:rPr>
            </w:pPr>
            <w:r>
              <w:rPr>
                <w:rFonts w:hint="eastAsia"/>
                <w:b/>
                <w:bCs/>
              </w:rPr>
              <w:t>图9     北侧斜坡式护岸结构图</w:t>
            </w:r>
          </w:p>
          <w:p w14:paraId="3C5B6F89">
            <w:pPr>
              <w:spacing w:line="360" w:lineRule="auto"/>
              <w:ind w:firstLine="480" w:firstLineChars="200"/>
            </w:pPr>
            <w:r>
              <w:rPr>
                <w:rFonts w:hint="eastAsia"/>
              </w:rPr>
              <w:t>（6）防撞设施</w:t>
            </w:r>
          </w:p>
          <w:p w14:paraId="1EE667AD">
            <w:pPr>
              <w:spacing w:line="360" w:lineRule="auto"/>
              <w:ind w:firstLine="480" w:firstLineChars="200"/>
            </w:pPr>
            <w:r>
              <w:rPr>
                <w:rFonts w:hint="eastAsia"/>
              </w:rPr>
              <w:t>为避免港池内船舶碰撞港池西侧公路挡墙，港池内增加船舶防撞桩。防撞桩采用直径600mm钢管桩壁厚20mm，桩长9.0m，间距6m。</w:t>
            </w:r>
          </w:p>
          <w:p w14:paraId="18A19BA2">
            <w:pPr>
              <w:spacing w:line="360" w:lineRule="auto"/>
              <w:ind w:firstLine="480" w:firstLineChars="200"/>
            </w:pPr>
            <w:r>
              <w:rPr>
                <w:rFonts w:hint="eastAsia"/>
              </w:rPr>
              <w:t>7、主要工程量</w:t>
            </w:r>
          </w:p>
          <w:p w14:paraId="4ECE4504">
            <w:pPr>
              <w:spacing w:line="360" w:lineRule="auto"/>
              <w:ind w:firstLine="482" w:firstLineChars="200"/>
            </w:pPr>
            <w:r>
              <w:rPr>
                <w:rFonts w:hint="eastAsia"/>
                <w:b/>
                <w:bCs/>
                <w:u w:val="single"/>
              </w:rPr>
              <w:t>本项目各施工材料除部分回填石方来自于本工程自身挖方以外，其余材料均自当地市场购入。</w:t>
            </w:r>
            <w:r>
              <w:rPr>
                <w:rFonts w:hint="eastAsia"/>
              </w:rPr>
              <w:t>本工程主要工程量如下表所示：</w:t>
            </w:r>
          </w:p>
          <w:p w14:paraId="2D77D964">
            <w:pPr>
              <w:spacing w:line="360" w:lineRule="auto"/>
              <w:jc w:val="center"/>
              <w:rPr>
                <w:b/>
                <w:bCs/>
              </w:rPr>
            </w:pPr>
            <w:r>
              <w:rPr>
                <w:rFonts w:hint="eastAsia"/>
                <w:b/>
                <w:bCs/>
              </w:rPr>
              <w:t>表17       本工程主要工程量一览表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676"/>
              <w:gridCol w:w="706"/>
              <w:gridCol w:w="899"/>
              <w:gridCol w:w="2638"/>
            </w:tblGrid>
            <w:tr w14:paraId="2D342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642AB61B">
                  <w:pPr>
                    <w:jc w:val="center"/>
                    <w:rPr>
                      <w:rFonts w:cs="Times New Roman"/>
                      <w:b/>
                      <w:bCs/>
                      <w:kern w:val="0"/>
                      <w:sz w:val="21"/>
                      <w:szCs w:val="21"/>
                    </w:rPr>
                  </w:pPr>
                  <w:r>
                    <w:rPr>
                      <w:rFonts w:hint="eastAsia" w:cs="Times New Roman"/>
                      <w:b/>
                      <w:bCs/>
                      <w:kern w:val="0"/>
                      <w:sz w:val="21"/>
                      <w:szCs w:val="21"/>
                    </w:rPr>
                    <w:t>序号</w:t>
                  </w:r>
                </w:p>
              </w:tc>
              <w:tc>
                <w:tcPr>
                  <w:tcW w:w="2676" w:type="dxa"/>
                  <w:vAlign w:val="center"/>
                </w:tcPr>
                <w:p w14:paraId="559908BE">
                  <w:pPr>
                    <w:jc w:val="center"/>
                    <w:rPr>
                      <w:rFonts w:cs="Times New Roman"/>
                      <w:b/>
                      <w:bCs/>
                      <w:kern w:val="0"/>
                      <w:sz w:val="21"/>
                      <w:szCs w:val="21"/>
                    </w:rPr>
                  </w:pPr>
                  <w:r>
                    <w:rPr>
                      <w:rFonts w:hint="eastAsia" w:cs="Times New Roman"/>
                      <w:b/>
                      <w:bCs/>
                      <w:kern w:val="0"/>
                      <w:sz w:val="21"/>
                      <w:szCs w:val="21"/>
                    </w:rPr>
                    <w:t>项目</w:t>
                  </w:r>
                </w:p>
              </w:tc>
              <w:tc>
                <w:tcPr>
                  <w:tcW w:w="706" w:type="dxa"/>
                  <w:vAlign w:val="center"/>
                </w:tcPr>
                <w:p w14:paraId="6AF1402E">
                  <w:pPr>
                    <w:jc w:val="center"/>
                    <w:rPr>
                      <w:rFonts w:cs="Times New Roman"/>
                      <w:b/>
                      <w:bCs/>
                      <w:kern w:val="0"/>
                      <w:sz w:val="21"/>
                      <w:szCs w:val="21"/>
                    </w:rPr>
                  </w:pPr>
                  <w:r>
                    <w:rPr>
                      <w:rFonts w:hint="eastAsia" w:cs="Times New Roman"/>
                      <w:b/>
                      <w:bCs/>
                      <w:kern w:val="0"/>
                      <w:sz w:val="21"/>
                      <w:szCs w:val="21"/>
                    </w:rPr>
                    <w:t>单位</w:t>
                  </w:r>
                </w:p>
              </w:tc>
              <w:tc>
                <w:tcPr>
                  <w:tcW w:w="899" w:type="dxa"/>
                  <w:vAlign w:val="center"/>
                </w:tcPr>
                <w:p w14:paraId="443818C6">
                  <w:pPr>
                    <w:jc w:val="center"/>
                    <w:rPr>
                      <w:rFonts w:cs="Times New Roman"/>
                      <w:b/>
                      <w:bCs/>
                      <w:kern w:val="0"/>
                      <w:sz w:val="21"/>
                      <w:szCs w:val="21"/>
                    </w:rPr>
                  </w:pPr>
                  <w:r>
                    <w:rPr>
                      <w:rFonts w:hint="eastAsia" w:cs="Times New Roman"/>
                      <w:b/>
                      <w:bCs/>
                      <w:kern w:val="0"/>
                      <w:sz w:val="21"/>
                      <w:szCs w:val="21"/>
                    </w:rPr>
                    <w:t>工程量</w:t>
                  </w:r>
                </w:p>
              </w:tc>
              <w:tc>
                <w:tcPr>
                  <w:tcW w:w="2638" w:type="dxa"/>
                  <w:vAlign w:val="center"/>
                </w:tcPr>
                <w:p w14:paraId="371B4BB5">
                  <w:pPr>
                    <w:jc w:val="center"/>
                    <w:rPr>
                      <w:rFonts w:cs="Times New Roman"/>
                      <w:b/>
                      <w:bCs/>
                      <w:kern w:val="0"/>
                      <w:sz w:val="21"/>
                      <w:szCs w:val="21"/>
                    </w:rPr>
                  </w:pPr>
                  <w:r>
                    <w:rPr>
                      <w:rFonts w:hint="eastAsia" w:cs="Times New Roman"/>
                      <w:b/>
                      <w:bCs/>
                      <w:kern w:val="0"/>
                      <w:sz w:val="21"/>
                      <w:szCs w:val="21"/>
                    </w:rPr>
                    <w:t>备注</w:t>
                  </w:r>
                </w:p>
              </w:tc>
            </w:tr>
            <w:tr w14:paraId="401FA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7" w:type="dxa"/>
                  <w:gridSpan w:val="5"/>
                  <w:vAlign w:val="center"/>
                </w:tcPr>
                <w:p w14:paraId="3018BD37">
                  <w:pPr>
                    <w:jc w:val="center"/>
                    <w:rPr>
                      <w:rFonts w:cs="Times New Roman"/>
                      <w:b/>
                      <w:bCs/>
                      <w:kern w:val="0"/>
                      <w:sz w:val="21"/>
                      <w:szCs w:val="21"/>
                    </w:rPr>
                  </w:pPr>
                  <w:r>
                    <w:rPr>
                      <w:rFonts w:hint="eastAsia" w:cs="Times New Roman"/>
                      <w:b/>
                      <w:bCs/>
                      <w:kern w:val="0"/>
                      <w:sz w:val="21"/>
                      <w:szCs w:val="21"/>
                    </w:rPr>
                    <w:t>防冰突堤实心方块结构工程</w:t>
                  </w:r>
                </w:p>
              </w:tc>
            </w:tr>
            <w:tr w14:paraId="3F9E5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A49AB97">
                  <w:pPr>
                    <w:jc w:val="center"/>
                    <w:rPr>
                      <w:rFonts w:cs="Times New Roman"/>
                      <w:kern w:val="0"/>
                      <w:sz w:val="21"/>
                      <w:szCs w:val="21"/>
                    </w:rPr>
                  </w:pPr>
                  <w:r>
                    <w:rPr>
                      <w:rFonts w:hint="eastAsia" w:cs="Times New Roman"/>
                      <w:kern w:val="0"/>
                      <w:sz w:val="21"/>
                      <w:szCs w:val="21"/>
                    </w:rPr>
                    <w:t>1</w:t>
                  </w:r>
                </w:p>
              </w:tc>
              <w:tc>
                <w:tcPr>
                  <w:tcW w:w="2676" w:type="dxa"/>
                  <w:vAlign w:val="center"/>
                </w:tcPr>
                <w:p w14:paraId="17487030">
                  <w:pPr>
                    <w:jc w:val="center"/>
                    <w:rPr>
                      <w:rFonts w:cs="Times New Roman"/>
                      <w:kern w:val="0"/>
                      <w:sz w:val="21"/>
                      <w:szCs w:val="21"/>
                    </w:rPr>
                  </w:pPr>
                  <w:r>
                    <w:rPr>
                      <w:rFonts w:hint="eastAsia" w:cs="Times New Roman"/>
                      <w:kern w:val="0"/>
                      <w:sz w:val="21"/>
                      <w:szCs w:val="21"/>
                    </w:rPr>
                    <w:t>现浇混凝土胸墙</w:t>
                  </w:r>
                </w:p>
              </w:tc>
              <w:tc>
                <w:tcPr>
                  <w:tcW w:w="706" w:type="dxa"/>
                  <w:vAlign w:val="center"/>
                </w:tcPr>
                <w:p w14:paraId="51049AFB">
                  <w:pPr>
                    <w:jc w:val="center"/>
                    <w:rPr>
                      <w:rFonts w:cs="Times New Roman"/>
                      <w:kern w:val="0"/>
                      <w:sz w:val="21"/>
                      <w:szCs w:val="21"/>
                    </w:rPr>
                  </w:pPr>
                  <w:r>
                    <w:rPr>
                      <w:rFonts w:hint="eastAsia" w:cs="Times New Roman"/>
                      <w:kern w:val="0"/>
                      <w:sz w:val="21"/>
                      <w:szCs w:val="21"/>
                    </w:rPr>
                    <w:t>m³</w:t>
                  </w:r>
                </w:p>
              </w:tc>
              <w:tc>
                <w:tcPr>
                  <w:tcW w:w="899" w:type="dxa"/>
                  <w:vAlign w:val="center"/>
                </w:tcPr>
                <w:p w14:paraId="38BA7C34">
                  <w:pPr>
                    <w:jc w:val="center"/>
                    <w:rPr>
                      <w:rFonts w:cs="Times New Roman"/>
                      <w:kern w:val="0"/>
                      <w:sz w:val="21"/>
                      <w:szCs w:val="21"/>
                    </w:rPr>
                  </w:pPr>
                  <w:r>
                    <w:rPr>
                      <w:rFonts w:hint="eastAsia" w:cs="Times New Roman"/>
                      <w:kern w:val="0"/>
                      <w:sz w:val="21"/>
                      <w:szCs w:val="21"/>
                    </w:rPr>
                    <w:t>783.77</w:t>
                  </w:r>
                </w:p>
              </w:tc>
              <w:tc>
                <w:tcPr>
                  <w:tcW w:w="2638" w:type="dxa"/>
                  <w:vAlign w:val="center"/>
                </w:tcPr>
                <w:p w14:paraId="653BBBBE">
                  <w:pPr>
                    <w:jc w:val="center"/>
                    <w:rPr>
                      <w:rFonts w:cs="Times New Roman"/>
                      <w:kern w:val="0"/>
                      <w:sz w:val="21"/>
                      <w:szCs w:val="21"/>
                    </w:rPr>
                  </w:pPr>
                  <w:r>
                    <w:rPr>
                      <w:rFonts w:hint="eastAsia" w:cs="Times New Roman"/>
                      <w:kern w:val="0"/>
                      <w:sz w:val="21"/>
                      <w:szCs w:val="21"/>
                    </w:rPr>
                    <w:t>C30F300</w:t>
                  </w:r>
                </w:p>
              </w:tc>
            </w:tr>
            <w:tr w14:paraId="7DDFA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restart"/>
                  <w:vAlign w:val="center"/>
                </w:tcPr>
                <w:p w14:paraId="38202CA0">
                  <w:pPr>
                    <w:jc w:val="center"/>
                    <w:rPr>
                      <w:rFonts w:cs="Times New Roman"/>
                      <w:kern w:val="0"/>
                      <w:sz w:val="21"/>
                      <w:szCs w:val="21"/>
                    </w:rPr>
                  </w:pPr>
                  <w:r>
                    <w:rPr>
                      <w:rFonts w:hint="eastAsia" w:cs="Times New Roman"/>
                      <w:kern w:val="0"/>
                      <w:sz w:val="21"/>
                      <w:szCs w:val="21"/>
                    </w:rPr>
                    <w:t>2</w:t>
                  </w:r>
                </w:p>
              </w:tc>
              <w:tc>
                <w:tcPr>
                  <w:tcW w:w="2676" w:type="dxa"/>
                  <w:vAlign w:val="center"/>
                </w:tcPr>
                <w:p w14:paraId="455CD50F">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15667F9C">
                  <w:pPr>
                    <w:jc w:val="center"/>
                    <w:rPr>
                      <w:rFonts w:cs="Times New Roman"/>
                      <w:kern w:val="0"/>
                      <w:sz w:val="21"/>
                      <w:szCs w:val="21"/>
                    </w:rPr>
                  </w:pPr>
                  <w:r>
                    <w:rPr>
                      <w:rFonts w:hint="eastAsia" w:cs="Times New Roman"/>
                      <w:kern w:val="0"/>
                      <w:sz w:val="21"/>
                      <w:szCs w:val="21"/>
                    </w:rPr>
                    <w:t>个</w:t>
                  </w:r>
                </w:p>
              </w:tc>
              <w:tc>
                <w:tcPr>
                  <w:tcW w:w="899" w:type="dxa"/>
                  <w:vAlign w:val="center"/>
                </w:tcPr>
                <w:p w14:paraId="183A5160">
                  <w:pPr>
                    <w:jc w:val="center"/>
                    <w:rPr>
                      <w:rFonts w:cs="Times New Roman"/>
                      <w:kern w:val="0"/>
                      <w:sz w:val="21"/>
                      <w:szCs w:val="21"/>
                    </w:rPr>
                  </w:pPr>
                  <w:r>
                    <w:rPr>
                      <w:rFonts w:hint="eastAsia" w:cs="Times New Roman"/>
                      <w:kern w:val="0"/>
                      <w:sz w:val="21"/>
                      <w:szCs w:val="21"/>
                    </w:rPr>
                    <w:t>30</w:t>
                  </w:r>
                </w:p>
              </w:tc>
              <w:tc>
                <w:tcPr>
                  <w:tcW w:w="2638" w:type="dxa"/>
                  <w:vMerge w:val="restart"/>
                  <w:vAlign w:val="center"/>
                </w:tcPr>
                <w:p w14:paraId="10509137">
                  <w:pPr>
                    <w:jc w:val="center"/>
                    <w:rPr>
                      <w:rFonts w:cs="Times New Roman"/>
                      <w:kern w:val="0"/>
                      <w:sz w:val="21"/>
                      <w:szCs w:val="21"/>
                    </w:rPr>
                  </w:pPr>
                  <w:r>
                    <w:rPr>
                      <w:rFonts w:hint="eastAsia" w:cs="Times New Roman"/>
                      <w:kern w:val="0"/>
                      <w:sz w:val="21"/>
                      <w:szCs w:val="21"/>
                    </w:rPr>
                    <w:t>C30F300，4m×3m×1.6m</w:t>
                  </w:r>
                </w:p>
              </w:tc>
            </w:tr>
            <w:tr w14:paraId="48363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90DA650">
                  <w:pPr>
                    <w:jc w:val="center"/>
                    <w:rPr>
                      <w:rFonts w:cs="Times New Roman"/>
                      <w:kern w:val="0"/>
                      <w:sz w:val="21"/>
                      <w:szCs w:val="21"/>
                    </w:rPr>
                  </w:pPr>
                </w:p>
              </w:tc>
              <w:tc>
                <w:tcPr>
                  <w:tcW w:w="2676" w:type="dxa"/>
                  <w:vAlign w:val="center"/>
                </w:tcPr>
                <w:p w14:paraId="6BB21204">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296A242F">
                  <w:pPr>
                    <w:jc w:val="center"/>
                    <w:rPr>
                      <w:rFonts w:cs="Times New Roman"/>
                      <w:kern w:val="0"/>
                      <w:sz w:val="21"/>
                      <w:szCs w:val="21"/>
                    </w:rPr>
                  </w:pPr>
                  <w:r>
                    <w:rPr>
                      <w:rFonts w:hint="eastAsia" w:cs="Times New Roman"/>
                      <w:kern w:val="0"/>
                      <w:sz w:val="21"/>
                      <w:szCs w:val="21"/>
                    </w:rPr>
                    <w:t>m³</w:t>
                  </w:r>
                </w:p>
              </w:tc>
              <w:tc>
                <w:tcPr>
                  <w:tcW w:w="899" w:type="dxa"/>
                  <w:vAlign w:val="center"/>
                </w:tcPr>
                <w:p w14:paraId="67FAD4F2">
                  <w:pPr>
                    <w:jc w:val="center"/>
                    <w:rPr>
                      <w:rFonts w:cs="Times New Roman"/>
                      <w:kern w:val="0"/>
                      <w:sz w:val="21"/>
                      <w:szCs w:val="21"/>
                    </w:rPr>
                  </w:pPr>
                  <w:r>
                    <w:rPr>
                      <w:rFonts w:hint="eastAsia" w:cs="Times New Roman"/>
                      <w:kern w:val="0"/>
                      <w:sz w:val="21"/>
                      <w:szCs w:val="21"/>
                    </w:rPr>
                    <w:t>576.00</w:t>
                  </w:r>
                </w:p>
              </w:tc>
              <w:tc>
                <w:tcPr>
                  <w:tcW w:w="2638" w:type="dxa"/>
                  <w:vMerge w:val="continue"/>
                  <w:vAlign w:val="center"/>
                </w:tcPr>
                <w:p w14:paraId="1CC838C2">
                  <w:pPr>
                    <w:jc w:val="center"/>
                    <w:rPr>
                      <w:rFonts w:cs="Times New Roman"/>
                      <w:kern w:val="0"/>
                      <w:sz w:val="21"/>
                      <w:szCs w:val="21"/>
                    </w:rPr>
                  </w:pPr>
                </w:p>
              </w:tc>
            </w:tr>
            <w:tr w14:paraId="4611E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25286D7">
                  <w:pPr>
                    <w:jc w:val="center"/>
                    <w:rPr>
                      <w:rFonts w:cs="Times New Roman"/>
                      <w:kern w:val="0"/>
                      <w:sz w:val="21"/>
                      <w:szCs w:val="21"/>
                    </w:rPr>
                  </w:pPr>
                </w:p>
              </w:tc>
              <w:tc>
                <w:tcPr>
                  <w:tcW w:w="2676" w:type="dxa"/>
                  <w:vAlign w:val="center"/>
                </w:tcPr>
                <w:p w14:paraId="130BDA9F">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48CECA8C">
                  <w:pPr>
                    <w:jc w:val="center"/>
                    <w:rPr>
                      <w:rFonts w:cs="Times New Roman"/>
                      <w:kern w:val="0"/>
                      <w:sz w:val="21"/>
                      <w:szCs w:val="21"/>
                    </w:rPr>
                  </w:pPr>
                  <w:r>
                    <w:rPr>
                      <w:rFonts w:hint="eastAsia" w:cs="Times New Roman"/>
                      <w:kern w:val="0"/>
                      <w:sz w:val="21"/>
                      <w:szCs w:val="21"/>
                    </w:rPr>
                    <w:t>个</w:t>
                  </w:r>
                </w:p>
              </w:tc>
              <w:tc>
                <w:tcPr>
                  <w:tcW w:w="899" w:type="dxa"/>
                  <w:vAlign w:val="center"/>
                </w:tcPr>
                <w:p w14:paraId="403D2CF5">
                  <w:pPr>
                    <w:jc w:val="center"/>
                    <w:rPr>
                      <w:rFonts w:cs="Times New Roman"/>
                      <w:kern w:val="0"/>
                      <w:sz w:val="21"/>
                      <w:szCs w:val="21"/>
                    </w:rPr>
                  </w:pPr>
                  <w:r>
                    <w:rPr>
                      <w:rFonts w:hint="eastAsia" w:cs="Times New Roman"/>
                      <w:kern w:val="0"/>
                      <w:sz w:val="21"/>
                      <w:szCs w:val="21"/>
                    </w:rPr>
                    <w:t>14</w:t>
                  </w:r>
                </w:p>
              </w:tc>
              <w:tc>
                <w:tcPr>
                  <w:tcW w:w="2638" w:type="dxa"/>
                  <w:vMerge w:val="restart"/>
                  <w:vAlign w:val="center"/>
                </w:tcPr>
                <w:p w14:paraId="05F29384">
                  <w:pPr>
                    <w:jc w:val="center"/>
                    <w:rPr>
                      <w:rFonts w:cs="Times New Roman"/>
                      <w:kern w:val="0"/>
                      <w:sz w:val="21"/>
                      <w:szCs w:val="21"/>
                    </w:rPr>
                  </w:pPr>
                  <w:r>
                    <w:rPr>
                      <w:rFonts w:hint="eastAsia" w:cs="Times New Roman"/>
                      <w:kern w:val="0"/>
                      <w:sz w:val="21"/>
                      <w:szCs w:val="21"/>
                    </w:rPr>
                    <w:t>C30F300，4m×2m×1.6m</w:t>
                  </w:r>
                </w:p>
              </w:tc>
            </w:tr>
            <w:tr w14:paraId="4CBF8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36E36ABD">
                  <w:pPr>
                    <w:jc w:val="center"/>
                    <w:rPr>
                      <w:rFonts w:cs="Times New Roman"/>
                      <w:kern w:val="0"/>
                      <w:sz w:val="21"/>
                      <w:szCs w:val="21"/>
                    </w:rPr>
                  </w:pPr>
                </w:p>
              </w:tc>
              <w:tc>
                <w:tcPr>
                  <w:tcW w:w="2676" w:type="dxa"/>
                  <w:vAlign w:val="center"/>
                </w:tcPr>
                <w:p w14:paraId="4D829DDD">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26EF12E2">
                  <w:pPr>
                    <w:jc w:val="center"/>
                    <w:rPr>
                      <w:rFonts w:cs="Times New Roman"/>
                      <w:kern w:val="0"/>
                      <w:sz w:val="21"/>
                      <w:szCs w:val="21"/>
                    </w:rPr>
                  </w:pPr>
                  <w:r>
                    <w:rPr>
                      <w:rFonts w:hint="eastAsia" w:cs="Times New Roman"/>
                      <w:kern w:val="0"/>
                      <w:sz w:val="21"/>
                      <w:szCs w:val="21"/>
                    </w:rPr>
                    <w:t>m³</w:t>
                  </w:r>
                </w:p>
              </w:tc>
              <w:tc>
                <w:tcPr>
                  <w:tcW w:w="899" w:type="dxa"/>
                  <w:vAlign w:val="center"/>
                </w:tcPr>
                <w:p w14:paraId="3CB43BA6">
                  <w:pPr>
                    <w:jc w:val="center"/>
                    <w:rPr>
                      <w:rFonts w:cs="Times New Roman"/>
                      <w:kern w:val="0"/>
                      <w:sz w:val="21"/>
                      <w:szCs w:val="21"/>
                    </w:rPr>
                  </w:pPr>
                  <w:r>
                    <w:rPr>
                      <w:rFonts w:hint="eastAsia" w:cs="Times New Roman"/>
                      <w:kern w:val="0"/>
                      <w:sz w:val="21"/>
                      <w:szCs w:val="21"/>
                    </w:rPr>
                    <w:t>179.20</w:t>
                  </w:r>
                </w:p>
              </w:tc>
              <w:tc>
                <w:tcPr>
                  <w:tcW w:w="2638" w:type="dxa"/>
                  <w:vMerge w:val="continue"/>
                  <w:vAlign w:val="center"/>
                </w:tcPr>
                <w:p w14:paraId="69611715">
                  <w:pPr>
                    <w:jc w:val="center"/>
                    <w:rPr>
                      <w:rFonts w:cs="Times New Roman"/>
                      <w:kern w:val="0"/>
                      <w:sz w:val="21"/>
                      <w:szCs w:val="21"/>
                    </w:rPr>
                  </w:pPr>
                </w:p>
              </w:tc>
            </w:tr>
            <w:tr w14:paraId="50592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9CF7C46">
                  <w:pPr>
                    <w:jc w:val="center"/>
                    <w:rPr>
                      <w:rFonts w:cs="Times New Roman"/>
                      <w:kern w:val="0"/>
                      <w:sz w:val="21"/>
                      <w:szCs w:val="21"/>
                    </w:rPr>
                  </w:pPr>
                </w:p>
              </w:tc>
              <w:tc>
                <w:tcPr>
                  <w:tcW w:w="2676" w:type="dxa"/>
                  <w:vAlign w:val="center"/>
                </w:tcPr>
                <w:p w14:paraId="57DF7074">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31EA08FA">
                  <w:pPr>
                    <w:jc w:val="center"/>
                    <w:rPr>
                      <w:rFonts w:cs="Times New Roman"/>
                      <w:kern w:val="0"/>
                      <w:sz w:val="21"/>
                      <w:szCs w:val="21"/>
                    </w:rPr>
                  </w:pPr>
                  <w:r>
                    <w:rPr>
                      <w:rFonts w:hint="eastAsia" w:cs="Times New Roman"/>
                      <w:kern w:val="0"/>
                      <w:sz w:val="21"/>
                      <w:szCs w:val="21"/>
                    </w:rPr>
                    <w:t>个</w:t>
                  </w:r>
                </w:p>
              </w:tc>
              <w:tc>
                <w:tcPr>
                  <w:tcW w:w="899" w:type="dxa"/>
                  <w:vAlign w:val="center"/>
                </w:tcPr>
                <w:p w14:paraId="7A673BCE">
                  <w:pPr>
                    <w:jc w:val="center"/>
                    <w:rPr>
                      <w:rFonts w:cs="Times New Roman"/>
                      <w:kern w:val="0"/>
                      <w:sz w:val="21"/>
                      <w:szCs w:val="21"/>
                    </w:rPr>
                  </w:pPr>
                  <w:r>
                    <w:rPr>
                      <w:rFonts w:hint="eastAsia" w:cs="Times New Roman"/>
                      <w:kern w:val="0"/>
                      <w:sz w:val="21"/>
                      <w:szCs w:val="21"/>
                    </w:rPr>
                    <w:t>12</w:t>
                  </w:r>
                </w:p>
              </w:tc>
              <w:tc>
                <w:tcPr>
                  <w:tcW w:w="2638" w:type="dxa"/>
                  <w:vMerge w:val="restart"/>
                  <w:vAlign w:val="center"/>
                </w:tcPr>
                <w:p w14:paraId="656E37A2">
                  <w:pPr>
                    <w:jc w:val="center"/>
                    <w:rPr>
                      <w:rFonts w:cs="Times New Roman"/>
                      <w:kern w:val="0"/>
                      <w:sz w:val="21"/>
                      <w:szCs w:val="21"/>
                    </w:rPr>
                  </w:pPr>
                  <w:r>
                    <w:rPr>
                      <w:rFonts w:hint="eastAsia" w:cs="Times New Roman"/>
                      <w:kern w:val="0"/>
                      <w:sz w:val="21"/>
                      <w:szCs w:val="21"/>
                    </w:rPr>
                    <w:t>C30F300，3m×3m×1.6m</w:t>
                  </w:r>
                </w:p>
              </w:tc>
            </w:tr>
            <w:tr w14:paraId="29C2B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845876C">
                  <w:pPr>
                    <w:jc w:val="center"/>
                    <w:rPr>
                      <w:rFonts w:cs="Times New Roman"/>
                      <w:kern w:val="0"/>
                      <w:sz w:val="21"/>
                      <w:szCs w:val="21"/>
                    </w:rPr>
                  </w:pPr>
                </w:p>
              </w:tc>
              <w:tc>
                <w:tcPr>
                  <w:tcW w:w="2676" w:type="dxa"/>
                  <w:vAlign w:val="center"/>
                </w:tcPr>
                <w:p w14:paraId="6E68E52A">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492C7F88">
                  <w:pPr>
                    <w:jc w:val="center"/>
                    <w:rPr>
                      <w:rFonts w:cs="Times New Roman"/>
                      <w:kern w:val="0"/>
                      <w:sz w:val="21"/>
                      <w:szCs w:val="21"/>
                    </w:rPr>
                  </w:pPr>
                  <w:r>
                    <w:rPr>
                      <w:rFonts w:hint="eastAsia" w:cs="Times New Roman"/>
                      <w:kern w:val="0"/>
                      <w:sz w:val="21"/>
                      <w:szCs w:val="21"/>
                    </w:rPr>
                    <w:t>m³</w:t>
                  </w:r>
                </w:p>
              </w:tc>
              <w:tc>
                <w:tcPr>
                  <w:tcW w:w="899" w:type="dxa"/>
                  <w:vAlign w:val="center"/>
                </w:tcPr>
                <w:p w14:paraId="4B25673C">
                  <w:pPr>
                    <w:jc w:val="center"/>
                    <w:rPr>
                      <w:rFonts w:cs="Times New Roman"/>
                      <w:kern w:val="0"/>
                      <w:sz w:val="21"/>
                      <w:szCs w:val="21"/>
                    </w:rPr>
                  </w:pPr>
                  <w:r>
                    <w:rPr>
                      <w:rFonts w:hint="eastAsia" w:cs="Times New Roman"/>
                      <w:kern w:val="0"/>
                      <w:sz w:val="21"/>
                      <w:szCs w:val="21"/>
                    </w:rPr>
                    <w:t>172.80</w:t>
                  </w:r>
                </w:p>
              </w:tc>
              <w:tc>
                <w:tcPr>
                  <w:tcW w:w="2638" w:type="dxa"/>
                  <w:vMerge w:val="continue"/>
                  <w:vAlign w:val="center"/>
                </w:tcPr>
                <w:p w14:paraId="74F65909">
                  <w:pPr>
                    <w:jc w:val="center"/>
                    <w:rPr>
                      <w:rFonts w:cs="Times New Roman"/>
                      <w:kern w:val="0"/>
                      <w:sz w:val="21"/>
                      <w:szCs w:val="21"/>
                    </w:rPr>
                  </w:pPr>
                </w:p>
              </w:tc>
            </w:tr>
            <w:tr w14:paraId="3F2F9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2D3BE33D">
                  <w:pPr>
                    <w:jc w:val="center"/>
                    <w:rPr>
                      <w:rFonts w:cs="Times New Roman"/>
                      <w:kern w:val="0"/>
                      <w:sz w:val="21"/>
                      <w:szCs w:val="21"/>
                    </w:rPr>
                  </w:pPr>
                </w:p>
              </w:tc>
              <w:tc>
                <w:tcPr>
                  <w:tcW w:w="2676" w:type="dxa"/>
                  <w:vAlign w:val="center"/>
                </w:tcPr>
                <w:p w14:paraId="6D896D47">
                  <w:pPr>
                    <w:jc w:val="center"/>
                    <w:rPr>
                      <w:rFonts w:cs="Times New Roman"/>
                      <w:kern w:val="0"/>
                      <w:sz w:val="21"/>
                      <w:szCs w:val="21"/>
                    </w:rPr>
                  </w:pPr>
                  <w:r>
                    <w:rPr>
                      <w:rFonts w:hint="eastAsia" w:cs="Times New Roman"/>
                      <w:kern w:val="0"/>
                      <w:sz w:val="21"/>
                      <w:szCs w:val="21"/>
                    </w:rPr>
                    <w:t>预制混凝土方块4</w:t>
                  </w:r>
                </w:p>
              </w:tc>
              <w:tc>
                <w:tcPr>
                  <w:tcW w:w="706" w:type="dxa"/>
                  <w:vAlign w:val="center"/>
                </w:tcPr>
                <w:p w14:paraId="4C323FFE">
                  <w:pPr>
                    <w:jc w:val="center"/>
                    <w:rPr>
                      <w:rFonts w:cs="Times New Roman"/>
                      <w:kern w:val="0"/>
                      <w:sz w:val="21"/>
                      <w:szCs w:val="21"/>
                    </w:rPr>
                  </w:pPr>
                  <w:r>
                    <w:rPr>
                      <w:rFonts w:hint="eastAsia" w:cs="Times New Roman"/>
                      <w:kern w:val="0"/>
                      <w:sz w:val="21"/>
                      <w:szCs w:val="21"/>
                    </w:rPr>
                    <w:t>个</w:t>
                  </w:r>
                </w:p>
              </w:tc>
              <w:tc>
                <w:tcPr>
                  <w:tcW w:w="899" w:type="dxa"/>
                  <w:vAlign w:val="center"/>
                </w:tcPr>
                <w:p w14:paraId="3ECDCF36">
                  <w:pPr>
                    <w:jc w:val="center"/>
                    <w:rPr>
                      <w:rFonts w:cs="Times New Roman"/>
                      <w:kern w:val="0"/>
                      <w:sz w:val="21"/>
                      <w:szCs w:val="21"/>
                    </w:rPr>
                  </w:pPr>
                  <w:r>
                    <w:rPr>
                      <w:rFonts w:hint="eastAsia" w:cs="Times New Roman"/>
                      <w:kern w:val="0"/>
                      <w:sz w:val="21"/>
                      <w:szCs w:val="21"/>
                    </w:rPr>
                    <w:t>10</w:t>
                  </w:r>
                </w:p>
              </w:tc>
              <w:tc>
                <w:tcPr>
                  <w:tcW w:w="2638" w:type="dxa"/>
                  <w:vMerge w:val="restart"/>
                  <w:vAlign w:val="center"/>
                </w:tcPr>
                <w:p w14:paraId="78931F95">
                  <w:pPr>
                    <w:jc w:val="center"/>
                    <w:rPr>
                      <w:rFonts w:cs="Times New Roman"/>
                      <w:kern w:val="0"/>
                      <w:sz w:val="21"/>
                      <w:szCs w:val="21"/>
                    </w:rPr>
                  </w:pPr>
                  <w:r>
                    <w:rPr>
                      <w:rFonts w:hint="eastAsia" w:cs="Times New Roman"/>
                      <w:kern w:val="0"/>
                      <w:sz w:val="21"/>
                      <w:szCs w:val="21"/>
                    </w:rPr>
                    <w:t>C30F300，3m×2m×1.6m</w:t>
                  </w:r>
                </w:p>
              </w:tc>
            </w:tr>
            <w:tr w14:paraId="572DA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1FB0AAEC">
                  <w:pPr>
                    <w:jc w:val="center"/>
                    <w:rPr>
                      <w:rFonts w:cs="Times New Roman"/>
                      <w:kern w:val="0"/>
                      <w:sz w:val="21"/>
                      <w:szCs w:val="21"/>
                    </w:rPr>
                  </w:pPr>
                </w:p>
              </w:tc>
              <w:tc>
                <w:tcPr>
                  <w:tcW w:w="2676" w:type="dxa"/>
                  <w:vAlign w:val="center"/>
                </w:tcPr>
                <w:p w14:paraId="5799DC93">
                  <w:pPr>
                    <w:jc w:val="center"/>
                    <w:rPr>
                      <w:rFonts w:cs="Times New Roman"/>
                      <w:kern w:val="0"/>
                      <w:sz w:val="21"/>
                      <w:szCs w:val="21"/>
                    </w:rPr>
                  </w:pPr>
                  <w:r>
                    <w:rPr>
                      <w:rFonts w:hint="eastAsia" w:cs="Times New Roman"/>
                      <w:kern w:val="0"/>
                      <w:sz w:val="21"/>
                      <w:szCs w:val="21"/>
                    </w:rPr>
                    <w:t>预制混凝土方块4</w:t>
                  </w:r>
                </w:p>
              </w:tc>
              <w:tc>
                <w:tcPr>
                  <w:tcW w:w="706" w:type="dxa"/>
                  <w:vAlign w:val="center"/>
                </w:tcPr>
                <w:p w14:paraId="44AFE020">
                  <w:pPr>
                    <w:jc w:val="center"/>
                    <w:rPr>
                      <w:rFonts w:cs="Times New Roman"/>
                      <w:kern w:val="0"/>
                      <w:sz w:val="21"/>
                      <w:szCs w:val="21"/>
                    </w:rPr>
                  </w:pPr>
                  <w:r>
                    <w:rPr>
                      <w:rFonts w:hint="eastAsia" w:cs="Times New Roman"/>
                      <w:kern w:val="0"/>
                      <w:sz w:val="21"/>
                      <w:szCs w:val="21"/>
                    </w:rPr>
                    <w:t>m³</w:t>
                  </w:r>
                </w:p>
              </w:tc>
              <w:tc>
                <w:tcPr>
                  <w:tcW w:w="899" w:type="dxa"/>
                  <w:vAlign w:val="center"/>
                </w:tcPr>
                <w:p w14:paraId="2A35F49B">
                  <w:pPr>
                    <w:jc w:val="center"/>
                    <w:rPr>
                      <w:rFonts w:cs="Times New Roman"/>
                      <w:kern w:val="0"/>
                      <w:sz w:val="21"/>
                      <w:szCs w:val="21"/>
                    </w:rPr>
                  </w:pPr>
                  <w:r>
                    <w:rPr>
                      <w:rFonts w:hint="eastAsia" w:cs="Times New Roman"/>
                      <w:kern w:val="0"/>
                      <w:sz w:val="21"/>
                      <w:szCs w:val="21"/>
                    </w:rPr>
                    <w:t>96.00</w:t>
                  </w:r>
                </w:p>
              </w:tc>
              <w:tc>
                <w:tcPr>
                  <w:tcW w:w="2638" w:type="dxa"/>
                  <w:vMerge w:val="continue"/>
                  <w:vAlign w:val="center"/>
                </w:tcPr>
                <w:p w14:paraId="72F5B4FF">
                  <w:pPr>
                    <w:jc w:val="center"/>
                    <w:rPr>
                      <w:rFonts w:cs="Times New Roman"/>
                      <w:kern w:val="0"/>
                      <w:sz w:val="21"/>
                      <w:szCs w:val="21"/>
                    </w:rPr>
                  </w:pPr>
                </w:p>
              </w:tc>
            </w:tr>
            <w:tr w14:paraId="7459A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C82D14E">
                  <w:pPr>
                    <w:jc w:val="center"/>
                    <w:rPr>
                      <w:rFonts w:cs="Times New Roman"/>
                      <w:kern w:val="0"/>
                      <w:sz w:val="21"/>
                      <w:szCs w:val="21"/>
                    </w:rPr>
                  </w:pPr>
                </w:p>
              </w:tc>
              <w:tc>
                <w:tcPr>
                  <w:tcW w:w="2676" w:type="dxa"/>
                  <w:vAlign w:val="center"/>
                </w:tcPr>
                <w:p w14:paraId="11A45BD4">
                  <w:pPr>
                    <w:jc w:val="center"/>
                    <w:rPr>
                      <w:rFonts w:cs="Times New Roman"/>
                      <w:kern w:val="0"/>
                      <w:sz w:val="21"/>
                      <w:szCs w:val="21"/>
                    </w:rPr>
                  </w:pPr>
                  <w:r>
                    <w:rPr>
                      <w:rFonts w:hint="eastAsia" w:cs="Times New Roman"/>
                      <w:kern w:val="0"/>
                      <w:sz w:val="21"/>
                      <w:szCs w:val="21"/>
                    </w:rPr>
                    <w:t>预制混凝土方块5</w:t>
                  </w:r>
                </w:p>
              </w:tc>
              <w:tc>
                <w:tcPr>
                  <w:tcW w:w="706" w:type="dxa"/>
                  <w:vAlign w:val="center"/>
                </w:tcPr>
                <w:p w14:paraId="69639A39">
                  <w:pPr>
                    <w:jc w:val="center"/>
                    <w:rPr>
                      <w:rFonts w:cs="Times New Roman"/>
                      <w:kern w:val="0"/>
                      <w:sz w:val="21"/>
                      <w:szCs w:val="21"/>
                    </w:rPr>
                  </w:pPr>
                  <w:r>
                    <w:rPr>
                      <w:rFonts w:hint="eastAsia" w:cs="Times New Roman"/>
                      <w:kern w:val="0"/>
                      <w:sz w:val="21"/>
                      <w:szCs w:val="21"/>
                    </w:rPr>
                    <w:t>个</w:t>
                  </w:r>
                </w:p>
              </w:tc>
              <w:tc>
                <w:tcPr>
                  <w:tcW w:w="899" w:type="dxa"/>
                  <w:vAlign w:val="center"/>
                </w:tcPr>
                <w:p w14:paraId="2D205E1E">
                  <w:pPr>
                    <w:jc w:val="center"/>
                    <w:rPr>
                      <w:rFonts w:cs="Times New Roman"/>
                      <w:kern w:val="0"/>
                      <w:sz w:val="21"/>
                      <w:szCs w:val="21"/>
                    </w:rPr>
                  </w:pPr>
                  <w:r>
                    <w:rPr>
                      <w:rFonts w:hint="eastAsia" w:cs="Times New Roman"/>
                      <w:kern w:val="0"/>
                      <w:sz w:val="21"/>
                      <w:szCs w:val="21"/>
                    </w:rPr>
                    <w:t>1</w:t>
                  </w:r>
                </w:p>
              </w:tc>
              <w:tc>
                <w:tcPr>
                  <w:tcW w:w="2638" w:type="dxa"/>
                  <w:vMerge w:val="restart"/>
                  <w:vAlign w:val="center"/>
                </w:tcPr>
                <w:p w14:paraId="4DC75D78">
                  <w:pPr>
                    <w:jc w:val="center"/>
                    <w:rPr>
                      <w:rFonts w:cs="Times New Roman"/>
                      <w:kern w:val="0"/>
                      <w:sz w:val="21"/>
                      <w:szCs w:val="21"/>
                    </w:rPr>
                  </w:pPr>
                  <w:r>
                    <w:rPr>
                      <w:rFonts w:hint="eastAsia" w:cs="Times New Roman"/>
                      <w:kern w:val="0"/>
                      <w:sz w:val="21"/>
                      <w:szCs w:val="21"/>
                    </w:rPr>
                    <w:t>C30F300，2m×2m×1.6m</w:t>
                  </w:r>
                </w:p>
              </w:tc>
            </w:tr>
            <w:tr w14:paraId="465AD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2DEBF0D1">
                  <w:pPr>
                    <w:jc w:val="center"/>
                    <w:rPr>
                      <w:rFonts w:cs="Times New Roman"/>
                      <w:kern w:val="0"/>
                      <w:sz w:val="21"/>
                      <w:szCs w:val="21"/>
                    </w:rPr>
                  </w:pPr>
                </w:p>
              </w:tc>
              <w:tc>
                <w:tcPr>
                  <w:tcW w:w="2676" w:type="dxa"/>
                  <w:vAlign w:val="center"/>
                </w:tcPr>
                <w:p w14:paraId="4F824356">
                  <w:pPr>
                    <w:jc w:val="center"/>
                    <w:rPr>
                      <w:rFonts w:cs="Times New Roman"/>
                      <w:kern w:val="0"/>
                      <w:sz w:val="21"/>
                      <w:szCs w:val="21"/>
                    </w:rPr>
                  </w:pPr>
                  <w:r>
                    <w:rPr>
                      <w:rFonts w:hint="eastAsia" w:cs="Times New Roman"/>
                      <w:kern w:val="0"/>
                      <w:sz w:val="21"/>
                      <w:szCs w:val="21"/>
                    </w:rPr>
                    <w:t>预制混凝土方块5</w:t>
                  </w:r>
                </w:p>
              </w:tc>
              <w:tc>
                <w:tcPr>
                  <w:tcW w:w="706" w:type="dxa"/>
                  <w:vAlign w:val="center"/>
                </w:tcPr>
                <w:p w14:paraId="535E2A09">
                  <w:pPr>
                    <w:jc w:val="center"/>
                    <w:rPr>
                      <w:rFonts w:cs="Times New Roman"/>
                      <w:kern w:val="0"/>
                      <w:sz w:val="21"/>
                      <w:szCs w:val="21"/>
                    </w:rPr>
                  </w:pPr>
                  <w:r>
                    <w:rPr>
                      <w:rFonts w:hint="eastAsia" w:cs="Times New Roman"/>
                      <w:kern w:val="0"/>
                      <w:sz w:val="21"/>
                      <w:szCs w:val="21"/>
                    </w:rPr>
                    <w:t>m³</w:t>
                  </w:r>
                </w:p>
              </w:tc>
              <w:tc>
                <w:tcPr>
                  <w:tcW w:w="899" w:type="dxa"/>
                  <w:vAlign w:val="center"/>
                </w:tcPr>
                <w:p w14:paraId="5E7F7568">
                  <w:pPr>
                    <w:jc w:val="center"/>
                    <w:rPr>
                      <w:rFonts w:cs="Times New Roman"/>
                      <w:kern w:val="0"/>
                      <w:sz w:val="21"/>
                      <w:szCs w:val="21"/>
                    </w:rPr>
                  </w:pPr>
                  <w:r>
                    <w:rPr>
                      <w:rFonts w:hint="eastAsia" w:cs="Times New Roman"/>
                      <w:kern w:val="0"/>
                      <w:sz w:val="21"/>
                      <w:szCs w:val="21"/>
                    </w:rPr>
                    <w:t>6.40</w:t>
                  </w:r>
                </w:p>
              </w:tc>
              <w:tc>
                <w:tcPr>
                  <w:tcW w:w="2638" w:type="dxa"/>
                  <w:vMerge w:val="continue"/>
                  <w:vAlign w:val="center"/>
                </w:tcPr>
                <w:p w14:paraId="5AC80453">
                  <w:pPr>
                    <w:jc w:val="center"/>
                    <w:rPr>
                      <w:rFonts w:cs="Times New Roman"/>
                      <w:kern w:val="0"/>
                      <w:sz w:val="21"/>
                      <w:szCs w:val="21"/>
                    </w:rPr>
                  </w:pPr>
                </w:p>
              </w:tc>
            </w:tr>
            <w:tr w14:paraId="3FBF7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56DA5F6">
                  <w:pPr>
                    <w:jc w:val="center"/>
                    <w:rPr>
                      <w:rFonts w:cs="Times New Roman"/>
                      <w:kern w:val="0"/>
                      <w:sz w:val="21"/>
                      <w:szCs w:val="21"/>
                    </w:rPr>
                  </w:pPr>
                  <w:r>
                    <w:rPr>
                      <w:rFonts w:hint="eastAsia" w:cs="Times New Roman"/>
                      <w:kern w:val="0"/>
                      <w:sz w:val="21"/>
                      <w:szCs w:val="21"/>
                    </w:rPr>
                    <w:t>3</w:t>
                  </w:r>
                </w:p>
              </w:tc>
              <w:tc>
                <w:tcPr>
                  <w:tcW w:w="2676" w:type="dxa"/>
                  <w:vAlign w:val="center"/>
                </w:tcPr>
                <w:p w14:paraId="7A848C08">
                  <w:pPr>
                    <w:jc w:val="center"/>
                    <w:rPr>
                      <w:rFonts w:cs="Times New Roman"/>
                      <w:kern w:val="0"/>
                      <w:sz w:val="21"/>
                      <w:szCs w:val="21"/>
                    </w:rPr>
                  </w:pPr>
                  <w:r>
                    <w:rPr>
                      <w:rFonts w:hint="eastAsia" w:cs="Times New Roman"/>
                      <w:kern w:val="0"/>
                      <w:sz w:val="21"/>
                      <w:szCs w:val="21"/>
                    </w:rPr>
                    <w:t>回填开山石</w:t>
                  </w:r>
                </w:p>
              </w:tc>
              <w:tc>
                <w:tcPr>
                  <w:tcW w:w="706" w:type="dxa"/>
                  <w:vAlign w:val="center"/>
                </w:tcPr>
                <w:p w14:paraId="49FCFB8D">
                  <w:pPr>
                    <w:jc w:val="center"/>
                    <w:rPr>
                      <w:rFonts w:cs="Times New Roman"/>
                      <w:kern w:val="0"/>
                      <w:sz w:val="21"/>
                      <w:szCs w:val="21"/>
                    </w:rPr>
                  </w:pPr>
                  <w:r>
                    <w:rPr>
                      <w:rFonts w:hint="eastAsia" w:cs="Times New Roman"/>
                      <w:kern w:val="0"/>
                      <w:sz w:val="21"/>
                      <w:szCs w:val="21"/>
                    </w:rPr>
                    <w:t>m³</w:t>
                  </w:r>
                </w:p>
              </w:tc>
              <w:tc>
                <w:tcPr>
                  <w:tcW w:w="899" w:type="dxa"/>
                  <w:vAlign w:val="center"/>
                </w:tcPr>
                <w:p w14:paraId="094B38C0">
                  <w:pPr>
                    <w:jc w:val="center"/>
                    <w:rPr>
                      <w:rFonts w:cs="Times New Roman"/>
                      <w:kern w:val="0"/>
                      <w:sz w:val="21"/>
                      <w:szCs w:val="21"/>
                    </w:rPr>
                  </w:pPr>
                  <w:r>
                    <w:rPr>
                      <w:rFonts w:hint="eastAsia" w:cs="Times New Roman"/>
                      <w:kern w:val="0"/>
                      <w:sz w:val="21"/>
                      <w:szCs w:val="21"/>
                    </w:rPr>
                    <w:t>340.67</w:t>
                  </w:r>
                </w:p>
              </w:tc>
              <w:tc>
                <w:tcPr>
                  <w:tcW w:w="2638" w:type="dxa"/>
                  <w:vAlign w:val="center"/>
                </w:tcPr>
                <w:p w14:paraId="25CCE023">
                  <w:pPr>
                    <w:jc w:val="center"/>
                    <w:rPr>
                      <w:rFonts w:cs="Times New Roman"/>
                      <w:kern w:val="0"/>
                      <w:sz w:val="21"/>
                      <w:szCs w:val="21"/>
                    </w:rPr>
                  </w:pPr>
                </w:p>
              </w:tc>
            </w:tr>
            <w:tr w14:paraId="687DA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F1EF5A8">
                  <w:pPr>
                    <w:jc w:val="center"/>
                    <w:rPr>
                      <w:rFonts w:cs="Times New Roman"/>
                      <w:kern w:val="0"/>
                      <w:sz w:val="21"/>
                      <w:szCs w:val="21"/>
                    </w:rPr>
                  </w:pPr>
                  <w:r>
                    <w:rPr>
                      <w:rFonts w:hint="eastAsia" w:cs="Times New Roman"/>
                      <w:kern w:val="0"/>
                      <w:sz w:val="21"/>
                      <w:szCs w:val="21"/>
                    </w:rPr>
                    <w:t>4</w:t>
                  </w:r>
                </w:p>
              </w:tc>
              <w:tc>
                <w:tcPr>
                  <w:tcW w:w="2676" w:type="dxa"/>
                  <w:vAlign w:val="center"/>
                </w:tcPr>
                <w:p w14:paraId="51C2FA15">
                  <w:pPr>
                    <w:jc w:val="center"/>
                    <w:rPr>
                      <w:rFonts w:cs="Times New Roman"/>
                      <w:kern w:val="0"/>
                      <w:sz w:val="21"/>
                      <w:szCs w:val="21"/>
                    </w:rPr>
                  </w:pPr>
                  <w:r>
                    <w:rPr>
                      <w:rFonts w:hint="eastAsia" w:cs="Times New Roman"/>
                      <w:kern w:val="0"/>
                      <w:sz w:val="21"/>
                      <w:szCs w:val="21"/>
                    </w:rPr>
                    <w:t>80mm高强连锁块</w:t>
                  </w:r>
                </w:p>
              </w:tc>
              <w:tc>
                <w:tcPr>
                  <w:tcW w:w="706" w:type="dxa"/>
                  <w:vAlign w:val="center"/>
                </w:tcPr>
                <w:p w14:paraId="4000DF7B">
                  <w:pPr>
                    <w:jc w:val="center"/>
                    <w:rPr>
                      <w:rFonts w:cs="Times New Roman"/>
                      <w:kern w:val="0"/>
                      <w:sz w:val="21"/>
                      <w:szCs w:val="21"/>
                    </w:rPr>
                  </w:pPr>
                  <w:r>
                    <w:rPr>
                      <w:rFonts w:hint="eastAsia" w:cs="Times New Roman"/>
                      <w:kern w:val="0"/>
                      <w:sz w:val="21"/>
                      <w:szCs w:val="21"/>
                    </w:rPr>
                    <w:t>m³</w:t>
                  </w:r>
                </w:p>
              </w:tc>
              <w:tc>
                <w:tcPr>
                  <w:tcW w:w="899" w:type="dxa"/>
                  <w:vAlign w:val="center"/>
                </w:tcPr>
                <w:p w14:paraId="7C8A4214">
                  <w:pPr>
                    <w:jc w:val="center"/>
                    <w:rPr>
                      <w:rFonts w:cs="Times New Roman"/>
                      <w:kern w:val="0"/>
                      <w:sz w:val="21"/>
                      <w:szCs w:val="21"/>
                    </w:rPr>
                  </w:pPr>
                  <w:r>
                    <w:rPr>
                      <w:rFonts w:hint="eastAsia" w:cs="Times New Roman"/>
                      <w:kern w:val="0"/>
                      <w:sz w:val="21"/>
                      <w:szCs w:val="21"/>
                    </w:rPr>
                    <w:t>15.07</w:t>
                  </w:r>
                </w:p>
              </w:tc>
              <w:tc>
                <w:tcPr>
                  <w:tcW w:w="2638" w:type="dxa"/>
                  <w:vAlign w:val="center"/>
                </w:tcPr>
                <w:p w14:paraId="5F15F5A5">
                  <w:pPr>
                    <w:jc w:val="center"/>
                    <w:rPr>
                      <w:rFonts w:cs="Times New Roman"/>
                      <w:kern w:val="0"/>
                      <w:sz w:val="21"/>
                      <w:szCs w:val="21"/>
                    </w:rPr>
                  </w:pPr>
                  <w:r>
                    <w:rPr>
                      <w:rFonts w:hint="eastAsia" w:cs="Times New Roman"/>
                      <w:kern w:val="0"/>
                      <w:sz w:val="21"/>
                      <w:szCs w:val="21"/>
                    </w:rPr>
                    <w:t>面积188.405m</w:t>
                  </w:r>
                  <w:r>
                    <w:rPr>
                      <w:rFonts w:hint="eastAsia" w:cs="Times New Roman"/>
                      <w:kern w:val="0"/>
                      <w:sz w:val="21"/>
                      <w:szCs w:val="21"/>
                      <w:vertAlign w:val="superscript"/>
                    </w:rPr>
                    <w:t>2</w:t>
                  </w:r>
                </w:p>
              </w:tc>
            </w:tr>
            <w:tr w14:paraId="6E9D1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7C3EBAB">
                  <w:pPr>
                    <w:jc w:val="center"/>
                    <w:rPr>
                      <w:rFonts w:cs="Times New Roman"/>
                      <w:kern w:val="0"/>
                      <w:sz w:val="21"/>
                      <w:szCs w:val="21"/>
                    </w:rPr>
                  </w:pPr>
                  <w:r>
                    <w:rPr>
                      <w:rFonts w:hint="eastAsia" w:cs="Times New Roman"/>
                      <w:kern w:val="0"/>
                      <w:sz w:val="21"/>
                      <w:szCs w:val="21"/>
                    </w:rPr>
                    <w:t>5</w:t>
                  </w:r>
                </w:p>
              </w:tc>
              <w:tc>
                <w:tcPr>
                  <w:tcW w:w="2676" w:type="dxa"/>
                  <w:vAlign w:val="center"/>
                </w:tcPr>
                <w:p w14:paraId="7234E09A">
                  <w:pPr>
                    <w:jc w:val="center"/>
                    <w:rPr>
                      <w:rFonts w:cs="Times New Roman"/>
                      <w:kern w:val="0"/>
                      <w:sz w:val="21"/>
                      <w:szCs w:val="21"/>
                    </w:rPr>
                  </w:pPr>
                  <w:r>
                    <w:rPr>
                      <w:rFonts w:hint="eastAsia" w:cs="Times New Roman"/>
                      <w:kern w:val="0"/>
                      <w:sz w:val="21"/>
                      <w:szCs w:val="21"/>
                    </w:rPr>
                    <w:t>30mm中粗砂垫层</w:t>
                  </w:r>
                </w:p>
              </w:tc>
              <w:tc>
                <w:tcPr>
                  <w:tcW w:w="706" w:type="dxa"/>
                  <w:vAlign w:val="center"/>
                </w:tcPr>
                <w:p w14:paraId="719959D8">
                  <w:pPr>
                    <w:jc w:val="center"/>
                    <w:rPr>
                      <w:rFonts w:cs="Times New Roman"/>
                      <w:kern w:val="0"/>
                      <w:sz w:val="21"/>
                      <w:szCs w:val="21"/>
                    </w:rPr>
                  </w:pPr>
                  <w:r>
                    <w:rPr>
                      <w:rFonts w:hint="eastAsia" w:cs="Times New Roman"/>
                      <w:kern w:val="0"/>
                      <w:sz w:val="21"/>
                      <w:szCs w:val="21"/>
                    </w:rPr>
                    <w:t>m³</w:t>
                  </w:r>
                </w:p>
              </w:tc>
              <w:tc>
                <w:tcPr>
                  <w:tcW w:w="899" w:type="dxa"/>
                  <w:vAlign w:val="center"/>
                </w:tcPr>
                <w:p w14:paraId="2318B4DF">
                  <w:pPr>
                    <w:jc w:val="center"/>
                    <w:rPr>
                      <w:rFonts w:cs="Times New Roman"/>
                      <w:kern w:val="0"/>
                      <w:sz w:val="21"/>
                      <w:szCs w:val="21"/>
                    </w:rPr>
                  </w:pPr>
                  <w:r>
                    <w:rPr>
                      <w:rFonts w:hint="eastAsia" w:cs="Times New Roman"/>
                      <w:kern w:val="0"/>
                      <w:sz w:val="21"/>
                      <w:szCs w:val="21"/>
                    </w:rPr>
                    <w:t>5.65</w:t>
                  </w:r>
                </w:p>
              </w:tc>
              <w:tc>
                <w:tcPr>
                  <w:tcW w:w="2638" w:type="dxa"/>
                  <w:vAlign w:val="center"/>
                </w:tcPr>
                <w:p w14:paraId="05DF9D2A">
                  <w:pPr>
                    <w:jc w:val="center"/>
                    <w:rPr>
                      <w:rFonts w:cs="Times New Roman"/>
                      <w:kern w:val="0"/>
                      <w:sz w:val="21"/>
                      <w:szCs w:val="21"/>
                    </w:rPr>
                  </w:pPr>
                  <w:r>
                    <w:rPr>
                      <w:rFonts w:hint="eastAsia" w:cs="Times New Roman"/>
                      <w:kern w:val="0"/>
                      <w:sz w:val="21"/>
                      <w:szCs w:val="21"/>
                    </w:rPr>
                    <w:t>面积188.405m</w:t>
                  </w:r>
                  <w:r>
                    <w:rPr>
                      <w:rFonts w:hint="eastAsia" w:cs="Times New Roman"/>
                      <w:kern w:val="0"/>
                      <w:sz w:val="21"/>
                      <w:szCs w:val="21"/>
                      <w:vertAlign w:val="superscript"/>
                    </w:rPr>
                    <w:t>2</w:t>
                  </w:r>
                </w:p>
              </w:tc>
            </w:tr>
            <w:tr w14:paraId="7A77C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BD68B19">
                  <w:pPr>
                    <w:jc w:val="center"/>
                    <w:rPr>
                      <w:rFonts w:cs="Times New Roman"/>
                      <w:kern w:val="0"/>
                      <w:sz w:val="21"/>
                      <w:szCs w:val="21"/>
                    </w:rPr>
                  </w:pPr>
                  <w:r>
                    <w:rPr>
                      <w:rFonts w:hint="eastAsia" w:cs="Times New Roman"/>
                      <w:kern w:val="0"/>
                      <w:sz w:val="21"/>
                      <w:szCs w:val="21"/>
                    </w:rPr>
                    <w:t>6</w:t>
                  </w:r>
                </w:p>
              </w:tc>
              <w:tc>
                <w:tcPr>
                  <w:tcW w:w="2676" w:type="dxa"/>
                  <w:vAlign w:val="center"/>
                </w:tcPr>
                <w:p w14:paraId="10A2F84E">
                  <w:pPr>
                    <w:jc w:val="center"/>
                    <w:rPr>
                      <w:rFonts w:cs="Times New Roman"/>
                      <w:kern w:val="0"/>
                      <w:sz w:val="21"/>
                      <w:szCs w:val="21"/>
                    </w:rPr>
                  </w:pPr>
                  <w:r>
                    <w:rPr>
                      <w:rFonts w:hint="eastAsia" w:cs="Times New Roman"/>
                      <w:kern w:val="0"/>
                      <w:sz w:val="21"/>
                      <w:szCs w:val="21"/>
                    </w:rPr>
                    <w:t>80mm 级配碎石(最大粒径≤30mm)</w:t>
                  </w:r>
                </w:p>
              </w:tc>
              <w:tc>
                <w:tcPr>
                  <w:tcW w:w="706" w:type="dxa"/>
                  <w:vAlign w:val="center"/>
                </w:tcPr>
                <w:p w14:paraId="571C80FB">
                  <w:pPr>
                    <w:jc w:val="center"/>
                    <w:rPr>
                      <w:rFonts w:cs="Times New Roman"/>
                      <w:kern w:val="0"/>
                      <w:sz w:val="21"/>
                      <w:szCs w:val="21"/>
                    </w:rPr>
                  </w:pPr>
                  <w:r>
                    <w:rPr>
                      <w:rFonts w:hint="eastAsia" w:cs="Times New Roman"/>
                      <w:kern w:val="0"/>
                      <w:sz w:val="21"/>
                      <w:szCs w:val="21"/>
                    </w:rPr>
                    <w:t>m³</w:t>
                  </w:r>
                </w:p>
              </w:tc>
              <w:tc>
                <w:tcPr>
                  <w:tcW w:w="899" w:type="dxa"/>
                  <w:vAlign w:val="center"/>
                </w:tcPr>
                <w:p w14:paraId="7B8D034F">
                  <w:pPr>
                    <w:jc w:val="center"/>
                    <w:rPr>
                      <w:rFonts w:cs="Times New Roman"/>
                      <w:kern w:val="0"/>
                      <w:sz w:val="21"/>
                      <w:szCs w:val="21"/>
                    </w:rPr>
                  </w:pPr>
                  <w:r>
                    <w:rPr>
                      <w:rFonts w:hint="eastAsia" w:cs="Times New Roman"/>
                      <w:kern w:val="0"/>
                      <w:sz w:val="21"/>
                      <w:szCs w:val="21"/>
                    </w:rPr>
                    <w:t>15.07</w:t>
                  </w:r>
                </w:p>
              </w:tc>
              <w:tc>
                <w:tcPr>
                  <w:tcW w:w="2638" w:type="dxa"/>
                  <w:vAlign w:val="center"/>
                </w:tcPr>
                <w:p w14:paraId="6BC4DDA4">
                  <w:pPr>
                    <w:jc w:val="center"/>
                    <w:rPr>
                      <w:rFonts w:cs="Times New Roman"/>
                      <w:kern w:val="0"/>
                      <w:sz w:val="21"/>
                      <w:szCs w:val="21"/>
                    </w:rPr>
                  </w:pPr>
                  <w:r>
                    <w:rPr>
                      <w:rFonts w:hint="eastAsia" w:cs="Times New Roman"/>
                      <w:kern w:val="0"/>
                      <w:sz w:val="21"/>
                      <w:szCs w:val="21"/>
                    </w:rPr>
                    <w:t>面积188.405m</w:t>
                  </w:r>
                  <w:r>
                    <w:rPr>
                      <w:rFonts w:hint="eastAsia" w:cs="Times New Roman"/>
                      <w:kern w:val="0"/>
                      <w:sz w:val="21"/>
                      <w:szCs w:val="21"/>
                      <w:vertAlign w:val="superscript"/>
                    </w:rPr>
                    <w:t>2</w:t>
                  </w:r>
                </w:p>
              </w:tc>
            </w:tr>
            <w:tr w14:paraId="0DE90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FC5DFC9">
                  <w:pPr>
                    <w:jc w:val="center"/>
                    <w:rPr>
                      <w:rFonts w:cs="Times New Roman"/>
                      <w:kern w:val="0"/>
                      <w:sz w:val="21"/>
                      <w:szCs w:val="21"/>
                    </w:rPr>
                  </w:pPr>
                  <w:r>
                    <w:rPr>
                      <w:rFonts w:hint="eastAsia" w:cs="Times New Roman"/>
                      <w:kern w:val="0"/>
                      <w:sz w:val="21"/>
                      <w:szCs w:val="21"/>
                    </w:rPr>
                    <w:t>7</w:t>
                  </w:r>
                </w:p>
              </w:tc>
              <w:tc>
                <w:tcPr>
                  <w:tcW w:w="2676" w:type="dxa"/>
                  <w:vAlign w:val="center"/>
                </w:tcPr>
                <w:p w14:paraId="452710D7">
                  <w:pPr>
                    <w:jc w:val="center"/>
                    <w:rPr>
                      <w:rFonts w:cs="Times New Roman"/>
                      <w:kern w:val="0"/>
                      <w:sz w:val="21"/>
                      <w:szCs w:val="21"/>
                    </w:rPr>
                  </w:pPr>
                  <w:r>
                    <w:rPr>
                      <w:rFonts w:hint="eastAsia" w:cs="Times New Roman"/>
                      <w:kern w:val="0"/>
                      <w:sz w:val="21"/>
                      <w:szCs w:val="21"/>
                    </w:rPr>
                    <w:t>120mm 级配碎石(最大粒径≤50mm)</w:t>
                  </w:r>
                </w:p>
              </w:tc>
              <w:tc>
                <w:tcPr>
                  <w:tcW w:w="706" w:type="dxa"/>
                  <w:vAlign w:val="center"/>
                </w:tcPr>
                <w:p w14:paraId="06BDD463">
                  <w:pPr>
                    <w:jc w:val="center"/>
                    <w:rPr>
                      <w:rFonts w:cs="Times New Roman"/>
                      <w:kern w:val="0"/>
                      <w:sz w:val="21"/>
                      <w:szCs w:val="21"/>
                    </w:rPr>
                  </w:pPr>
                  <w:r>
                    <w:rPr>
                      <w:rFonts w:hint="eastAsia" w:cs="Times New Roman"/>
                      <w:kern w:val="0"/>
                      <w:sz w:val="21"/>
                      <w:szCs w:val="21"/>
                    </w:rPr>
                    <w:t>m³</w:t>
                  </w:r>
                </w:p>
              </w:tc>
              <w:tc>
                <w:tcPr>
                  <w:tcW w:w="899" w:type="dxa"/>
                  <w:vAlign w:val="center"/>
                </w:tcPr>
                <w:p w14:paraId="3B8989FF">
                  <w:pPr>
                    <w:jc w:val="center"/>
                    <w:rPr>
                      <w:rFonts w:cs="Times New Roman"/>
                      <w:kern w:val="0"/>
                      <w:sz w:val="21"/>
                      <w:szCs w:val="21"/>
                    </w:rPr>
                  </w:pPr>
                  <w:r>
                    <w:rPr>
                      <w:rFonts w:hint="eastAsia" w:cs="Times New Roman"/>
                      <w:kern w:val="0"/>
                      <w:sz w:val="21"/>
                      <w:szCs w:val="21"/>
                    </w:rPr>
                    <w:t>22.61</w:t>
                  </w:r>
                </w:p>
              </w:tc>
              <w:tc>
                <w:tcPr>
                  <w:tcW w:w="2638" w:type="dxa"/>
                  <w:vAlign w:val="center"/>
                </w:tcPr>
                <w:p w14:paraId="267FBFAC">
                  <w:pPr>
                    <w:jc w:val="center"/>
                    <w:rPr>
                      <w:rFonts w:cs="Times New Roman"/>
                      <w:kern w:val="0"/>
                      <w:sz w:val="21"/>
                      <w:szCs w:val="21"/>
                    </w:rPr>
                  </w:pPr>
                  <w:r>
                    <w:rPr>
                      <w:rFonts w:hint="eastAsia" w:cs="Times New Roman"/>
                      <w:kern w:val="0"/>
                      <w:sz w:val="21"/>
                      <w:szCs w:val="21"/>
                    </w:rPr>
                    <w:t>面积188.405m</w:t>
                  </w:r>
                  <w:r>
                    <w:rPr>
                      <w:rFonts w:hint="eastAsia" w:cs="Times New Roman"/>
                      <w:kern w:val="0"/>
                      <w:sz w:val="21"/>
                      <w:szCs w:val="21"/>
                      <w:vertAlign w:val="superscript"/>
                    </w:rPr>
                    <w:t>2</w:t>
                  </w:r>
                </w:p>
              </w:tc>
            </w:tr>
            <w:tr w14:paraId="697BC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EC9DD7B">
                  <w:pPr>
                    <w:jc w:val="center"/>
                    <w:rPr>
                      <w:rFonts w:cs="Times New Roman"/>
                      <w:kern w:val="0"/>
                      <w:sz w:val="21"/>
                      <w:szCs w:val="21"/>
                    </w:rPr>
                  </w:pPr>
                  <w:r>
                    <w:rPr>
                      <w:rFonts w:hint="eastAsia" w:cs="Times New Roman"/>
                      <w:kern w:val="0"/>
                      <w:sz w:val="21"/>
                      <w:szCs w:val="21"/>
                    </w:rPr>
                    <w:t>8</w:t>
                  </w:r>
                </w:p>
              </w:tc>
              <w:tc>
                <w:tcPr>
                  <w:tcW w:w="2676" w:type="dxa"/>
                  <w:vAlign w:val="center"/>
                </w:tcPr>
                <w:p w14:paraId="61428BFA">
                  <w:pPr>
                    <w:jc w:val="center"/>
                    <w:rPr>
                      <w:rFonts w:cs="Times New Roman"/>
                      <w:kern w:val="0"/>
                      <w:sz w:val="21"/>
                      <w:szCs w:val="21"/>
                    </w:rPr>
                  </w:pPr>
                  <w:r>
                    <w:rPr>
                      <w:rFonts w:hint="eastAsia" w:cs="Times New Roman"/>
                      <w:kern w:val="0"/>
                      <w:sz w:val="21"/>
                      <w:szCs w:val="21"/>
                    </w:rPr>
                    <w:t>10~60kg抛石基床</w:t>
                  </w:r>
                </w:p>
              </w:tc>
              <w:tc>
                <w:tcPr>
                  <w:tcW w:w="706" w:type="dxa"/>
                  <w:vAlign w:val="center"/>
                </w:tcPr>
                <w:p w14:paraId="5100DCEC">
                  <w:pPr>
                    <w:jc w:val="center"/>
                    <w:rPr>
                      <w:rFonts w:cs="Times New Roman"/>
                      <w:kern w:val="0"/>
                      <w:sz w:val="21"/>
                      <w:szCs w:val="21"/>
                    </w:rPr>
                  </w:pPr>
                  <w:r>
                    <w:rPr>
                      <w:rFonts w:hint="eastAsia" w:cs="Times New Roman"/>
                      <w:kern w:val="0"/>
                      <w:sz w:val="21"/>
                      <w:szCs w:val="21"/>
                    </w:rPr>
                    <w:t>m³</w:t>
                  </w:r>
                </w:p>
              </w:tc>
              <w:tc>
                <w:tcPr>
                  <w:tcW w:w="899" w:type="dxa"/>
                  <w:vAlign w:val="center"/>
                </w:tcPr>
                <w:p w14:paraId="2928212D">
                  <w:pPr>
                    <w:jc w:val="center"/>
                    <w:rPr>
                      <w:rFonts w:cs="Times New Roman"/>
                      <w:kern w:val="0"/>
                      <w:sz w:val="21"/>
                      <w:szCs w:val="21"/>
                    </w:rPr>
                  </w:pPr>
                  <w:r>
                    <w:rPr>
                      <w:rFonts w:hint="eastAsia" w:cs="Times New Roman"/>
                      <w:kern w:val="0"/>
                      <w:sz w:val="21"/>
                      <w:szCs w:val="21"/>
                    </w:rPr>
                    <w:t>220.50</w:t>
                  </w:r>
                </w:p>
              </w:tc>
              <w:tc>
                <w:tcPr>
                  <w:tcW w:w="2638" w:type="dxa"/>
                  <w:vAlign w:val="center"/>
                </w:tcPr>
                <w:p w14:paraId="038D9437">
                  <w:pPr>
                    <w:jc w:val="center"/>
                    <w:rPr>
                      <w:rFonts w:cs="Times New Roman"/>
                      <w:kern w:val="0"/>
                      <w:sz w:val="21"/>
                      <w:szCs w:val="21"/>
                    </w:rPr>
                  </w:pPr>
                  <w:r>
                    <w:rPr>
                      <w:rFonts w:hint="eastAsia" w:cs="Times New Roman"/>
                      <w:kern w:val="0"/>
                      <w:sz w:val="21"/>
                      <w:szCs w:val="21"/>
                    </w:rPr>
                    <w:t>未考虑沉降量</w:t>
                  </w:r>
                </w:p>
              </w:tc>
            </w:tr>
            <w:tr w14:paraId="4DCB7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C5FBEFB">
                  <w:pPr>
                    <w:jc w:val="center"/>
                    <w:rPr>
                      <w:rFonts w:cs="Times New Roman"/>
                      <w:kern w:val="0"/>
                      <w:sz w:val="21"/>
                      <w:szCs w:val="21"/>
                    </w:rPr>
                  </w:pPr>
                  <w:r>
                    <w:rPr>
                      <w:rFonts w:hint="eastAsia" w:cs="Times New Roman"/>
                      <w:kern w:val="0"/>
                      <w:sz w:val="21"/>
                      <w:szCs w:val="21"/>
                    </w:rPr>
                    <w:t>9</w:t>
                  </w:r>
                </w:p>
              </w:tc>
              <w:tc>
                <w:tcPr>
                  <w:tcW w:w="2676" w:type="dxa"/>
                  <w:vAlign w:val="center"/>
                </w:tcPr>
                <w:p w14:paraId="102E92E8">
                  <w:pPr>
                    <w:jc w:val="center"/>
                    <w:rPr>
                      <w:rFonts w:cs="Times New Roman"/>
                      <w:kern w:val="0"/>
                      <w:sz w:val="21"/>
                      <w:szCs w:val="21"/>
                    </w:rPr>
                  </w:pPr>
                  <w:r>
                    <w:rPr>
                      <w:rFonts w:hint="eastAsia" w:cs="Times New Roman"/>
                      <w:kern w:val="0"/>
                      <w:sz w:val="21"/>
                      <w:szCs w:val="21"/>
                    </w:rPr>
                    <w:t>60~100kg块石护底</w:t>
                  </w:r>
                </w:p>
              </w:tc>
              <w:tc>
                <w:tcPr>
                  <w:tcW w:w="706" w:type="dxa"/>
                  <w:vAlign w:val="center"/>
                </w:tcPr>
                <w:p w14:paraId="65C67B16">
                  <w:pPr>
                    <w:jc w:val="center"/>
                    <w:rPr>
                      <w:rFonts w:cs="Times New Roman"/>
                      <w:kern w:val="0"/>
                      <w:sz w:val="21"/>
                      <w:szCs w:val="21"/>
                    </w:rPr>
                  </w:pPr>
                  <w:r>
                    <w:rPr>
                      <w:rFonts w:hint="eastAsia" w:cs="Times New Roman"/>
                      <w:kern w:val="0"/>
                      <w:sz w:val="21"/>
                      <w:szCs w:val="21"/>
                    </w:rPr>
                    <w:t>m³</w:t>
                  </w:r>
                </w:p>
              </w:tc>
              <w:tc>
                <w:tcPr>
                  <w:tcW w:w="899" w:type="dxa"/>
                  <w:vAlign w:val="center"/>
                </w:tcPr>
                <w:p w14:paraId="0A6CECA9">
                  <w:pPr>
                    <w:jc w:val="center"/>
                    <w:rPr>
                      <w:rFonts w:cs="Times New Roman"/>
                      <w:kern w:val="0"/>
                      <w:sz w:val="21"/>
                      <w:szCs w:val="21"/>
                    </w:rPr>
                  </w:pPr>
                  <w:r>
                    <w:rPr>
                      <w:rFonts w:hint="eastAsia" w:cs="Times New Roman"/>
                      <w:kern w:val="0"/>
                      <w:sz w:val="21"/>
                      <w:szCs w:val="21"/>
                    </w:rPr>
                    <w:t>106.25</w:t>
                  </w:r>
                </w:p>
              </w:tc>
              <w:tc>
                <w:tcPr>
                  <w:tcW w:w="2638" w:type="dxa"/>
                  <w:vAlign w:val="center"/>
                </w:tcPr>
                <w:p w14:paraId="0FBFD7EE">
                  <w:pPr>
                    <w:jc w:val="center"/>
                    <w:rPr>
                      <w:rFonts w:cs="Times New Roman"/>
                      <w:kern w:val="0"/>
                      <w:sz w:val="21"/>
                      <w:szCs w:val="21"/>
                    </w:rPr>
                  </w:pPr>
                  <w:r>
                    <w:rPr>
                      <w:rFonts w:hint="eastAsia" w:cs="Times New Roman"/>
                      <w:kern w:val="0"/>
                      <w:sz w:val="21"/>
                      <w:szCs w:val="21"/>
                    </w:rPr>
                    <w:t>浇筑水下不分散混凝土</w:t>
                  </w:r>
                </w:p>
              </w:tc>
            </w:tr>
            <w:tr w14:paraId="5C82C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0EE6C3E">
                  <w:pPr>
                    <w:jc w:val="center"/>
                    <w:rPr>
                      <w:rFonts w:cs="Times New Roman"/>
                      <w:kern w:val="0"/>
                      <w:sz w:val="21"/>
                      <w:szCs w:val="21"/>
                    </w:rPr>
                  </w:pPr>
                  <w:r>
                    <w:rPr>
                      <w:rFonts w:hint="eastAsia" w:cs="Times New Roman"/>
                      <w:kern w:val="0"/>
                      <w:sz w:val="21"/>
                      <w:szCs w:val="21"/>
                    </w:rPr>
                    <w:t>10</w:t>
                  </w:r>
                </w:p>
              </w:tc>
              <w:tc>
                <w:tcPr>
                  <w:tcW w:w="2676" w:type="dxa"/>
                  <w:vAlign w:val="center"/>
                </w:tcPr>
                <w:p w14:paraId="25BB4AEF">
                  <w:pPr>
                    <w:jc w:val="center"/>
                    <w:rPr>
                      <w:rFonts w:cs="Times New Roman"/>
                      <w:kern w:val="0"/>
                      <w:sz w:val="21"/>
                      <w:szCs w:val="21"/>
                    </w:rPr>
                  </w:pPr>
                  <w:r>
                    <w:rPr>
                      <w:rFonts w:hint="eastAsia" w:cs="Times New Roman"/>
                      <w:kern w:val="0"/>
                      <w:sz w:val="21"/>
                      <w:szCs w:val="21"/>
                    </w:rPr>
                    <w:t>护轮槛</w:t>
                  </w:r>
                </w:p>
              </w:tc>
              <w:tc>
                <w:tcPr>
                  <w:tcW w:w="706" w:type="dxa"/>
                  <w:vAlign w:val="center"/>
                </w:tcPr>
                <w:p w14:paraId="1D368672">
                  <w:pPr>
                    <w:jc w:val="center"/>
                    <w:rPr>
                      <w:rFonts w:cs="Times New Roman"/>
                      <w:kern w:val="0"/>
                      <w:sz w:val="21"/>
                      <w:szCs w:val="21"/>
                    </w:rPr>
                  </w:pPr>
                  <w:r>
                    <w:rPr>
                      <w:rFonts w:hint="eastAsia" w:cs="Times New Roman"/>
                      <w:kern w:val="0"/>
                      <w:sz w:val="21"/>
                      <w:szCs w:val="21"/>
                    </w:rPr>
                    <w:t>m³</w:t>
                  </w:r>
                </w:p>
              </w:tc>
              <w:tc>
                <w:tcPr>
                  <w:tcW w:w="899" w:type="dxa"/>
                  <w:vAlign w:val="center"/>
                </w:tcPr>
                <w:p w14:paraId="4FD0922A">
                  <w:pPr>
                    <w:jc w:val="center"/>
                    <w:rPr>
                      <w:rFonts w:cs="Times New Roman"/>
                      <w:kern w:val="0"/>
                      <w:sz w:val="21"/>
                      <w:szCs w:val="21"/>
                    </w:rPr>
                  </w:pPr>
                  <w:r>
                    <w:rPr>
                      <w:rFonts w:hint="eastAsia" w:cs="Times New Roman"/>
                      <w:kern w:val="0"/>
                      <w:sz w:val="21"/>
                      <w:szCs w:val="21"/>
                    </w:rPr>
                    <w:t>7.92</w:t>
                  </w:r>
                </w:p>
              </w:tc>
              <w:tc>
                <w:tcPr>
                  <w:tcW w:w="2638" w:type="dxa"/>
                  <w:vAlign w:val="center"/>
                </w:tcPr>
                <w:p w14:paraId="0F842B6E">
                  <w:pPr>
                    <w:jc w:val="center"/>
                    <w:rPr>
                      <w:rFonts w:cs="Times New Roman"/>
                      <w:kern w:val="0"/>
                      <w:sz w:val="21"/>
                      <w:szCs w:val="21"/>
                    </w:rPr>
                  </w:pPr>
                </w:p>
              </w:tc>
            </w:tr>
            <w:tr w14:paraId="19D38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08FB7DD">
                  <w:pPr>
                    <w:jc w:val="center"/>
                    <w:rPr>
                      <w:rFonts w:cs="Times New Roman"/>
                      <w:kern w:val="0"/>
                      <w:sz w:val="21"/>
                      <w:szCs w:val="21"/>
                    </w:rPr>
                  </w:pPr>
                  <w:r>
                    <w:rPr>
                      <w:rFonts w:hint="eastAsia" w:cs="Times New Roman"/>
                      <w:kern w:val="0"/>
                      <w:sz w:val="21"/>
                      <w:szCs w:val="21"/>
                    </w:rPr>
                    <w:t>11</w:t>
                  </w:r>
                </w:p>
              </w:tc>
              <w:tc>
                <w:tcPr>
                  <w:tcW w:w="2676" w:type="dxa"/>
                  <w:vAlign w:val="center"/>
                </w:tcPr>
                <w:p w14:paraId="448D5527">
                  <w:pPr>
                    <w:jc w:val="center"/>
                    <w:rPr>
                      <w:rFonts w:cs="Times New Roman"/>
                      <w:kern w:val="0"/>
                      <w:sz w:val="21"/>
                      <w:szCs w:val="21"/>
                    </w:rPr>
                  </w:pPr>
                  <w:r>
                    <w:rPr>
                      <w:rFonts w:hint="eastAsia" w:cs="Times New Roman"/>
                      <w:kern w:val="0"/>
                      <w:sz w:val="21"/>
                      <w:szCs w:val="21"/>
                    </w:rPr>
                    <w:t>150KN系船柱</w:t>
                  </w:r>
                </w:p>
              </w:tc>
              <w:tc>
                <w:tcPr>
                  <w:tcW w:w="706" w:type="dxa"/>
                  <w:vAlign w:val="center"/>
                </w:tcPr>
                <w:p w14:paraId="7D089806">
                  <w:pPr>
                    <w:jc w:val="center"/>
                    <w:rPr>
                      <w:rFonts w:cs="Times New Roman"/>
                      <w:kern w:val="0"/>
                      <w:sz w:val="21"/>
                      <w:szCs w:val="21"/>
                    </w:rPr>
                  </w:pPr>
                  <w:r>
                    <w:rPr>
                      <w:rFonts w:hint="eastAsia" w:cs="Times New Roman"/>
                      <w:kern w:val="0"/>
                      <w:sz w:val="21"/>
                      <w:szCs w:val="21"/>
                    </w:rPr>
                    <w:t>个</w:t>
                  </w:r>
                </w:p>
              </w:tc>
              <w:tc>
                <w:tcPr>
                  <w:tcW w:w="899" w:type="dxa"/>
                  <w:vAlign w:val="center"/>
                </w:tcPr>
                <w:p w14:paraId="4DBD1CBC">
                  <w:pPr>
                    <w:jc w:val="center"/>
                    <w:rPr>
                      <w:rFonts w:cs="Times New Roman"/>
                      <w:kern w:val="0"/>
                      <w:sz w:val="21"/>
                      <w:szCs w:val="21"/>
                    </w:rPr>
                  </w:pPr>
                  <w:r>
                    <w:rPr>
                      <w:rFonts w:hint="eastAsia" w:cs="Times New Roman"/>
                      <w:kern w:val="0"/>
                      <w:sz w:val="21"/>
                      <w:szCs w:val="21"/>
                    </w:rPr>
                    <w:t>10</w:t>
                  </w:r>
                </w:p>
              </w:tc>
              <w:tc>
                <w:tcPr>
                  <w:tcW w:w="2638" w:type="dxa"/>
                  <w:vAlign w:val="center"/>
                </w:tcPr>
                <w:p w14:paraId="6B042A31">
                  <w:pPr>
                    <w:jc w:val="center"/>
                    <w:rPr>
                      <w:rFonts w:cs="Times New Roman"/>
                      <w:kern w:val="0"/>
                      <w:sz w:val="21"/>
                      <w:szCs w:val="21"/>
                    </w:rPr>
                  </w:pPr>
                </w:p>
              </w:tc>
            </w:tr>
            <w:tr w14:paraId="04C37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318E8F1">
                  <w:pPr>
                    <w:jc w:val="center"/>
                    <w:rPr>
                      <w:rFonts w:cs="Times New Roman"/>
                      <w:kern w:val="0"/>
                      <w:sz w:val="21"/>
                      <w:szCs w:val="21"/>
                    </w:rPr>
                  </w:pPr>
                  <w:r>
                    <w:rPr>
                      <w:rFonts w:hint="eastAsia" w:cs="Times New Roman"/>
                      <w:kern w:val="0"/>
                      <w:sz w:val="21"/>
                      <w:szCs w:val="21"/>
                    </w:rPr>
                    <w:t>12</w:t>
                  </w:r>
                </w:p>
              </w:tc>
              <w:tc>
                <w:tcPr>
                  <w:tcW w:w="2676" w:type="dxa"/>
                  <w:vAlign w:val="center"/>
                </w:tcPr>
                <w:p w14:paraId="4DAD58CA">
                  <w:pPr>
                    <w:jc w:val="center"/>
                    <w:rPr>
                      <w:rFonts w:cs="Times New Roman"/>
                      <w:kern w:val="0"/>
                      <w:sz w:val="21"/>
                      <w:szCs w:val="21"/>
                    </w:rPr>
                  </w:pPr>
                  <w:r>
                    <w:rPr>
                      <w:rFonts w:hint="eastAsia" w:cs="Times New Roman"/>
                      <w:kern w:val="0"/>
                      <w:sz w:val="21"/>
                      <w:szCs w:val="21"/>
                    </w:rPr>
                    <w:t>系船柱块体</w:t>
                  </w:r>
                </w:p>
              </w:tc>
              <w:tc>
                <w:tcPr>
                  <w:tcW w:w="706" w:type="dxa"/>
                  <w:vAlign w:val="center"/>
                </w:tcPr>
                <w:p w14:paraId="0E342529">
                  <w:pPr>
                    <w:jc w:val="center"/>
                    <w:rPr>
                      <w:rFonts w:cs="Times New Roman"/>
                      <w:kern w:val="0"/>
                      <w:sz w:val="21"/>
                      <w:szCs w:val="21"/>
                    </w:rPr>
                  </w:pPr>
                  <w:r>
                    <w:rPr>
                      <w:rFonts w:hint="eastAsia" w:cs="Times New Roman"/>
                      <w:kern w:val="0"/>
                      <w:sz w:val="21"/>
                      <w:szCs w:val="21"/>
                    </w:rPr>
                    <w:t>m³</w:t>
                  </w:r>
                </w:p>
              </w:tc>
              <w:tc>
                <w:tcPr>
                  <w:tcW w:w="899" w:type="dxa"/>
                  <w:vAlign w:val="center"/>
                </w:tcPr>
                <w:p w14:paraId="01825F54">
                  <w:pPr>
                    <w:jc w:val="center"/>
                    <w:rPr>
                      <w:rFonts w:cs="Times New Roman"/>
                      <w:kern w:val="0"/>
                      <w:sz w:val="21"/>
                      <w:szCs w:val="21"/>
                    </w:rPr>
                  </w:pPr>
                  <w:r>
                    <w:rPr>
                      <w:rFonts w:hint="eastAsia" w:cs="Times New Roman"/>
                      <w:kern w:val="0"/>
                      <w:sz w:val="21"/>
                      <w:szCs w:val="21"/>
                    </w:rPr>
                    <w:t>6.00</w:t>
                  </w:r>
                </w:p>
              </w:tc>
              <w:tc>
                <w:tcPr>
                  <w:tcW w:w="2638" w:type="dxa"/>
                  <w:vAlign w:val="center"/>
                </w:tcPr>
                <w:p w14:paraId="018FCD4C">
                  <w:pPr>
                    <w:jc w:val="center"/>
                    <w:rPr>
                      <w:rFonts w:cs="Times New Roman"/>
                      <w:kern w:val="0"/>
                      <w:sz w:val="21"/>
                      <w:szCs w:val="21"/>
                    </w:rPr>
                  </w:pPr>
                </w:p>
              </w:tc>
            </w:tr>
            <w:tr w14:paraId="3B167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5AAFB95D">
                  <w:pPr>
                    <w:jc w:val="center"/>
                    <w:rPr>
                      <w:rFonts w:cs="Times New Roman"/>
                      <w:kern w:val="0"/>
                      <w:sz w:val="21"/>
                      <w:szCs w:val="21"/>
                    </w:rPr>
                  </w:pPr>
                  <w:r>
                    <w:rPr>
                      <w:rFonts w:hint="eastAsia" w:cs="Times New Roman"/>
                      <w:kern w:val="0"/>
                      <w:sz w:val="21"/>
                      <w:szCs w:val="21"/>
                    </w:rPr>
                    <w:t>13</w:t>
                  </w:r>
                </w:p>
              </w:tc>
              <w:tc>
                <w:tcPr>
                  <w:tcW w:w="2676" w:type="dxa"/>
                  <w:vAlign w:val="center"/>
                </w:tcPr>
                <w:p w14:paraId="22671287">
                  <w:pPr>
                    <w:jc w:val="center"/>
                    <w:rPr>
                      <w:rFonts w:cs="Times New Roman"/>
                      <w:kern w:val="0"/>
                      <w:sz w:val="21"/>
                      <w:szCs w:val="21"/>
                    </w:rPr>
                  </w:pPr>
                  <w:r>
                    <w:rPr>
                      <w:rFonts w:hint="eastAsia" w:cs="Times New Roman"/>
                      <w:kern w:val="0"/>
                      <w:sz w:val="21"/>
                      <w:szCs w:val="21"/>
                    </w:rPr>
                    <w:t>橡胶护舷1</w:t>
                  </w:r>
                </w:p>
              </w:tc>
              <w:tc>
                <w:tcPr>
                  <w:tcW w:w="706" w:type="dxa"/>
                  <w:vAlign w:val="center"/>
                </w:tcPr>
                <w:p w14:paraId="673E9B6F">
                  <w:pPr>
                    <w:jc w:val="center"/>
                    <w:rPr>
                      <w:rFonts w:cs="Times New Roman"/>
                      <w:kern w:val="0"/>
                      <w:sz w:val="21"/>
                      <w:szCs w:val="21"/>
                    </w:rPr>
                  </w:pPr>
                  <w:r>
                    <w:rPr>
                      <w:rFonts w:hint="eastAsia" w:cs="Times New Roman"/>
                      <w:kern w:val="0"/>
                      <w:sz w:val="21"/>
                      <w:szCs w:val="21"/>
                    </w:rPr>
                    <w:t>个</w:t>
                  </w:r>
                </w:p>
              </w:tc>
              <w:tc>
                <w:tcPr>
                  <w:tcW w:w="899" w:type="dxa"/>
                  <w:vAlign w:val="center"/>
                </w:tcPr>
                <w:p w14:paraId="67DDDBB8">
                  <w:pPr>
                    <w:jc w:val="center"/>
                    <w:rPr>
                      <w:rFonts w:cs="Times New Roman"/>
                      <w:kern w:val="0"/>
                      <w:sz w:val="21"/>
                      <w:szCs w:val="21"/>
                    </w:rPr>
                  </w:pPr>
                  <w:r>
                    <w:rPr>
                      <w:rFonts w:hint="eastAsia" w:cs="Times New Roman"/>
                      <w:kern w:val="0"/>
                      <w:sz w:val="21"/>
                      <w:szCs w:val="21"/>
                    </w:rPr>
                    <w:t>18</w:t>
                  </w:r>
                </w:p>
              </w:tc>
              <w:tc>
                <w:tcPr>
                  <w:tcW w:w="2638" w:type="dxa"/>
                  <w:vAlign w:val="center"/>
                </w:tcPr>
                <w:p w14:paraId="45431F59">
                  <w:pPr>
                    <w:jc w:val="center"/>
                    <w:rPr>
                      <w:rFonts w:cs="Times New Roman"/>
                      <w:kern w:val="0"/>
                      <w:sz w:val="21"/>
                      <w:szCs w:val="21"/>
                    </w:rPr>
                  </w:pPr>
                  <w:r>
                    <w:rPr>
                      <w:rFonts w:hint="eastAsia" w:cs="Times New Roman"/>
                      <w:kern w:val="0"/>
                      <w:sz w:val="21"/>
                      <w:szCs w:val="21"/>
                    </w:rPr>
                    <w:t>D300×300×1000-3Z</w:t>
                  </w:r>
                </w:p>
              </w:tc>
            </w:tr>
            <w:tr w14:paraId="23BF5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8BA403B">
                  <w:pPr>
                    <w:jc w:val="center"/>
                    <w:rPr>
                      <w:rFonts w:cs="Times New Roman"/>
                      <w:kern w:val="0"/>
                      <w:sz w:val="21"/>
                      <w:szCs w:val="21"/>
                    </w:rPr>
                  </w:pPr>
                  <w:r>
                    <w:rPr>
                      <w:rFonts w:hint="eastAsia" w:cs="Times New Roman"/>
                      <w:kern w:val="0"/>
                      <w:sz w:val="21"/>
                      <w:szCs w:val="21"/>
                    </w:rPr>
                    <w:t>14</w:t>
                  </w:r>
                </w:p>
              </w:tc>
              <w:tc>
                <w:tcPr>
                  <w:tcW w:w="2676" w:type="dxa"/>
                  <w:vAlign w:val="center"/>
                </w:tcPr>
                <w:p w14:paraId="4C3EFE89">
                  <w:pPr>
                    <w:jc w:val="center"/>
                    <w:rPr>
                      <w:rFonts w:cs="Times New Roman"/>
                      <w:kern w:val="0"/>
                      <w:sz w:val="21"/>
                      <w:szCs w:val="21"/>
                    </w:rPr>
                  </w:pPr>
                  <w:r>
                    <w:rPr>
                      <w:rFonts w:hint="eastAsia" w:cs="Times New Roman"/>
                      <w:kern w:val="0"/>
                      <w:sz w:val="21"/>
                      <w:szCs w:val="21"/>
                    </w:rPr>
                    <w:t>橡胶护舷2</w:t>
                  </w:r>
                </w:p>
              </w:tc>
              <w:tc>
                <w:tcPr>
                  <w:tcW w:w="706" w:type="dxa"/>
                  <w:vAlign w:val="center"/>
                </w:tcPr>
                <w:p w14:paraId="27B7A536">
                  <w:pPr>
                    <w:jc w:val="center"/>
                    <w:rPr>
                      <w:rFonts w:cs="Times New Roman"/>
                      <w:kern w:val="0"/>
                      <w:sz w:val="21"/>
                      <w:szCs w:val="21"/>
                    </w:rPr>
                  </w:pPr>
                  <w:r>
                    <w:rPr>
                      <w:rFonts w:hint="eastAsia" w:cs="Times New Roman"/>
                      <w:kern w:val="0"/>
                      <w:sz w:val="21"/>
                      <w:szCs w:val="21"/>
                    </w:rPr>
                    <w:t>个</w:t>
                  </w:r>
                </w:p>
              </w:tc>
              <w:tc>
                <w:tcPr>
                  <w:tcW w:w="899" w:type="dxa"/>
                  <w:vAlign w:val="center"/>
                </w:tcPr>
                <w:p w14:paraId="4B49E17B">
                  <w:pPr>
                    <w:jc w:val="center"/>
                    <w:rPr>
                      <w:rFonts w:cs="Times New Roman"/>
                      <w:kern w:val="0"/>
                      <w:sz w:val="21"/>
                      <w:szCs w:val="21"/>
                    </w:rPr>
                  </w:pPr>
                  <w:r>
                    <w:rPr>
                      <w:rFonts w:hint="eastAsia" w:cs="Times New Roman"/>
                      <w:kern w:val="0"/>
                      <w:sz w:val="21"/>
                      <w:szCs w:val="21"/>
                    </w:rPr>
                    <w:t>36</w:t>
                  </w:r>
                </w:p>
              </w:tc>
              <w:tc>
                <w:tcPr>
                  <w:tcW w:w="2638" w:type="dxa"/>
                  <w:vAlign w:val="center"/>
                </w:tcPr>
                <w:p w14:paraId="6C5C15DB">
                  <w:pPr>
                    <w:jc w:val="center"/>
                    <w:rPr>
                      <w:rFonts w:cs="Times New Roman"/>
                      <w:kern w:val="0"/>
                      <w:sz w:val="21"/>
                      <w:szCs w:val="21"/>
                    </w:rPr>
                  </w:pPr>
                  <w:r>
                    <w:rPr>
                      <w:rFonts w:hint="eastAsia" w:cs="Times New Roman"/>
                      <w:kern w:val="0"/>
                      <w:sz w:val="21"/>
                      <w:szCs w:val="21"/>
                    </w:rPr>
                    <w:t>D300×300×1500-3Z</w:t>
                  </w:r>
                </w:p>
              </w:tc>
            </w:tr>
            <w:tr w14:paraId="3C694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F18FD3F">
                  <w:pPr>
                    <w:jc w:val="center"/>
                    <w:rPr>
                      <w:rFonts w:cs="Times New Roman"/>
                      <w:kern w:val="0"/>
                      <w:sz w:val="21"/>
                      <w:szCs w:val="21"/>
                    </w:rPr>
                  </w:pPr>
                  <w:r>
                    <w:rPr>
                      <w:rFonts w:hint="eastAsia" w:cs="Times New Roman"/>
                      <w:kern w:val="0"/>
                      <w:sz w:val="21"/>
                      <w:szCs w:val="21"/>
                    </w:rPr>
                    <w:t>15</w:t>
                  </w:r>
                </w:p>
              </w:tc>
              <w:tc>
                <w:tcPr>
                  <w:tcW w:w="2676" w:type="dxa"/>
                  <w:vAlign w:val="center"/>
                </w:tcPr>
                <w:p w14:paraId="7CB8536B">
                  <w:pPr>
                    <w:jc w:val="center"/>
                    <w:rPr>
                      <w:rFonts w:cs="Times New Roman"/>
                      <w:kern w:val="0"/>
                      <w:sz w:val="21"/>
                      <w:szCs w:val="21"/>
                    </w:rPr>
                  </w:pPr>
                  <w:r>
                    <w:rPr>
                      <w:rFonts w:hint="eastAsia" w:cs="Times New Roman"/>
                      <w:kern w:val="0"/>
                      <w:sz w:val="21"/>
                      <w:szCs w:val="21"/>
                    </w:rPr>
                    <w:t>橡胶护舷3</w:t>
                  </w:r>
                </w:p>
              </w:tc>
              <w:tc>
                <w:tcPr>
                  <w:tcW w:w="706" w:type="dxa"/>
                  <w:vAlign w:val="center"/>
                </w:tcPr>
                <w:p w14:paraId="466521B0">
                  <w:pPr>
                    <w:jc w:val="center"/>
                    <w:rPr>
                      <w:rFonts w:cs="Times New Roman"/>
                      <w:kern w:val="0"/>
                      <w:sz w:val="21"/>
                      <w:szCs w:val="21"/>
                    </w:rPr>
                  </w:pPr>
                  <w:r>
                    <w:rPr>
                      <w:rFonts w:hint="eastAsia" w:cs="Times New Roman"/>
                      <w:kern w:val="0"/>
                      <w:sz w:val="21"/>
                      <w:szCs w:val="21"/>
                    </w:rPr>
                    <w:t>个</w:t>
                  </w:r>
                </w:p>
              </w:tc>
              <w:tc>
                <w:tcPr>
                  <w:tcW w:w="899" w:type="dxa"/>
                  <w:vAlign w:val="center"/>
                </w:tcPr>
                <w:p w14:paraId="30CA337B">
                  <w:pPr>
                    <w:jc w:val="center"/>
                    <w:rPr>
                      <w:rFonts w:cs="Times New Roman"/>
                      <w:kern w:val="0"/>
                      <w:sz w:val="21"/>
                      <w:szCs w:val="21"/>
                    </w:rPr>
                  </w:pPr>
                  <w:r>
                    <w:rPr>
                      <w:rFonts w:hint="eastAsia" w:cs="Times New Roman"/>
                      <w:kern w:val="0"/>
                      <w:sz w:val="21"/>
                      <w:szCs w:val="21"/>
                    </w:rPr>
                    <w:t>6</w:t>
                  </w:r>
                </w:p>
              </w:tc>
              <w:tc>
                <w:tcPr>
                  <w:tcW w:w="2638" w:type="dxa"/>
                  <w:vAlign w:val="center"/>
                </w:tcPr>
                <w:p w14:paraId="5825C7A7">
                  <w:pPr>
                    <w:jc w:val="center"/>
                    <w:rPr>
                      <w:rFonts w:cs="Times New Roman"/>
                      <w:kern w:val="0"/>
                      <w:sz w:val="21"/>
                      <w:szCs w:val="21"/>
                    </w:rPr>
                  </w:pPr>
                  <w:r>
                    <w:rPr>
                      <w:rFonts w:hint="eastAsia" w:cs="Times New Roman"/>
                      <w:kern w:val="0"/>
                      <w:sz w:val="21"/>
                      <w:szCs w:val="21"/>
                    </w:rPr>
                    <w:t>D300包角护舷</w:t>
                  </w:r>
                </w:p>
              </w:tc>
            </w:tr>
            <w:tr w14:paraId="2FA6A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DD2FC91">
                  <w:pPr>
                    <w:jc w:val="center"/>
                    <w:rPr>
                      <w:rFonts w:cs="Times New Roman"/>
                      <w:kern w:val="0"/>
                      <w:sz w:val="21"/>
                      <w:szCs w:val="21"/>
                    </w:rPr>
                  </w:pPr>
                  <w:r>
                    <w:rPr>
                      <w:rFonts w:hint="eastAsia" w:cs="Times New Roman"/>
                      <w:kern w:val="0"/>
                      <w:sz w:val="21"/>
                      <w:szCs w:val="21"/>
                    </w:rPr>
                    <w:t>16</w:t>
                  </w:r>
                </w:p>
              </w:tc>
              <w:tc>
                <w:tcPr>
                  <w:tcW w:w="2676" w:type="dxa"/>
                  <w:vAlign w:val="center"/>
                </w:tcPr>
                <w:p w14:paraId="123013EE">
                  <w:pPr>
                    <w:jc w:val="center"/>
                    <w:rPr>
                      <w:rFonts w:cs="Times New Roman"/>
                      <w:kern w:val="0"/>
                      <w:sz w:val="21"/>
                      <w:szCs w:val="21"/>
                    </w:rPr>
                  </w:pPr>
                  <w:r>
                    <w:rPr>
                      <w:rFonts w:hint="eastAsia" w:cs="Times New Roman"/>
                      <w:kern w:val="0"/>
                      <w:sz w:val="21"/>
                      <w:szCs w:val="21"/>
                    </w:rPr>
                    <w:t>开挖量</w:t>
                  </w:r>
                </w:p>
              </w:tc>
              <w:tc>
                <w:tcPr>
                  <w:tcW w:w="706" w:type="dxa"/>
                  <w:vAlign w:val="center"/>
                </w:tcPr>
                <w:p w14:paraId="59794F5A">
                  <w:pPr>
                    <w:jc w:val="center"/>
                    <w:rPr>
                      <w:rFonts w:cs="Times New Roman"/>
                      <w:kern w:val="0"/>
                      <w:sz w:val="21"/>
                      <w:szCs w:val="21"/>
                    </w:rPr>
                  </w:pPr>
                  <w:r>
                    <w:rPr>
                      <w:rFonts w:hint="eastAsia" w:cs="Times New Roman"/>
                      <w:kern w:val="0"/>
                      <w:sz w:val="21"/>
                      <w:szCs w:val="21"/>
                    </w:rPr>
                    <w:t>m³</w:t>
                  </w:r>
                </w:p>
              </w:tc>
              <w:tc>
                <w:tcPr>
                  <w:tcW w:w="899" w:type="dxa"/>
                  <w:vAlign w:val="center"/>
                </w:tcPr>
                <w:p w14:paraId="1DE60AE3">
                  <w:pPr>
                    <w:jc w:val="center"/>
                    <w:rPr>
                      <w:rFonts w:cs="Times New Roman"/>
                      <w:kern w:val="0"/>
                      <w:sz w:val="21"/>
                      <w:szCs w:val="21"/>
                    </w:rPr>
                  </w:pPr>
                  <w:r>
                    <w:rPr>
                      <w:rFonts w:hint="eastAsia" w:cs="Times New Roman"/>
                      <w:kern w:val="0"/>
                      <w:sz w:val="21"/>
                      <w:szCs w:val="21"/>
                    </w:rPr>
                    <w:t>725.54</w:t>
                  </w:r>
                </w:p>
              </w:tc>
              <w:tc>
                <w:tcPr>
                  <w:tcW w:w="2638" w:type="dxa"/>
                  <w:vAlign w:val="center"/>
                </w:tcPr>
                <w:p w14:paraId="1D3C5C1E">
                  <w:pPr>
                    <w:jc w:val="center"/>
                    <w:rPr>
                      <w:rFonts w:cs="Times New Roman"/>
                      <w:kern w:val="0"/>
                      <w:sz w:val="21"/>
                      <w:szCs w:val="21"/>
                    </w:rPr>
                  </w:pPr>
                </w:p>
              </w:tc>
            </w:tr>
            <w:tr w14:paraId="71EB8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66716ED">
                  <w:pPr>
                    <w:jc w:val="center"/>
                    <w:rPr>
                      <w:rFonts w:cs="Times New Roman"/>
                      <w:kern w:val="0"/>
                      <w:sz w:val="21"/>
                      <w:szCs w:val="21"/>
                    </w:rPr>
                  </w:pPr>
                  <w:r>
                    <w:rPr>
                      <w:rFonts w:hint="eastAsia" w:cs="Times New Roman"/>
                      <w:kern w:val="0"/>
                      <w:sz w:val="21"/>
                      <w:szCs w:val="21"/>
                    </w:rPr>
                    <w:t>17</w:t>
                  </w:r>
                </w:p>
              </w:tc>
              <w:tc>
                <w:tcPr>
                  <w:tcW w:w="2676" w:type="dxa"/>
                  <w:vAlign w:val="center"/>
                </w:tcPr>
                <w:p w14:paraId="5BE75B30">
                  <w:pPr>
                    <w:jc w:val="center"/>
                    <w:rPr>
                      <w:rFonts w:cs="Times New Roman"/>
                      <w:kern w:val="0"/>
                      <w:sz w:val="21"/>
                      <w:szCs w:val="21"/>
                    </w:rPr>
                  </w:pPr>
                  <w:r>
                    <w:rPr>
                      <w:rFonts w:hint="eastAsia" w:cs="Times New Roman"/>
                      <w:kern w:val="0"/>
                      <w:sz w:val="21"/>
                      <w:szCs w:val="21"/>
                    </w:rPr>
                    <w:t>栏杆</w:t>
                  </w:r>
                </w:p>
              </w:tc>
              <w:tc>
                <w:tcPr>
                  <w:tcW w:w="706" w:type="dxa"/>
                  <w:vAlign w:val="center"/>
                </w:tcPr>
                <w:p w14:paraId="55A21927">
                  <w:pPr>
                    <w:jc w:val="center"/>
                    <w:rPr>
                      <w:rFonts w:cs="Times New Roman"/>
                      <w:kern w:val="0"/>
                      <w:sz w:val="21"/>
                      <w:szCs w:val="21"/>
                    </w:rPr>
                  </w:pPr>
                  <w:r>
                    <w:rPr>
                      <w:rFonts w:hint="eastAsia" w:cs="Times New Roman"/>
                      <w:kern w:val="0"/>
                      <w:sz w:val="21"/>
                      <w:szCs w:val="21"/>
                    </w:rPr>
                    <w:t>m</w:t>
                  </w:r>
                </w:p>
              </w:tc>
              <w:tc>
                <w:tcPr>
                  <w:tcW w:w="899" w:type="dxa"/>
                  <w:vAlign w:val="center"/>
                </w:tcPr>
                <w:p w14:paraId="46ABC968">
                  <w:pPr>
                    <w:jc w:val="center"/>
                    <w:rPr>
                      <w:rFonts w:cs="Times New Roman"/>
                      <w:kern w:val="0"/>
                      <w:sz w:val="21"/>
                      <w:szCs w:val="21"/>
                    </w:rPr>
                  </w:pPr>
                  <w:r>
                    <w:rPr>
                      <w:rFonts w:hint="eastAsia" w:cs="Times New Roman"/>
                      <w:kern w:val="0"/>
                      <w:sz w:val="21"/>
                      <w:szCs w:val="21"/>
                    </w:rPr>
                    <w:t>87.45</w:t>
                  </w:r>
                </w:p>
              </w:tc>
              <w:tc>
                <w:tcPr>
                  <w:tcW w:w="2638" w:type="dxa"/>
                  <w:vAlign w:val="center"/>
                </w:tcPr>
                <w:p w14:paraId="475A6543">
                  <w:pPr>
                    <w:jc w:val="center"/>
                    <w:rPr>
                      <w:rFonts w:cs="Times New Roman"/>
                      <w:kern w:val="0"/>
                      <w:sz w:val="21"/>
                      <w:szCs w:val="21"/>
                    </w:rPr>
                  </w:pPr>
                </w:p>
              </w:tc>
            </w:tr>
            <w:tr w14:paraId="4C97A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331B520">
                  <w:pPr>
                    <w:jc w:val="center"/>
                    <w:rPr>
                      <w:rFonts w:cs="Times New Roman"/>
                      <w:kern w:val="0"/>
                      <w:sz w:val="21"/>
                      <w:szCs w:val="21"/>
                    </w:rPr>
                  </w:pPr>
                  <w:r>
                    <w:rPr>
                      <w:rFonts w:hint="eastAsia" w:cs="Times New Roman"/>
                      <w:kern w:val="0"/>
                      <w:sz w:val="21"/>
                      <w:szCs w:val="21"/>
                    </w:rPr>
                    <w:t>18</w:t>
                  </w:r>
                </w:p>
              </w:tc>
              <w:tc>
                <w:tcPr>
                  <w:tcW w:w="2676" w:type="dxa"/>
                  <w:vAlign w:val="center"/>
                </w:tcPr>
                <w:p w14:paraId="54FE8123">
                  <w:pPr>
                    <w:jc w:val="center"/>
                    <w:rPr>
                      <w:rFonts w:cs="Times New Roman"/>
                      <w:kern w:val="0"/>
                      <w:sz w:val="21"/>
                      <w:szCs w:val="21"/>
                    </w:rPr>
                  </w:pPr>
                  <w:r>
                    <w:rPr>
                      <w:rFonts w:hint="eastAsia" w:cs="Times New Roman"/>
                      <w:kern w:val="0"/>
                      <w:sz w:val="21"/>
                      <w:szCs w:val="21"/>
                    </w:rPr>
                    <w:t>护边角钢</w:t>
                  </w:r>
                </w:p>
              </w:tc>
              <w:tc>
                <w:tcPr>
                  <w:tcW w:w="706" w:type="dxa"/>
                  <w:vAlign w:val="center"/>
                </w:tcPr>
                <w:p w14:paraId="42AD06F0">
                  <w:pPr>
                    <w:jc w:val="center"/>
                    <w:rPr>
                      <w:rFonts w:cs="Times New Roman"/>
                      <w:kern w:val="0"/>
                      <w:sz w:val="21"/>
                      <w:szCs w:val="21"/>
                    </w:rPr>
                  </w:pPr>
                  <w:r>
                    <w:rPr>
                      <w:rFonts w:hint="eastAsia" w:cs="Times New Roman"/>
                      <w:kern w:val="0"/>
                      <w:sz w:val="21"/>
                      <w:szCs w:val="21"/>
                    </w:rPr>
                    <w:t>m</w:t>
                  </w:r>
                </w:p>
              </w:tc>
              <w:tc>
                <w:tcPr>
                  <w:tcW w:w="899" w:type="dxa"/>
                  <w:vAlign w:val="center"/>
                </w:tcPr>
                <w:p w14:paraId="02EFFC42">
                  <w:pPr>
                    <w:jc w:val="center"/>
                    <w:rPr>
                      <w:rFonts w:cs="Times New Roman"/>
                      <w:kern w:val="0"/>
                      <w:sz w:val="21"/>
                      <w:szCs w:val="21"/>
                    </w:rPr>
                  </w:pPr>
                  <w:r>
                    <w:rPr>
                      <w:rFonts w:hint="eastAsia" w:cs="Times New Roman"/>
                      <w:kern w:val="0"/>
                      <w:sz w:val="21"/>
                      <w:szCs w:val="21"/>
                    </w:rPr>
                    <w:t>5</w:t>
                  </w:r>
                </w:p>
              </w:tc>
              <w:tc>
                <w:tcPr>
                  <w:tcW w:w="2638" w:type="dxa"/>
                  <w:vAlign w:val="center"/>
                </w:tcPr>
                <w:p w14:paraId="4BAD2600">
                  <w:pPr>
                    <w:jc w:val="center"/>
                    <w:rPr>
                      <w:rFonts w:cs="Times New Roman"/>
                      <w:kern w:val="0"/>
                      <w:sz w:val="21"/>
                      <w:szCs w:val="21"/>
                    </w:rPr>
                  </w:pPr>
                  <w:r>
                    <w:rPr>
                      <w:rFonts w:hint="eastAsia" w:cs="Times New Roman"/>
                      <w:kern w:val="0"/>
                      <w:sz w:val="21"/>
                      <w:szCs w:val="21"/>
                    </w:rPr>
                    <w:t>63×6</w:t>
                  </w:r>
                </w:p>
              </w:tc>
            </w:tr>
            <w:tr w14:paraId="19186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7" w:type="dxa"/>
                  <w:gridSpan w:val="5"/>
                  <w:vAlign w:val="center"/>
                </w:tcPr>
                <w:p w14:paraId="51B7F3FF">
                  <w:pPr>
                    <w:jc w:val="center"/>
                    <w:rPr>
                      <w:rFonts w:cs="Times New Roman"/>
                      <w:b/>
                      <w:bCs/>
                      <w:kern w:val="0"/>
                      <w:sz w:val="21"/>
                      <w:szCs w:val="21"/>
                    </w:rPr>
                  </w:pPr>
                  <w:r>
                    <w:rPr>
                      <w:rFonts w:hint="eastAsia" w:cs="Times New Roman"/>
                      <w:b/>
                      <w:bCs/>
                      <w:kern w:val="0"/>
                      <w:sz w:val="21"/>
                      <w:szCs w:val="21"/>
                    </w:rPr>
                    <w:t>标准段工作船码头实心方块结构工程量</w:t>
                  </w:r>
                </w:p>
              </w:tc>
            </w:tr>
            <w:tr w14:paraId="7D5B7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233824D">
                  <w:pPr>
                    <w:jc w:val="center"/>
                    <w:rPr>
                      <w:rFonts w:cs="Times New Roman"/>
                      <w:kern w:val="0"/>
                      <w:sz w:val="21"/>
                      <w:szCs w:val="21"/>
                    </w:rPr>
                  </w:pPr>
                  <w:r>
                    <w:rPr>
                      <w:rFonts w:hint="eastAsia" w:cs="Times New Roman"/>
                      <w:kern w:val="0"/>
                      <w:sz w:val="21"/>
                      <w:szCs w:val="21"/>
                    </w:rPr>
                    <w:t>1</w:t>
                  </w:r>
                </w:p>
              </w:tc>
              <w:tc>
                <w:tcPr>
                  <w:tcW w:w="2676" w:type="dxa"/>
                  <w:vAlign w:val="center"/>
                </w:tcPr>
                <w:p w14:paraId="5D1A8DED">
                  <w:pPr>
                    <w:jc w:val="center"/>
                    <w:rPr>
                      <w:rFonts w:cs="Times New Roman"/>
                      <w:kern w:val="0"/>
                      <w:sz w:val="21"/>
                      <w:szCs w:val="21"/>
                    </w:rPr>
                  </w:pPr>
                  <w:r>
                    <w:rPr>
                      <w:rFonts w:hint="eastAsia" w:cs="Times New Roman"/>
                      <w:kern w:val="0"/>
                      <w:sz w:val="21"/>
                      <w:szCs w:val="21"/>
                    </w:rPr>
                    <w:t>现浇混凝土胸墙</w:t>
                  </w:r>
                </w:p>
              </w:tc>
              <w:tc>
                <w:tcPr>
                  <w:tcW w:w="706" w:type="dxa"/>
                  <w:vAlign w:val="center"/>
                </w:tcPr>
                <w:p w14:paraId="5EC3A1A6">
                  <w:pPr>
                    <w:jc w:val="center"/>
                    <w:rPr>
                      <w:rFonts w:cs="Times New Roman"/>
                      <w:kern w:val="0"/>
                      <w:sz w:val="21"/>
                      <w:szCs w:val="21"/>
                    </w:rPr>
                  </w:pPr>
                  <w:r>
                    <w:rPr>
                      <w:rFonts w:hint="eastAsia" w:cs="Times New Roman"/>
                      <w:kern w:val="0"/>
                      <w:sz w:val="21"/>
                      <w:szCs w:val="21"/>
                    </w:rPr>
                    <w:t>m³</w:t>
                  </w:r>
                </w:p>
              </w:tc>
              <w:tc>
                <w:tcPr>
                  <w:tcW w:w="899" w:type="dxa"/>
                  <w:vAlign w:val="center"/>
                </w:tcPr>
                <w:p w14:paraId="121D545E">
                  <w:pPr>
                    <w:jc w:val="center"/>
                    <w:rPr>
                      <w:rFonts w:cs="Times New Roman"/>
                      <w:kern w:val="0"/>
                      <w:sz w:val="21"/>
                      <w:szCs w:val="21"/>
                    </w:rPr>
                  </w:pPr>
                  <w:r>
                    <w:rPr>
                      <w:rFonts w:hint="eastAsia" w:cs="Times New Roman"/>
                      <w:kern w:val="0"/>
                      <w:sz w:val="21"/>
                      <w:szCs w:val="21"/>
                    </w:rPr>
                    <w:t>945.19</w:t>
                  </w:r>
                </w:p>
              </w:tc>
              <w:tc>
                <w:tcPr>
                  <w:tcW w:w="2638" w:type="dxa"/>
                  <w:vAlign w:val="center"/>
                </w:tcPr>
                <w:p w14:paraId="0A3A65AE">
                  <w:pPr>
                    <w:jc w:val="center"/>
                    <w:rPr>
                      <w:rFonts w:cs="Times New Roman"/>
                      <w:kern w:val="0"/>
                      <w:sz w:val="21"/>
                      <w:szCs w:val="21"/>
                    </w:rPr>
                  </w:pPr>
                  <w:r>
                    <w:rPr>
                      <w:rFonts w:hint="eastAsia" w:cs="Times New Roman"/>
                      <w:kern w:val="0"/>
                      <w:sz w:val="21"/>
                      <w:szCs w:val="21"/>
                    </w:rPr>
                    <w:t>C30F300</w:t>
                  </w:r>
                </w:p>
              </w:tc>
            </w:tr>
            <w:tr w14:paraId="5B666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restart"/>
                  <w:vAlign w:val="center"/>
                </w:tcPr>
                <w:p w14:paraId="0A0D9F95">
                  <w:pPr>
                    <w:jc w:val="center"/>
                    <w:rPr>
                      <w:rFonts w:cs="Times New Roman"/>
                      <w:kern w:val="0"/>
                      <w:sz w:val="21"/>
                      <w:szCs w:val="21"/>
                    </w:rPr>
                  </w:pPr>
                  <w:r>
                    <w:rPr>
                      <w:rFonts w:hint="eastAsia" w:cs="Times New Roman"/>
                      <w:kern w:val="0"/>
                      <w:sz w:val="21"/>
                      <w:szCs w:val="21"/>
                    </w:rPr>
                    <w:t>2</w:t>
                  </w:r>
                </w:p>
              </w:tc>
              <w:tc>
                <w:tcPr>
                  <w:tcW w:w="2676" w:type="dxa"/>
                  <w:vAlign w:val="center"/>
                </w:tcPr>
                <w:p w14:paraId="47AFC5BC">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3D419663">
                  <w:pPr>
                    <w:jc w:val="center"/>
                    <w:rPr>
                      <w:rFonts w:cs="Times New Roman"/>
                      <w:kern w:val="0"/>
                      <w:sz w:val="21"/>
                      <w:szCs w:val="21"/>
                    </w:rPr>
                  </w:pPr>
                  <w:r>
                    <w:rPr>
                      <w:rFonts w:hint="eastAsia" w:cs="Times New Roman"/>
                      <w:kern w:val="0"/>
                      <w:sz w:val="21"/>
                      <w:szCs w:val="21"/>
                    </w:rPr>
                    <w:t>个</w:t>
                  </w:r>
                </w:p>
              </w:tc>
              <w:tc>
                <w:tcPr>
                  <w:tcW w:w="899" w:type="dxa"/>
                  <w:vAlign w:val="center"/>
                </w:tcPr>
                <w:p w14:paraId="18332CAF">
                  <w:pPr>
                    <w:jc w:val="center"/>
                    <w:rPr>
                      <w:rFonts w:cs="Times New Roman"/>
                      <w:kern w:val="0"/>
                      <w:sz w:val="21"/>
                      <w:szCs w:val="21"/>
                    </w:rPr>
                  </w:pPr>
                  <w:r>
                    <w:rPr>
                      <w:rFonts w:hint="eastAsia" w:cs="Times New Roman"/>
                      <w:kern w:val="0"/>
                      <w:sz w:val="21"/>
                      <w:szCs w:val="21"/>
                    </w:rPr>
                    <w:t>30</w:t>
                  </w:r>
                </w:p>
              </w:tc>
              <w:tc>
                <w:tcPr>
                  <w:tcW w:w="2638" w:type="dxa"/>
                  <w:vMerge w:val="restart"/>
                  <w:vAlign w:val="center"/>
                </w:tcPr>
                <w:p w14:paraId="7E45EB72">
                  <w:pPr>
                    <w:jc w:val="center"/>
                    <w:rPr>
                      <w:rFonts w:cs="Times New Roman"/>
                      <w:kern w:val="0"/>
                      <w:sz w:val="21"/>
                      <w:szCs w:val="21"/>
                    </w:rPr>
                  </w:pPr>
                  <w:r>
                    <w:rPr>
                      <w:rFonts w:hint="eastAsia" w:cs="Times New Roman"/>
                      <w:kern w:val="0"/>
                      <w:sz w:val="21"/>
                      <w:szCs w:val="21"/>
                    </w:rPr>
                    <w:t>C30F300，3.35m×3m×1.6m</w:t>
                  </w:r>
                </w:p>
              </w:tc>
            </w:tr>
            <w:tr w14:paraId="7FBF7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7808D13">
                  <w:pPr>
                    <w:jc w:val="center"/>
                    <w:rPr>
                      <w:rFonts w:cs="Times New Roman"/>
                      <w:kern w:val="0"/>
                      <w:sz w:val="21"/>
                      <w:szCs w:val="21"/>
                    </w:rPr>
                  </w:pPr>
                </w:p>
              </w:tc>
              <w:tc>
                <w:tcPr>
                  <w:tcW w:w="2676" w:type="dxa"/>
                  <w:vAlign w:val="center"/>
                </w:tcPr>
                <w:p w14:paraId="69B0C3F4">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3D5A4E5E">
                  <w:pPr>
                    <w:jc w:val="center"/>
                    <w:rPr>
                      <w:rFonts w:cs="Times New Roman"/>
                      <w:kern w:val="0"/>
                      <w:sz w:val="21"/>
                      <w:szCs w:val="21"/>
                    </w:rPr>
                  </w:pPr>
                  <w:r>
                    <w:rPr>
                      <w:rFonts w:hint="eastAsia" w:cs="Times New Roman"/>
                      <w:kern w:val="0"/>
                      <w:sz w:val="21"/>
                      <w:szCs w:val="21"/>
                    </w:rPr>
                    <w:t>m³</w:t>
                  </w:r>
                </w:p>
              </w:tc>
              <w:tc>
                <w:tcPr>
                  <w:tcW w:w="899" w:type="dxa"/>
                  <w:vAlign w:val="center"/>
                </w:tcPr>
                <w:p w14:paraId="4C7D471C">
                  <w:pPr>
                    <w:jc w:val="center"/>
                    <w:rPr>
                      <w:rFonts w:cs="Times New Roman"/>
                      <w:kern w:val="0"/>
                      <w:sz w:val="21"/>
                      <w:szCs w:val="21"/>
                    </w:rPr>
                  </w:pPr>
                  <w:r>
                    <w:rPr>
                      <w:rFonts w:hint="eastAsia" w:cs="Times New Roman"/>
                      <w:kern w:val="0"/>
                      <w:sz w:val="21"/>
                      <w:szCs w:val="21"/>
                    </w:rPr>
                    <w:t>482.40</w:t>
                  </w:r>
                </w:p>
              </w:tc>
              <w:tc>
                <w:tcPr>
                  <w:tcW w:w="2638" w:type="dxa"/>
                  <w:vMerge w:val="continue"/>
                  <w:vAlign w:val="center"/>
                </w:tcPr>
                <w:p w14:paraId="7D1DEAA4">
                  <w:pPr>
                    <w:jc w:val="center"/>
                    <w:rPr>
                      <w:rFonts w:cs="Times New Roman"/>
                      <w:kern w:val="0"/>
                      <w:sz w:val="21"/>
                      <w:szCs w:val="21"/>
                    </w:rPr>
                  </w:pPr>
                </w:p>
              </w:tc>
            </w:tr>
            <w:tr w14:paraId="0E1D6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2B34DF14">
                  <w:pPr>
                    <w:jc w:val="center"/>
                    <w:rPr>
                      <w:rFonts w:cs="Times New Roman"/>
                      <w:kern w:val="0"/>
                      <w:sz w:val="21"/>
                      <w:szCs w:val="21"/>
                    </w:rPr>
                  </w:pPr>
                </w:p>
              </w:tc>
              <w:tc>
                <w:tcPr>
                  <w:tcW w:w="2676" w:type="dxa"/>
                  <w:vAlign w:val="center"/>
                </w:tcPr>
                <w:p w14:paraId="265ECE9F">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1E2960C3">
                  <w:pPr>
                    <w:jc w:val="center"/>
                    <w:rPr>
                      <w:rFonts w:cs="Times New Roman"/>
                      <w:kern w:val="0"/>
                      <w:sz w:val="21"/>
                      <w:szCs w:val="21"/>
                    </w:rPr>
                  </w:pPr>
                  <w:r>
                    <w:rPr>
                      <w:rFonts w:hint="eastAsia" w:cs="Times New Roman"/>
                      <w:kern w:val="0"/>
                      <w:sz w:val="21"/>
                      <w:szCs w:val="21"/>
                    </w:rPr>
                    <w:t>个</w:t>
                  </w:r>
                </w:p>
              </w:tc>
              <w:tc>
                <w:tcPr>
                  <w:tcW w:w="899" w:type="dxa"/>
                  <w:vAlign w:val="center"/>
                </w:tcPr>
                <w:p w14:paraId="3471D8C1">
                  <w:pPr>
                    <w:jc w:val="center"/>
                    <w:rPr>
                      <w:rFonts w:cs="Times New Roman"/>
                      <w:kern w:val="0"/>
                      <w:sz w:val="21"/>
                      <w:szCs w:val="21"/>
                    </w:rPr>
                  </w:pPr>
                  <w:r>
                    <w:rPr>
                      <w:rFonts w:hint="eastAsia" w:cs="Times New Roman"/>
                      <w:kern w:val="0"/>
                      <w:sz w:val="21"/>
                      <w:szCs w:val="21"/>
                    </w:rPr>
                    <w:t>78</w:t>
                  </w:r>
                </w:p>
              </w:tc>
              <w:tc>
                <w:tcPr>
                  <w:tcW w:w="2638" w:type="dxa"/>
                  <w:vMerge w:val="restart"/>
                  <w:vAlign w:val="center"/>
                </w:tcPr>
                <w:p w14:paraId="0E953BA2">
                  <w:pPr>
                    <w:jc w:val="center"/>
                    <w:rPr>
                      <w:rFonts w:cs="Times New Roman"/>
                      <w:kern w:val="0"/>
                      <w:sz w:val="21"/>
                      <w:szCs w:val="21"/>
                    </w:rPr>
                  </w:pPr>
                  <w:r>
                    <w:rPr>
                      <w:rFonts w:hint="eastAsia" w:cs="Times New Roman"/>
                      <w:kern w:val="0"/>
                      <w:sz w:val="21"/>
                      <w:szCs w:val="21"/>
                    </w:rPr>
                    <w:t>C30F300，3.35m×2m×1.6m</w:t>
                  </w:r>
                </w:p>
              </w:tc>
            </w:tr>
            <w:tr w14:paraId="1B9C7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11669DCF">
                  <w:pPr>
                    <w:jc w:val="center"/>
                    <w:rPr>
                      <w:rFonts w:cs="Times New Roman"/>
                      <w:kern w:val="0"/>
                      <w:sz w:val="21"/>
                      <w:szCs w:val="21"/>
                    </w:rPr>
                  </w:pPr>
                </w:p>
              </w:tc>
              <w:tc>
                <w:tcPr>
                  <w:tcW w:w="2676" w:type="dxa"/>
                  <w:vAlign w:val="center"/>
                </w:tcPr>
                <w:p w14:paraId="28C0C725">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06A4B215">
                  <w:pPr>
                    <w:jc w:val="center"/>
                    <w:rPr>
                      <w:rFonts w:cs="Times New Roman"/>
                      <w:kern w:val="0"/>
                      <w:sz w:val="21"/>
                      <w:szCs w:val="21"/>
                    </w:rPr>
                  </w:pPr>
                  <w:r>
                    <w:rPr>
                      <w:rFonts w:hint="eastAsia" w:cs="Times New Roman"/>
                      <w:kern w:val="0"/>
                      <w:sz w:val="21"/>
                      <w:szCs w:val="21"/>
                    </w:rPr>
                    <w:t>m³</w:t>
                  </w:r>
                </w:p>
              </w:tc>
              <w:tc>
                <w:tcPr>
                  <w:tcW w:w="899" w:type="dxa"/>
                  <w:vAlign w:val="center"/>
                </w:tcPr>
                <w:p w14:paraId="775088B9">
                  <w:pPr>
                    <w:jc w:val="center"/>
                    <w:rPr>
                      <w:rFonts w:cs="Times New Roman"/>
                      <w:kern w:val="0"/>
                      <w:sz w:val="21"/>
                      <w:szCs w:val="21"/>
                    </w:rPr>
                  </w:pPr>
                  <w:r>
                    <w:rPr>
                      <w:rFonts w:hint="eastAsia" w:cs="Times New Roman"/>
                      <w:kern w:val="0"/>
                      <w:sz w:val="21"/>
                      <w:szCs w:val="21"/>
                    </w:rPr>
                    <w:t>836.16</w:t>
                  </w:r>
                </w:p>
              </w:tc>
              <w:tc>
                <w:tcPr>
                  <w:tcW w:w="2638" w:type="dxa"/>
                  <w:vMerge w:val="continue"/>
                  <w:vAlign w:val="center"/>
                </w:tcPr>
                <w:p w14:paraId="679A0AC7">
                  <w:pPr>
                    <w:jc w:val="center"/>
                    <w:rPr>
                      <w:rFonts w:cs="Times New Roman"/>
                      <w:kern w:val="0"/>
                      <w:sz w:val="21"/>
                      <w:szCs w:val="21"/>
                    </w:rPr>
                  </w:pPr>
                </w:p>
              </w:tc>
            </w:tr>
            <w:tr w14:paraId="1755D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5DFB1365">
                  <w:pPr>
                    <w:jc w:val="center"/>
                    <w:rPr>
                      <w:rFonts w:cs="Times New Roman"/>
                      <w:kern w:val="0"/>
                      <w:sz w:val="21"/>
                      <w:szCs w:val="21"/>
                    </w:rPr>
                  </w:pPr>
                </w:p>
              </w:tc>
              <w:tc>
                <w:tcPr>
                  <w:tcW w:w="2676" w:type="dxa"/>
                  <w:vAlign w:val="center"/>
                </w:tcPr>
                <w:p w14:paraId="0423F571">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728BAB2B">
                  <w:pPr>
                    <w:jc w:val="center"/>
                    <w:rPr>
                      <w:rFonts w:cs="Times New Roman"/>
                      <w:kern w:val="0"/>
                      <w:sz w:val="21"/>
                      <w:szCs w:val="21"/>
                    </w:rPr>
                  </w:pPr>
                  <w:r>
                    <w:rPr>
                      <w:rFonts w:hint="eastAsia" w:cs="Times New Roman"/>
                      <w:kern w:val="0"/>
                      <w:sz w:val="21"/>
                      <w:szCs w:val="21"/>
                    </w:rPr>
                    <w:t>个</w:t>
                  </w:r>
                </w:p>
              </w:tc>
              <w:tc>
                <w:tcPr>
                  <w:tcW w:w="899" w:type="dxa"/>
                  <w:vAlign w:val="center"/>
                </w:tcPr>
                <w:p w14:paraId="73327685">
                  <w:pPr>
                    <w:jc w:val="center"/>
                    <w:rPr>
                      <w:rFonts w:cs="Times New Roman"/>
                      <w:kern w:val="0"/>
                      <w:sz w:val="21"/>
                      <w:szCs w:val="21"/>
                    </w:rPr>
                  </w:pPr>
                  <w:r>
                    <w:rPr>
                      <w:rFonts w:hint="eastAsia" w:cs="Times New Roman"/>
                      <w:kern w:val="0"/>
                      <w:sz w:val="21"/>
                      <w:szCs w:val="21"/>
                    </w:rPr>
                    <w:t>24</w:t>
                  </w:r>
                </w:p>
              </w:tc>
              <w:tc>
                <w:tcPr>
                  <w:tcW w:w="2638" w:type="dxa"/>
                  <w:vMerge w:val="restart"/>
                  <w:vAlign w:val="center"/>
                </w:tcPr>
                <w:p w14:paraId="71F9CDB7">
                  <w:pPr>
                    <w:jc w:val="center"/>
                    <w:rPr>
                      <w:rFonts w:cs="Times New Roman"/>
                      <w:kern w:val="0"/>
                      <w:sz w:val="21"/>
                      <w:szCs w:val="21"/>
                    </w:rPr>
                  </w:pPr>
                  <w:r>
                    <w:rPr>
                      <w:rFonts w:hint="eastAsia" w:cs="Times New Roman"/>
                      <w:kern w:val="0"/>
                      <w:sz w:val="21"/>
                      <w:szCs w:val="21"/>
                    </w:rPr>
                    <w:t>C30F300，1.775m×2m×1.6m</w:t>
                  </w:r>
                </w:p>
              </w:tc>
            </w:tr>
            <w:tr w14:paraId="39BD0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4A966E96">
                  <w:pPr>
                    <w:jc w:val="center"/>
                    <w:rPr>
                      <w:rFonts w:cs="Times New Roman"/>
                      <w:kern w:val="0"/>
                      <w:sz w:val="21"/>
                      <w:szCs w:val="21"/>
                    </w:rPr>
                  </w:pPr>
                </w:p>
              </w:tc>
              <w:tc>
                <w:tcPr>
                  <w:tcW w:w="2676" w:type="dxa"/>
                  <w:vAlign w:val="center"/>
                </w:tcPr>
                <w:p w14:paraId="081D40F8">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655220B7">
                  <w:pPr>
                    <w:jc w:val="center"/>
                    <w:rPr>
                      <w:rFonts w:cs="Times New Roman"/>
                      <w:kern w:val="0"/>
                      <w:sz w:val="21"/>
                      <w:szCs w:val="21"/>
                    </w:rPr>
                  </w:pPr>
                  <w:r>
                    <w:rPr>
                      <w:rFonts w:hint="eastAsia" w:cs="Times New Roman"/>
                      <w:kern w:val="0"/>
                      <w:sz w:val="21"/>
                      <w:szCs w:val="21"/>
                    </w:rPr>
                    <w:t>m³</w:t>
                  </w:r>
                </w:p>
              </w:tc>
              <w:tc>
                <w:tcPr>
                  <w:tcW w:w="899" w:type="dxa"/>
                  <w:vAlign w:val="center"/>
                </w:tcPr>
                <w:p w14:paraId="1ABDF648">
                  <w:pPr>
                    <w:jc w:val="center"/>
                    <w:rPr>
                      <w:rFonts w:cs="Times New Roman"/>
                      <w:kern w:val="0"/>
                      <w:sz w:val="21"/>
                      <w:szCs w:val="21"/>
                    </w:rPr>
                  </w:pPr>
                  <w:r>
                    <w:rPr>
                      <w:rFonts w:hint="eastAsia" w:cs="Times New Roman"/>
                      <w:kern w:val="0"/>
                      <w:sz w:val="21"/>
                      <w:szCs w:val="21"/>
                    </w:rPr>
                    <w:t>136.32</w:t>
                  </w:r>
                </w:p>
              </w:tc>
              <w:tc>
                <w:tcPr>
                  <w:tcW w:w="2638" w:type="dxa"/>
                  <w:vMerge w:val="continue"/>
                  <w:vAlign w:val="center"/>
                </w:tcPr>
                <w:p w14:paraId="049DEDEB">
                  <w:pPr>
                    <w:jc w:val="center"/>
                    <w:rPr>
                      <w:rFonts w:cs="Times New Roman"/>
                      <w:kern w:val="0"/>
                      <w:sz w:val="21"/>
                      <w:szCs w:val="21"/>
                    </w:rPr>
                  </w:pPr>
                </w:p>
              </w:tc>
            </w:tr>
            <w:tr w14:paraId="6DBA7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F9B0102">
                  <w:pPr>
                    <w:jc w:val="center"/>
                    <w:rPr>
                      <w:rFonts w:cs="Times New Roman"/>
                      <w:kern w:val="0"/>
                      <w:sz w:val="21"/>
                      <w:szCs w:val="21"/>
                    </w:rPr>
                  </w:pPr>
                  <w:r>
                    <w:rPr>
                      <w:rFonts w:hint="eastAsia" w:cs="Times New Roman"/>
                      <w:kern w:val="0"/>
                      <w:sz w:val="21"/>
                      <w:szCs w:val="21"/>
                    </w:rPr>
                    <w:t>3</w:t>
                  </w:r>
                </w:p>
              </w:tc>
              <w:tc>
                <w:tcPr>
                  <w:tcW w:w="2676" w:type="dxa"/>
                  <w:vAlign w:val="center"/>
                </w:tcPr>
                <w:p w14:paraId="38827BD9">
                  <w:pPr>
                    <w:jc w:val="center"/>
                    <w:rPr>
                      <w:rFonts w:cs="Times New Roman"/>
                      <w:kern w:val="0"/>
                      <w:sz w:val="21"/>
                      <w:szCs w:val="21"/>
                    </w:rPr>
                  </w:pPr>
                  <w:r>
                    <w:rPr>
                      <w:rFonts w:hint="eastAsia" w:cs="Times New Roman"/>
                      <w:kern w:val="0"/>
                      <w:sz w:val="21"/>
                      <w:szCs w:val="21"/>
                    </w:rPr>
                    <w:t>10~60kg抛石棱体</w:t>
                  </w:r>
                </w:p>
              </w:tc>
              <w:tc>
                <w:tcPr>
                  <w:tcW w:w="706" w:type="dxa"/>
                  <w:vAlign w:val="center"/>
                </w:tcPr>
                <w:p w14:paraId="00D610AC">
                  <w:pPr>
                    <w:jc w:val="center"/>
                    <w:rPr>
                      <w:rFonts w:cs="Times New Roman"/>
                      <w:kern w:val="0"/>
                      <w:sz w:val="21"/>
                      <w:szCs w:val="21"/>
                    </w:rPr>
                  </w:pPr>
                  <w:r>
                    <w:rPr>
                      <w:rFonts w:hint="eastAsia" w:cs="Times New Roman"/>
                      <w:kern w:val="0"/>
                      <w:sz w:val="21"/>
                      <w:szCs w:val="21"/>
                    </w:rPr>
                    <w:t>m³</w:t>
                  </w:r>
                </w:p>
              </w:tc>
              <w:tc>
                <w:tcPr>
                  <w:tcW w:w="899" w:type="dxa"/>
                  <w:vAlign w:val="center"/>
                </w:tcPr>
                <w:p w14:paraId="2F4A4BFC">
                  <w:pPr>
                    <w:jc w:val="center"/>
                    <w:rPr>
                      <w:rFonts w:cs="Times New Roman"/>
                      <w:kern w:val="0"/>
                      <w:sz w:val="21"/>
                      <w:szCs w:val="21"/>
                    </w:rPr>
                  </w:pPr>
                  <w:r>
                    <w:rPr>
                      <w:rFonts w:hint="eastAsia" w:cs="Times New Roman"/>
                      <w:kern w:val="0"/>
                      <w:sz w:val="21"/>
                      <w:szCs w:val="21"/>
                    </w:rPr>
                    <w:t>2444.18</w:t>
                  </w:r>
                </w:p>
              </w:tc>
              <w:tc>
                <w:tcPr>
                  <w:tcW w:w="2638" w:type="dxa"/>
                  <w:vAlign w:val="center"/>
                </w:tcPr>
                <w:p w14:paraId="5051D08C">
                  <w:pPr>
                    <w:jc w:val="center"/>
                    <w:rPr>
                      <w:rFonts w:cs="Times New Roman"/>
                      <w:kern w:val="0"/>
                      <w:sz w:val="21"/>
                      <w:szCs w:val="21"/>
                    </w:rPr>
                  </w:pPr>
                  <w:r>
                    <w:rPr>
                      <w:rFonts w:hint="eastAsia" w:cs="Times New Roman"/>
                      <w:kern w:val="0"/>
                      <w:sz w:val="21"/>
                      <w:szCs w:val="21"/>
                    </w:rPr>
                    <w:t>未考虑沉降量</w:t>
                  </w:r>
                </w:p>
              </w:tc>
            </w:tr>
            <w:tr w14:paraId="56FA9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27CD9AC">
                  <w:pPr>
                    <w:jc w:val="center"/>
                    <w:rPr>
                      <w:rFonts w:cs="Times New Roman"/>
                      <w:kern w:val="0"/>
                      <w:sz w:val="21"/>
                      <w:szCs w:val="21"/>
                    </w:rPr>
                  </w:pPr>
                  <w:r>
                    <w:rPr>
                      <w:rFonts w:hint="eastAsia" w:cs="Times New Roman"/>
                      <w:kern w:val="0"/>
                      <w:sz w:val="21"/>
                      <w:szCs w:val="21"/>
                    </w:rPr>
                    <w:t>4</w:t>
                  </w:r>
                </w:p>
              </w:tc>
              <w:tc>
                <w:tcPr>
                  <w:tcW w:w="2676" w:type="dxa"/>
                  <w:vAlign w:val="center"/>
                </w:tcPr>
                <w:p w14:paraId="2AB76810">
                  <w:pPr>
                    <w:jc w:val="center"/>
                    <w:rPr>
                      <w:rFonts w:cs="Times New Roman"/>
                      <w:kern w:val="0"/>
                      <w:sz w:val="21"/>
                      <w:szCs w:val="21"/>
                    </w:rPr>
                  </w:pPr>
                  <w:r>
                    <w:rPr>
                      <w:rFonts w:hint="eastAsia" w:cs="Times New Roman"/>
                      <w:kern w:val="0"/>
                      <w:sz w:val="21"/>
                      <w:szCs w:val="21"/>
                    </w:rPr>
                    <w:t>500mm二片石垫层</w:t>
                  </w:r>
                </w:p>
              </w:tc>
              <w:tc>
                <w:tcPr>
                  <w:tcW w:w="706" w:type="dxa"/>
                  <w:vAlign w:val="center"/>
                </w:tcPr>
                <w:p w14:paraId="591FF9B7">
                  <w:pPr>
                    <w:jc w:val="center"/>
                    <w:rPr>
                      <w:rFonts w:cs="Times New Roman"/>
                      <w:kern w:val="0"/>
                      <w:sz w:val="21"/>
                      <w:szCs w:val="21"/>
                    </w:rPr>
                  </w:pPr>
                  <w:r>
                    <w:rPr>
                      <w:rFonts w:hint="eastAsia" w:cs="Times New Roman"/>
                      <w:kern w:val="0"/>
                      <w:sz w:val="21"/>
                      <w:szCs w:val="21"/>
                    </w:rPr>
                    <w:t>m³</w:t>
                  </w:r>
                </w:p>
              </w:tc>
              <w:tc>
                <w:tcPr>
                  <w:tcW w:w="899" w:type="dxa"/>
                  <w:vAlign w:val="center"/>
                </w:tcPr>
                <w:p w14:paraId="3ABBBB65">
                  <w:pPr>
                    <w:jc w:val="center"/>
                    <w:rPr>
                      <w:rFonts w:cs="Times New Roman"/>
                      <w:kern w:val="0"/>
                      <w:sz w:val="21"/>
                      <w:szCs w:val="21"/>
                    </w:rPr>
                  </w:pPr>
                  <w:r>
                    <w:rPr>
                      <w:rFonts w:hint="eastAsia" w:cs="Times New Roman"/>
                      <w:kern w:val="0"/>
                      <w:sz w:val="21"/>
                      <w:szCs w:val="21"/>
                    </w:rPr>
                    <w:t>697.15</w:t>
                  </w:r>
                </w:p>
              </w:tc>
              <w:tc>
                <w:tcPr>
                  <w:tcW w:w="2638" w:type="dxa"/>
                  <w:vAlign w:val="center"/>
                </w:tcPr>
                <w:p w14:paraId="4F10EA55">
                  <w:pPr>
                    <w:jc w:val="center"/>
                    <w:rPr>
                      <w:rFonts w:cs="Times New Roman"/>
                      <w:kern w:val="0"/>
                      <w:sz w:val="21"/>
                      <w:szCs w:val="21"/>
                    </w:rPr>
                  </w:pPr>
                </w:p>
              </w:tc>
            </w:tr>
            <w:tr w14:paraId="39F3D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CF21546">
                  <w:pPr>
                    <w:jc w:val="center"/>
                    <w:rPr>
                      <w:rFonts w:cs="Times New Roman"/>
                      <w:kern w:val="0"/>
                      <w:sz w:val="21"/>
                      <w:szCs w:val="21"/>
                    </w:rPr>
                  </w:pPr>
                  <w:r>
                    <w:rPr>
                      <w:rFonts w:hint="eastAsia" w:cs="Times New Roman"/>
                      <w:kern w:val="0"/>
                      <w:sz w:val="21"/>
                      <w:szCs w:val="21"/>
                    </w:rPr>
                    <w:t>5</w:t>
                  </w:r>
                </w:p>
              </w:tc>
              <w:tc>
                <w:tcPr>
                  <w:tcW w:w="2676" w:type="dxa"/>
                  <w:vAlign w:val="center"/>
                </w:tcPr>
                <w:p w14:paraId="5E26EB01">
                  <w:pPr>
                    <w:jc w:val="center"/>
                    <w:rPr>
                      <w:rFonts w:cs="Times New Roman"/>
                      <w:kern w:val="0"/>
                      <w:sz w:val="21"/>
                      <w:szCs w:val="21"/>
                    </w:rPr>
                  </w:pPr>
                  <w:r>
                    <w:rPr>
                      <w:rFonts w:hint="eastAsia" w:cs="Times New Roman"/>
                      <w:kern w:val="0"/>
                      <w:sz w:val="21"/>
                      <w:szCs w:val="21"/>
                    </w:rPr>
                    <w:t>600mm碎石垫层</w:t>
                  </w:r>
                </w:p>
              </w:tc>
              <w:tc>
                <w:tcPr>
                  <w:tcW w:w="706" w:type="dxa"/>
                  <w:vAlign w:val="center"/>
                </w:tcPr>
                <w:p w14:paraId="161277A2">
                  <w:pPr>
                    <w:jc w:val="center"/>
                    <w:rPr>
                      <w:rFonts w:cs="Times New Roman"/>
                      <w:kern w:val="0"/>
                      <w:sz w:val="21"/>
                      <w:szCs w:val="21"/>
                    </w:rPr>
                  </w:pPr>
                  <w:r>
                    <w:rPr>
                      <w:rFonts w:hint="eastAsia" w:cs="Times New Roman"/>
                      <w:kern w:val="0"/>
                      <w:sz w:val="21"/>
                      <w:szCs w:val="21"/>
                    </w:rPr>
                    <w:t>m³</w:t>
                  </w:r>
                </w:p>
              </w:tc>
              <w:tc>
                <w:tcPr>
                  <w:tcW w:w="899" w:type="dxa"/>
                  <w:vAlign w:val="center"/>
                </w:tcPr>
                <w:p w14:paraId="5D843567">
                  <w:pPr>
                    <w:jc w:val="center"/>
                    <w:rPr>
                      <w:rFonts w:cs="Times New Roman"/>
                      <w:kern w:val="0"/>
                      <w:sz w:val="21"/>
                      <w:szCs w:val="21"/>
                    </w:rPr>
                  </w:pPr>
                  <w:r>
                    <w:rPr>
                      <w:rFonts w:hint="eastAsia" w:cs="Times New Roman"/>
                      <w:kern w:val="0"/>
                      <w:sz w:val="21"/>
                      <w:szCs w:val="21"/>
                    </w:rPr>
                    <w:t>980.23</w:t>
                  </w:r>
                </w:p>
              </w:tc>
              <w:tc>
                <w:tcPr>
                  <w:tcW w:w="2638" w:type="dxa"/>
                  <w:vAlign w:val="center"/>
                </w:tcPr>
                <w:p w14:paraId="3401890F">
                  <w:pPr>
                    <w:jc w:val="center"/>
                    <w:rPr>
                      <w:rFonts w:cs="Times New Roman"/>
                      <w:kern w:val="0"/>
                      <w:sz w:val="21"/>
                      <w:szCs w:val="21"/>
                    </w:rPr>
                  </w:pPr>
                  <w:r>
                    <w:rPr>
                      <w:rFonts w:hint="eastAsia" w:cs="Times New Roman"/>
                      <w:kern w:val="0"/>
                      <w:sz w:val="21"/>
                      <w:szCs w:val="21"/>
                    </w:rPr>
                    <w:t>粒径5mm~100mm</w:t>
                  </w:r>
                </w:p>
              </w:tc>
            </w:tr>
            <w:tr w14:paraId="028A0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9C0140E">
                  <w:pPr>
                    <w:jc w:val="center"/>
                    <w:rPr>
                      <w:rFonts w:cs="Times New Roman"/>
                      <w:kern w:val="0"/>
                      <w:sz w:val="21"/>
                      <w:szCs w:val="21"/>
                    </w:rPr>
                  </w:pPr>
                  <w:r>
                    <w:rPr>
                      <w:rFonts w:hint="eastAsia" w:cs="Times New Roman"/>
                      <w:kern w:val="0"/>
                      <w:sz w:val="21"/>
                      <w:szCs w:val="21"/>
                    </w:rPr>
                    <w:t>6</w:t>
                  </w:r>
                </w:p>
              </w:tc>
              <w:tc>
                <w:tcPr>
                  <w:tcW w:w="2676" w:type="dxa"/>
                  <w:vAlign w:val="center"/>
                </w:tcPr>
                <w:p w14:paraId="78CE0B2A">
                  <w:pPr>
                    <w:jc w:val="center"/>
                    <w:rPr>
                      <w:rFonts w:cs="Times New Roman"/>
                      <w:kern w:val="0"/>
                      <w:sz w:val="21"/>
                      <w:szCs w:val="21"/>
                    </w:rPr>
                  </w:pPr>
                  <w:r>
                    <w:rPr>
                      <w:rFonts w:hint="eastAsia" w:cs="Times New Roman"/>
                      <w:kern w:val="0"/>
                      <w:sz w:val="21"/>
                      <w:szCs w:val="21"/>
                    </w:rPr>
                    <w:t>回填开山石</w:t>
                  </w:r>
                </w:p>
              </w:tc>
              <w:tc>
                <w:tcPr>
                  <w:tcW w:w="706" w:type="dxa"/>
                  <w:vAlign w:val="center"/>
                </w:tcPr>
                <w:p w14:paraId="138F3F4D">
                  <w:pPr>
                    <w:jc w:val="center"/>
                    <w:rPr>
                      <w:rFonts w:cs="Times New Roman"/>
                      <w:kern w:val="0"/>
                      <w:sz w:val="21"/>
                      <w:szCs w:val="21"/>
                    </w:rPr>
                  </w:pPr>
                  <w:r>
                    <w:rPr>
                      <w:rFonts w:hint="eastAsia" w:cs="Times New Roman"/>
                      <w:kern w:val="0"/>
                      <w:sz w:val="21"/>
                      <w:szCs w:val="21"/>
                    </w:rPr>
                    <w:t>m³</w:t>
                  </w:r>
                </w:p>
              </w:tc>
              <w:tc>
                <w:tcPr>
                  <w:tcW w:w="899" w:type="dxa"/>
                  <w:vAlign w:val="center"/>
                </w:tcPr>
                <w:p w14:paraId="797C15F5">
                  <w:pPr>
                    <w:jc w:val="center"/>
                    <w:rPr>
                      <w:rFonts w:cs="Times New Roman"/>
                      <w:kern w:val="0"/>
                      <w:sz w:val="21"/>
                      <w:szCs w:val="21"/>
                    </w:rPr>
                  </w:pPr>
                  <w:r>
                    <w:rPr>
                      <w:rFonts w:hint="eastAsia" w:cs="Times New Roman"/>
                      <w:kern w:val="0"/>
                      <w:sz w:val="21"/>
                      <w:szCs w:val="21"/>
                    </w:rPr>
                    <w:t>2393.38</w:t>
                  </w:r>
                </w:p>
              </w:tc>
              <w:tc>
                <w:tcPr>
                  <w:tcW w:w="2638" w:type="dxa"/>
                  <w:vAlign w:val="center"/>
                </w:tcPr>
                <w:p w14:paraId="28633F8E">
                  <w:pPr>
                    <w:jc w:val="center"/>
                    <w:rPr>
                      <w:rFonts w:cs="Times New Roman"/>
                      <w:kern w:val="0"/>
                      <w:sz w:val="21"/>
                      <w:szCs w:val="21"/>
                    </w:rPr>
                  </w:pPr>
                  <w:r>
                    <w:rPr>
                      <w:rFonts w:hint="eastAsia" w:cs="Times New Roman"/>
                      <w:kern w:val="0"/>
                      <w:sz w:val="21"/>
                      <w:szCs w:val="21"/>
                    </w:rPr>
                    <w:t>未考虑沉降量</w:t>
                  </w:r>
                </w:p>
              </w:tc>
            </w:tr>
            <w:tr w14:paraId="357D3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CEE0993">
                  <w:pPr>
                    <w:jc w:val="center"/>
                    <w:rPr>
                      <w:rFonts w:cs="Times New Roman"/>
                      <w:kern w:val="0"/>
                      <w:sz w:val="21"/>
                      <w:szCs w:val="21"/>
                    </w:rPr>
                  </w:pPr>
                  <w:r>
                    <w:rPr>
                      <w:rFonts w:hint="eastAsia" w:cs="Times New Roman"/>
                      <w:kern w:val="0"/>
                      <w:sz w:val="21"/>
                      <w:szCs w:val="21"/>
                    </w:rPr>
                    <w:t>7</w:t>
                  </w:r>
                </w:p>
              </w:tc>
              <w:tc>
                <w:tcPr>
                  <w:tcW w:w="2676" w:type="dxa"/>
                  <w:vAlign w:val="center"/>
                </w:tcPr>
                <w:p w14:paraId="22F1F4CA">
                  <w:pPr>
                    <w:jc w:val="center"/>
                    <w:rPr>
                      <w:rFonts w:cs="Times New Roman"/>
                      <w:kern w:val="0"/>
                      <w:sz w:val="21"/>
                      <w:szCs w:val="21"/>
                    </w:rPr>
                  </w:pPr>
                  <w:r>
                    <w:rPr>
                      <w:rFonts w:hint="eastAsia" w:cs="Times New Roman"/>
                      <w:kern w:val="0"/>
                      <w:sz w:val="21"/>
                      <w:szCs w:val="21"/>
                    </w:rPr>
                    <w:t>80mm高强连锁块</w:t>
                  </w:r>
                </w:p>
              </w:tc>
              <w:tc>
                <w:tcPr>
                  <w:tcW w:w="706" w:type="dxa"/>
                  <w:vAlign w:val="center"/>
                </w:tcPr>
                <w:p w14:paraId="3748BF8D">
                  <w:pPr>
                    <w:jc w:val="center"/>
                    <w:rPr>
                      <w:rFonts w:cs="Times New Roman"/>
                      <w:kern w:val="0"/>
                      <w:sz w:val="21"/>
                      <w:szCs w:val="21"/>
                    </w:rPr>
                  </w:pPr>
                  <w:r>
                    <w:rPr>
                      <w:rFonts w:hint="eastAsia" w:cs="Times New Roman"/>
                      <w:kern w:val="0"/>
                      <w:sz w:val="21"/>
                      <w:szCs w:val="21"/>
                    </w:rPr>
                    <w:t>m³</w:t>
                  </w:r>
                </w:p>
              </w:tc>
              <w:tc>
                <w:tcPr>
                  <w:tcW w:w="899" w:type="dxa"/>
                  <w:vAlign w:val="center"/>
                </w:tcPr>
                <w:p w14:paraId="7CE959B6">
                  <w:pPr>
                    <w:jc w:val="center"/>
                    <w:rPr>
                      <w:rFonts w:cs="Times New Roman"/>
                      <w:kern w:val="0"/>
                      <w:sz w:val="21"/>
                      <w:szCs w:val="21"/>
                    </w:rPr>
                  </w:pPr>
                  <w:r>
                    <w:rPr>
                      <w:rFonts w:hint="eastAsia" w:cs="Times New Roman"/>
                      <w:kern w:val="0"/>
                      <w:sz w:val="21"/>
                      <w:szCs w:val="21"/>
                    </w:rPr>
                    <w:t>112.46</w:t>
                  </w:r>
                </w:p>
              </w:tc>
              <w:tc>
                <w:tcPr>
                  <w:tcW w:w="2638" w:type="dxa"/>
                  <w:vAlign w:val="center"/>
                </w:tcPr>
                <w:p w14:paraId="1F23A4FD">
                  <w:pPr>
                    <w:jc w:val="center"/>
                    <w:rPr>
                      <w:rFonts w:cs="Times New Roman"/>
                      <w:kern w:val="0"/>
                      <w:sz w:val="21"/>
                      <w:szCs w:val="21"/>
                    </w:rPr>
                  </w:pPr>
                  <w:r>
                    <w:rPr>
                      <w:rFonts w:hint="eastAsia" w:cs="Times New Roman"/>
                      <w:kern w:val="0"/>
                      <w:sz w:val="21"/>
                      <w:szCs w:val="21"/>
                    </w:rPr>
                    <w:t>面积2343m</w:t>
                  </w:r>
                  <w:r>
                    <w:rPr>
                      <w:rFonts w:hint="eastAsia" w:cs="Times New Roman"/>
                      <w:kern w:val="0"/>
                      <w:sz w:val="21"/>
                      <w:szCs w:val="21"/>
                      <w:vertAlign w:val="superscript"/>
                    </w:rPr>
                    <w:t>2</w:t>
                  </w:r>
                </w:p>
              </w:tc>
            </w:tr>
            <w:tr w14:paraId="5572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2B33C16">
                  <w:pPr>
                    <w:jc w:val="center"/>
                    <w:rPr>
                      <w:rFonts w:cs="Times New Roman"/>
                      <w:kern w:val="0"/>
                      <w:sz w:val="21"/>
                      <w:szCs w:val="21"/>
                    </w:rPr>
                  </w:pPr>
                  <w:r>
                    <w:rPr>
                      <w:rFonts w:hint="eastAsia" w:cs="Times New Roman"/>
                      <w:kern w:val="0"/>
                      <w:sz w:val="21"/>
                      <w:szCs w:val="21"/>
                    </w:rPr>
                    <w:t>8</w:t>
                  </w:r>
                </w:p>
              </w:tc>
              <w:tc>
                <w:tcPr>
                  <w:tcW w:w="2676" w:type="dxa"/>
                  <w:vAlign w:val="center"/>
                </w:tcPr>
                <w:p w14:paraId="3114D8CE">
                  <w:pPr>
                    <w:jc w:val="center"/>
                    <w:rPr>
                      <w:rFonts w:cs="Times New Roman"/>
                      <w:kern w:val="0"/>
                      <w:sz w:val="21"/>
                      <w:szCs w:val="21"/>
                    </w:rPr>
                  </w:pPr>
                  <w:r>
                    <w:rPr>
                      <w:rFonts w:hint="eastAsia" w:cs="Times New Roman"/>
                      <w:kern w:val="0"/>
                      <w:sz w:val="21"/>
                      <w:szCs w:val="21"/>
                    </w:rPr>
                    <w:t>30mm中粗砂垫层</w:t>
                  </w:r>
                </w:p>
              </w:tc>
              <w:tc>
                <w:tcPr>
                  <w:tcW w:w="706" w:type="dxa"/>
                  <w:vAlign w:val="center"/>
                </w:tcPr>
                <w:p w14:paraId="07CE3540">
                  <w:pPr>
                    <w:jc w:val="center"/>
                    <w:rPr>
                      <w:rFonts w:cs="Times New Roman"/>
                      <w:kern w:val="0"/>
                      <w:sz w:val="21"/>
                      <w:szCs w:val="21"/>
                    </w:rPr>
                  </w:pPr>
                  <w:r>
                    <w:rPr>
                      <w:rFonts w:hint="eastAsia" w:cs="Times New Roman"/>
                      <w:kern w:val="0"/>
                      <w:sz w:val="21"/>
                      <w:szCs w:val="21"/>
                    </w:rPr>
                    <w:t>m³</w:t>
                  </w:r>
                </w:p>
              </w:tc>
              <w:tc>
                <w:tcPr>
                  <w:tcW w:w="899" w:type="dxa"/>
                  <w:vAlign w:val="center"/>
                </w:tcPr>
                <w:p w14:paraId="0CDD9DA3">
                  <w:pPr>
                    <w:jc w:val="center"/>
                    <w:rPr>
                      <w:rFonts w:cs="Times New Roman"/>
                      <w:kern w:val="0"/>
                      <w:sz w:val="21"/>
                      <w:szCs w:val="21"/>
                    </w:rPr>
                  </w:pPr>
                  <w:r>
                    <w:rPr>
                      <w:rFonts w:hint="eastAsia" w:cs="Times New Roman"/>
                      <w:kern w:val="0"/>
                      <w:sz w:val="21"/>
                      <w:szCs w:val="21"/>
                    </w:rPr>
                    <w:t>42.17</w:t>
                  </w:r>
                </w:p>
              </w:tc>
              <w:tc>
                <w:tcPr>
                  <w:tcW w:w="2638" w:type="dxa"/>
                  <w:vAlign w:val="center"/>
                </w:tcPr>
                <w:p w14:paraId="2CF53156">
                  <w:pPr>
                    <w:jc w:val="center"/>
                    <w:rPr>
                      <w:rFonts w:cs="Times New Roman"/>
                      <w:kern w:val="0"/>
                      <w:sz w:val="21"/>
                      <w:szCs w:val="21"/>
                    </w:rPr>
                  </w:pPr>
                  <w:r>
                    <w:rPr>
                      <w:rFonts w:hint="eastAsia" w:cs="Times New Roman"/>
                      <w:kern w:val="0"/>
                      <w:sz w:val="21"/>
                      <w:szCs w:val="21"/>
                    </w:rPr>
                    <w:t>面积2343m</w:t>
                  </w:r>
                  <w:r>
                    <w:rPr>
                      <w:rFonts w:hint="eastAsia" w:cs="Times New Roman"/>
                      <w:kern w:val="0"/>
                      <w:sz w:val="21"/>
                      <w:szCs w:val="21"/>
                      <w:vertAlign w:val="superscript"/>
                    </w:rPr>
                    <w:t>2</w:t>
                  </w:r>
                </w:p>
              </w:tc>
            </w:tr>
            <w:tr w14:paraId="3612B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BA91E15">
                  <w:pPr>
                    <w:jc w:val="center"/>
                    <w:rPr>
                      <w:rFonts w:cs="Times New Roman"/>
                      <w:kern w:val="0"/>
                      <w:sz w:val="21"/>
                      <w:szCs w:val="21"/>
                    </w:rPr>
                  </w:pPr>
                  <w:r>
                    <w:rPr>
                      <w:rFonts w:hint="eastAsia" w:cs="Times New Roman"/>
                      <w:kern w:val="0"/>
                      <w:sz w:val="21"/>
                      <w:szCs w:val="21"/>
                    </w:rPr>
                    <w:t>9</w:t>
                  </w:r>
                </w:p>
              </w:tc>
              <w:tc>
                <w:tcPr>
                  <w:tcW w:w="2676" w:type="dxa"/>
                  <w:vAlign w:val="center"/>
                </w:tcPr>
                <w:p w14:paraId="31F3E41F">
                  <w:pPr>
                    <w:jc w:val="center"/>
                    <w:rPr>
                      <w:rFonts w:cs="Times New Roman"/>
                      <w:kern w:val="0"/>
                      <w:sz w:val="21"/>
                      <w:szCs w:val="21"/>
                    </w:rPr>
                  </w:pPr>
                  <w:r>
                    <w:rPr>
                      <w:rFonts w:hint="eastAsia" w:cs="Times New Roman"/>
                      <w:kern w:val="0"/>
                      <w:sz w:val="21"/>
                      <w:szCs w:val="21"/>
                    </w:rPr>
                    <w:t>80mm级配碎石(最大粒径≤30mm)</w:t>
                  </w:r>
                </w:p>
              </w:tc>
              <w:tc>
                <w:tcPr>
                  <w:tcW w:w="706" w:type="dxa"/>
                  <w:vAlign w:val="center"/>
                </w:tcPr>
                <w:p w14:paraId="74834C0E">
                  <w:pPr>
                    <w:jc w:val="center"/>
                    <w:rPr>
                      <w:rFonts w:cs="Times New Roman"/>
                      <w:kern w:val="0"/>
                      <w:sz w:val="21"/>
                      <w:szCs w:val="21"/>
                    </w:rPr>
                  </w:pPr>
                  <w:r>
                    <w:rPr>
                      <w:rFonts w:hint="eastAsia" w:cs="Times New Roman"/>
                      <w:kern w:val="0"/>
                      <w:sz w:val="21"/>
                      <w:szCs w:val="21"/>
                    </w:rPr>
                    <w:t>m³</w:t>
                  </w:r>
                </w:p>
              </w:tc>
              <w:tc>
                <w:tcPr>
                  <w:tcW w:w="899" w:type="dxa"/>
                  <w:vAlign w:val="center"/>
                </w:tcPr>
                <w:p w14:paraId="6C09AA45">
                  <w:pPr>
                    <w:jc w:val="center"/>
                    <w:rPr>
                      <w:rFonts w:cs="Times New Roman"/>
                      <w:kern w:val="0"/>
                      <w:sz w:val="21"/>
                      <w:szCs w:val="21"/>
                    </w:rPr>
                  </w:pPr>
                  <w:r>
                    <w:rPr>
                      <w:rFonts w:hint="eastAsia" w:cs="Times New Roman"/>
                      <w:kern w:val="0"/>
                      <w:sz w:val="21"/>
                      <w:szCs w:val="21"/>
                    </w:rPr>
                    <w:t>112.46</w:t>
                  </w:r>
                </w:p>
              </w:tc>
              <w:tc>
                <w:tcPr>
                  <w:tcW w:w="2638" w:type="dxa"/>
                  <w:vAlign w:val="center"/>
                </w:tcPr>
                <w:p w14:paraId="49D61C91">
                  <w:pPr>
                    <w:jc w:val="center"/>
                    <w:rPr>
                      <w:rFonts w:cs="Times New Roman"/>
                      <w:kern w:val="0"/>
                      <w:sz w:val="21"/>
                      <w:szCs w:val="21"/>
                    </w:rPr>
                  </w:pPr>
                  <w:r>
                    <w:rPr>
                      <w:rFonts w:hint="eastAsia" w:cs="Times New Roman"/>
                      <w:kern w:val="0"/>
                      <w:sz w:val="21"/>
                      <w:szCs w:val="21"/>
                    </w:rPr>
                    <w:t>面积2343m</w:t>
                  </w:r>
                  <w:r>
                    <w:rPr>
                      <w:rFonts w:hint="eastAsia" w:cs="Times New Roman"/>
                      <w:kern w:val="0"/>
                      <w:sz w:val="21"/>
                      <w:szCs w:val="21"/>
                      <w:vertAlign w:val="superscript"/>
                    </w:rPr>
                    <w:t>2</w:t>
                  </w:r>
                </w:p>
              </w:tc>
            </w:tr>
            <w:tr w14:paraId="60A16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A07A8CA">
                  <w:pPr>
                    <w:jc w:val="center"/>
                    <w:rPr>
                      <w:rFonts w:cs="Times New Roman"/>
                      <w:kern w:val="0"/>
                      <w:sz w:val="21"/>
                      <w:szCs w:val="21"/>
                    </w:rPr>
                  </w:pPr>
                  <w:r>
                    <w:rPr>
                      <w:rFonts w:hint="eastAsia" w:cs="Times New Roman"/>
                      <w:kern w:val="0"/>
                      <w:sz w:val="21"/>
                      <w:szCs w:val="21"/>
                    </w:rPr>
                    <w:t>10</w:t>
                  </w:r>
                </w:p>
              </w:tc>
              <w:tc>
                <w:tcPr>
                  <w:tcW w:w="2676" w:type="dxa"/>
                  <w:vAlign w:val="center"/>
                </w:tcPr>
                <w:p w14:paraId="42E34831">
                  <w:pPr>
                    <w:jc w:val="center"/>
                    <w:rPr>
                      <w:rFonts w:cs="Times New Roman"/>
                      <w:kern w:val="0"/>
                      <w:sz w:val="21"/>
                      <w:szCs w:val="21"/>
                    </w:rPr>
                  </w:pPr>
                  <w:r>
                    <w:rPr>
                      <w:rFonts w:hint="eastAsia" w:cs="Times New Roman"/>
                      <w:kern w:val="0"/>
                      <w:sz w:val="21"/>
                      <w:szCs w:val="21"/>
                    </w:rPr>
                    <w:t>120mm级配碎石(最大粒径≤50mm)</w:t>
                  </w:r>
                </w:p>
              </w:tc>
              <w:tc>
                <w:tcPr>
                  <w:tcW w:w="706" w:type="dxa"/>
                  <w:vAlign w:val="center"/>
                </w:tcPr>
                <w:p w14:paraId="24554E7A">
                  <w:pPr>
                    <w:jc w:val="center"/>
                    <w:rPr>
                      <w:rFonts w:cs="Times New Roman"/>
                      <w:kern w:val="0"/>
                      <w:sz w:val="21"/>
                      <w:szCs w:val="21"/>
                    </w:rPr>
                  </w:pPr>
                  <w:r>
                    <w:rPr>
                      <w:rFonts w:hint="eastAsia" w:cs="Times New Roman"/>
                      <w:kern w:val="0"/>
                      <w:sz w:val="21"/>
                      <w:szCs w:val="21"/>
                    </w:rPr>
                    <w:t>m³</w:t>
                  </w:r>
                </w:p>
              </w:tc>
              <w:tc>
                <w:tcPr>
                  <w:tcW w:w="899" w:type="dxa"/>
                  <w:vAlign w:val="center"/>
                </w:tcPr>
                <w:p w14:paraId="77B06D84">
                  <w:pPr>
                    <w:jc w:val="center"/>
                    <w:rPr>
                      <w:rFonts w:cs="Times New Roman"/>
                      <w:kern w:val="0"/>
                      <w:sz w:val="21"/>
                      <w:szCs w:val="21"/>
                    </w:rPr>
                  </w:pPr>
                  <w:r>
                    <w:rPr>
                      <w:rFonts w:hint="eastAsia" w:cs="Times New Roman"/>
                      <w:kern w:val="0"/>
                      <w:sz w:val="21"/>
                      <w:szCs w:val="21"/>
                    </w:rPr>
                    <w:t>168.70</w:t>
                  </w:r>
                </w:p>
              </w:tc>
              <w:tc>
                <w:tcPr>
                  <w:tcW w:w="2638" w:type="dxa"/>
                  <w:vAlign w:val="center"/>
                </w:tcPr>
                <w:p w14:paraId="466660EE">
                  <w:pPr>
                    <w:jc w:val="center"/>
                    <w:rPr>
                      <w:rFonts w:cs="Times New Roman"/>
                      <w:kern w:val="0"/>
                      <w:sz w:val="21"/>
                      <w:szCs w:val="21"/>
                    </w:rPr>
                  </w:pPr>
                  <w:r>
                    <w:rPr>
                      <w:rFonts w:hint="eastAsia" w:cs="Times New Roman"/>
                      <w:kern w:val="0"/>
                      <w:sz w:val="21"/>
                      <w:szCs w:val="21"/>
                    </w:rPr>
                    <w:t>面积2343m</w:t>
                  </w:r>
                  <w:r>
                    <w:rPr>
                      <w:rFonts w:hint="eastAsia" w:cs="Times New Roman"/>
                      <w:kern w:val="0"/>
                      <w:sz w:val="21"/>
                      <w:szCs w:val="21"/>
                      <w:vertAlign w:val="superscript"/>
                    </w:rPr>
                    <w:t>2</w:t>
                  </w:r>
                </w:p>
              </w:tc>
            </w:tr>
            <w:tr w14:paraId="301E0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32276EB">
                  <w:pPr>
                    <w:jc w:val="center"/>
                    <w:rPr>
                      <w:rFonts w:cs="Times New Roman"/>
                      <w:kern w:val="0"/>
                      <w:sz w:val="21"/>
                      <w:szCs w:val="21"/>
                    </w:rPr>
                  </w:pPr>
                  <w:r>
                    <w:rPr>
                      <w:rFonts w:hint="eastAsia" w:cs="Times New Roman"/>
                      <w:kern w:val="0"/>
                      <w:sz w:val="21"/>
                      <w:szCs w:val="21"/>
                    </w:rPr>
                    <w:t>11</w:t>
                  </w:r>
                </w:p>
              </w:tc>
              <w:tc>
                <w:tcPr>
                  <w:tcW w:w="2676" w:type="dxa"/>
                  <w:vAlign w:val="center"/>
                </w:tcPr>
                <w:p w14:paraId="6C38ED2F">
                  <w:pPr>
                    <w:jc w:val="center"/>
                    <w:rPr>
                      <w:rFonts w:cs="Times New Roman"/>
                      <w:kern w:val="0"/>
                      <w:sz w:val="21"/>
                      <w:szCs w:val="21"/>
                    </w:rPr>
                  </w:pPr>
                  <w:r>
                    <w:rPr>
                      <w:rFonts w:hint="eastAsia" w:cs="Times New Roman"/>
                      <w:kern w:val="0"/>
                      <w:sz w:val="21"/>
                      <w:szCs w:val="21"/>
                    </w:rPr>
                    <w:t>路缘石</w:t>
                  </w:r>
                </w:p>
              </w:tc>
              <w:tc>
                <w:tcPr>
                  <w:tcW w:w="706" w:type="dxa"/>
                  <w:vAlign w:val="center"/>
                </w:tcPr>
                <w:p w14:paraId="5EF01FC7">
                  <w:pPr>
                    <w:jc w:val="center"/>
                    <w:rPr>
                      <w:rFonts w:cs="Times New Roman"/>
                      <w:kern w:val="0"/>
                      <w:sz w:val="21"/>
                      <w:szCs w:val="21"/>
                    </w:rPr>
                  </w:pPr>
                  <w:r>
                    <w:rPr>
                      <w:rFonts w:hint="eastAsia" w:cs="Times New Roman"/>
                      <w:kern w:val="0"/>
                      <w:sz w:val="21"/>
                      <w:szCs w:val="21"/>
                    </w:rPr>
                    <w:t>m³</w:t>
                  </w:r>
                </w:p>
              </w:tc>
              <w:tc>
                <w:tcPr>
                  <w:tcW w:w="899" w:type="dxa"/>
                  <w:vAlign w:val="center"/>
                </w:tcPr>
                <w:p w14:paraId="3D00114D">
                  <w:pPr>
                    <w:jc w:val="center"/>
                    <w:rPr>
                      <w:rFonts w:cs="Times New Roman"/>
                      <w:kern w:val="0"/>
                      <w:sz w:val="21"/>
                      <w:szCs w:val="21"/>
                    </w:rPr>
                  </w:pPr>
                  <w:r>
                    <w:rPr>
                      <w:rFonts w:hint="eastAsia" w:cs="Times New Roman"/>
                      <w:kern w:val="0"/>
                      <w:sz w:val="21"/>
                      <w:szCs w:val="21"/>
                    </w:rPr>
                    <w:t>15.98</w:t>
                  </w:r>
                </w:p>
              </w:tc>
              <w:tc>
                <w:tcPr>
                  <w:tcW w:w="2638" w:type="dxa"/>
                  <w:vAlign w:val="center"/>
                </w:tcPr>
                <w:p w14:paraId="46A4820D">
                  <w:pPr>
                    <w:jc w:val="center"/>
                    <w:rPr>
                      <w:rFonts w:cs="Times New Roman"/>
                      <w:kern w:val="0"/>
                      <w:sz w:val="21"/>
                      <w:szCs w:val="21"/>
                    </w:rPr>
                  </w:pPr>
                </w:p>
              </w:tc>
            </w:tr>
            <w:tr w14:paraId="20FF6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EDF2E4B">
                  <w:pPr>
                    <w:jc w:val="center"/>
                    <w:rPr>
                      <w:rFonts w:cs="Times New Roman"/>
                      <w:kern w:val="0"/>
                      <w:sz w:val="21"/>
                      <w:szCs w:val="21"/>
                    </w:rPr>
                  </w:pPr>
                  <w:r>
                    <w:rPr>
                      <w:rFonts w:hint="eastAsia" w:cs="Times New Roman"/>
                      <w:kern w:val="0"/>
                      <w:sz w:val="21"/>
                      <w:szCs w:val="21"/>
                    </w:rPr>
                    <w:t>12</w:t>
                  </w:r>
                </w:p>
              </w:tc>
              <w:tc>
                <w:tcPr>
                  <w:tcW w:w="2676" w:type="dxa"/>
                  <w:vAlign w:val="center"/>
                </w:tcPr>
                <w:p w14:paraId="62FFCE95">
                  <w:pPr>
                    <w:jc w:val="center"/>
                    <w:rPr>
                      <w:rFonts w:cs="Times New Roman"/>
                      <w:kern w:val="0"/>
                      <w:sz w:val="21"/>
                      <w:szCs w:val="21"/>
                    </w:rPr>
                  </w:pPr>
                  <w:r>
                    <w:rPr>
                      <w:rFonts w:hint="eastAsia" w:cs="Times New Roman"/>
                      <w:kern w:val="0"/>
                      <w:sz w:val="21"/>
                      <w:szCs w:val="21"/>
                    </w:rPr>
                    <w:t>10~100kg抛石基床</w:t>
                  </w:r>
                </w:p>
              </w:tc>
              <w:tc>
                <w:tcPr>
                  <w:tcW w:w="706" w:type="dxa"/>
                  <w:vAlign w:val="center"/>
                </w:tcPr>
                <w:p w14:paraId="0AA51415">
                  <w:pPr>
                    <w:jc w:val="center"/>
                    <w:rPr>
                      <w:rFonts w:cs="Times New Roman"/>
                      <w:kern w:val="0"/>
                      <w:sz w:val="21"/>
                      <w:szCs w:val="21"/>
                    </w:rPr>
                  </w:pPr>
                  <w:r>
                    <w:rPr>
                      <w:rFonts w:hint="eastAsia" w:cs="Times New Roman"/>
                      <w:kern w:val="0"/>
                      <w:sz w:val="21"/>
                      <w:szCs w:val="21"/>
                    </w:rPr>
                    <w:t>m³</w:t>
                  </w:r>
                </w:p>
              </w:tc>
              <w:tc>
                <w:tcPr>
                  <w:tcW w:w="899" w:type="dxa"/>
                  <w:vAlign w:val="center"/>
                </w:tcPr>
                <w:p w14:paraId="7A0016F5">
                  <w:pPr>
                    <w:jc w:val="center"/>
                    <w:rPr>
                      <w:rFonts w:cs="Times New Roman"/>
                      <w:kern w:val="0"/>
                      <w:sz w:val="21"/>
                      <w:szCs w:val="21"/>
                    </w:rPr>
                  </w:pPr>
                  <w:r>
                    <w:rPr>
                      <w:rFonts w:hint="eastAsia" w:cs="Times New Roman"/>
                      <w:kern w:val="0"/>
                      <w:sz w:val="21"/>
                      <w:szCs w:val="21"/>
                    </w:rPr>
                    <w:t>386.06</w:t>
                  </w:r>
                </w:p>
              </w:tc>
              <w:tc>
                <w:tcPr>
                  <w:tcW w:w="2638" w:type="dxa"/>
                  <w:vAlign w:val="center"/>
                </w:tcPr>
                <w:p w14:paraId="707DB115">
                  <w:pPr>
                    <w:jc w:val="center"/>
                    <w:rPr>
                      <w:rFonts w:cs="Times New Roman"/>
                      <w:kern w:val="0"/>
                      <w:sz w:val="21"/>
                      <w:szCs w:val="21"/>
                    </w:rPr>
                  </w:pPr>
                </w:p>
              </w:tc>
            </w:tr>
            <w:tr w14:paraId="69D59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D247E52">
                  <w:pPr>
                    <w:jc w:val="center"/>
                    <w:rPr>
                      <w:rFonts w:cs="Times New Roman"/>
                      <w:kern w:val="0"/>
                      <w:sz w:val="21"/>
                      <w:szCs w:val="21"/>
                    </w:rPr>
                  </w:pPr>
                  <w:r>
                    <w:rPr>
                      <w:rFonts w:hint="eastAsia" w:cs="Times New Roman"/>
                      <w:kern w:val="0"/>
                      <w:sz w:val="21"/>
                      <w:szCs w:val="21"/>
                    </w:rPr>
                    <w:t>13</w:t>
                  </w:r>
                </w:p>
              </w:tc>
              <w:tc>
                <w:tcPr>
                  <w:tcW w:w="2676" w:type="dxa"/>
                  <w:vAlign w:val="center"/>
                </w:tcPr>
                <w:p w14:paraId="5C0F0247">
                  <w:pPr>
                    <w:jc w:val="center"/>
                    <w:rPr>
                      <w:rFonts w:cs="Times New Roman"/>
                      <w:kern w:val="0"/>
                      <w:sz w:val="21"/>
                      <w:szCs w:val="21"/>
                    </w:rPr>
                  </w:pPr>
                  <w:r>
                    <w:rPr>
                      <w:rFonts w:hint="eastAsia" w:cs="Times New Roman"/>
                      <w:kern w:val="0"/>
                      <w:sz w:val="21"/>
                      <w:szCs w:val="21"/>
                    </w:rPr>
                    <w:t>60~100kg块石护底</w:t>
                  </w:r>
                </w:p>
              </w:tc>
              <w:tc>
                <w:tcPr>
                  <w:tcW w:w="706" w:type="dxa"/>
                  <w:vAlign w:val="center"/>
                </w:tcPr>
                <w:p w14:paraId="46D74C9D">
                  <w:pPr>
                    <w:jc w:val="center"/>
                    <w:rPr>
                      <w:rFonts w:cs="Times New Roman"/>
                      <w:kern w:val="0"/>
                      <w:sz w:val="21"/>
                      <w:szCs w:val="21"/>
                    </w:rPr>
                  </w:pPr>
                  <w:r>
                    <w:rPr>
                      <w:rFonts w:hint="eastAsia" w:cs="Times New Roman"/>
                      <w:kern w:val="0"/>
                      <w:sz w:val="21"/>
                      <w:szCs w:val="21"/>
                    </w:rPr>
                    <w:t>m³</w:t>
                  </w:r>
                </w:p>
              </w:tc>
              <w:tc>
                <w:tcPr>
                  <w:tcW w:w="899" w:type="dxa"/>
                  <w:vAlign w:val="center"/>
                </w:tcPr>
                <w:p w14:paraId="4CA2EF50">
                  <w:pPr>
                    <w:jc w:val="center"/>
                    <w:rPr>
                      <w:rFonts w:cs="Times New Roman"/>
                      <w:kern w:val="0"/>
                      <w:sz w:val="21"/>
                      <w:szCs w:val="21"/>
                    </w:rPr>
                  </w:pPr>
                  <w:r>
                    <w:rPr>
                      <w:rFonts w:hint="eastAsia" w:cs="Times New Roman"/>
                      <w:kern w:val="0"/>
                      <w:sz w:val="21"/>
                      <w:szCs w:val="21"/>
                    </w:rPr>
                    <w:t>226.31</w:t>
                  </w:r>
                </w:p>
              </w:tc>
              <w:tc>
                <w:tcPr>
                  <w:tcW w:w="2638" w:type="dxa"/>
                  <w:vAlign w:val="center"/>
                </w:tcPr>
                <w:p w14:paraId="21C3A675">
                  <w:pPr>
                    <w:jc w:val="center"/>
                    <w:rPr>
                      <w:rFonts w:cs="Times New Roman"/>
                      <w:kern w:val="0"/>
                      <w:sz w:val="21"/>
                      <w:szCs w:val="21"/>
                    </w:rPr>
                  </w:pPr>
                  <w:r>
                    <w:rPr>
                      <w:rFonts w:hint="eastAsia" w:cs="Times New Roman"/>
                      <w:kern w:val="0"/>
                      <w:sz w:val="21"/>
                      <w:szCs w:val="21"/>
                    </w:rPr>
                    <w:t>浇筑水下不分散混凝土</w:t>
                  </w:r>
                </w:p>
              </w:tc>
            </w:tr>
            <w:tr w14:paraId="270A5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61A53F7">
                  <w:pPr>
                    <w:jc w:val="center"/>
                    <w:rPr>
                      <w:rFonts w:cs="Times New Roman"/>
                      <w:kern w:val="0"/>
                      <w:sz w:val="21"/>
                      <w:szCs w:val="21"/>
                    </w:rPr>
                  </w:pPr>
                  <w:r>
                    <w:rPr>
                      <w:rFonts w:hint="eastAsia" w:cs="Times New Roman"/>
                      <w:kern w:val="0"/>
                      <w:sz w:val="21"/>
                      <w:szCs w:val="21"/>
                    </w:rPr>
                    <w:t>14</w:t>
                  </w:r>
                </w:p>
              </w:tc>
              <w:tc>
                <w:tcPr>
                  <w:tcW w:w="2676" w:type="dxa"/>
                  <w:vAlign w:val="center"/>
                </w:tcPr>
                <w:p w14:paraId="6B141BDF">
                  <w:pPr>
                    <w:jc w:val="center"/>
                    <w:rPr>
                      <w:rFonts w:cs="Times New Roman"/>
                      <w:kern w:val="0"/>
                      <w:sz w:val="21"/>
                      <w:szCs w:val="21"/>
                    </w:rPr>
                  </w:pPr>
                  <w:r>
                    <w:rPr>
                      <w:rFonts w:hint="eastAsia" w:cs="Times New Roman"/>
                      <w:kern w:val="0"/>
                      <w:sz w:val="21"/>
                      <w:szCs w:val="21"/>
                    </w:rPr>
                    <w:t>护轮槛</w:t>
                  </w:r>
                </w:p>
              </w:tc>
              <w:tc>
                <w:tcPr>
                  <w:tcW w:w="706" w:type="dxa"/>
                  <w:vAlign w:val="center"/>
                </w:tcPr>
                <w:p w14:paraId="7D7E1EA3">
                  <w:pPr>
                    <w:jc w:val="center"/>
                    <w:rPr>
                      <w:rFonts w:cs="Times New Roman"/>
                      <w:kern w:val="0"/>
                      <w:sz w:val="21"/>
                      <w:szCs w:val="21"/>
                    </w:rPr>
                  </w:pPr>
                  <w:r>
                    <w:rPr>
                      <w:rFonts w:hint="eastAsia" w:cs="Times New Roman"/>
                      <w:kern w:val="0"/>
                      <w:sz w:val="21"/>
                      <w:szCs w:val="21"/>
                    </w:rPr>
                    <w:t>m³</w:t>
                  </w:r>
                </w:p>
              </w:tc>
              <w:tc>
                <w:tcPr>
                  <w:tcW w:w="899" w:type="dxa"/>
                  <w:vAlign w:val="center"/>
                </w:tcPr>
                <w:p w14:paraId="6A6A5151">
                  <w:pPr>
                    <w:jc w:val="center"/>
                    <w:rPr>
                      <w:rFonts w:cs="Times New Roman"/>
                      <w:kern w:val="0"/>
                      <w:sz w:val="21"/>
                      <w:szCs w:val="21"/>
                    </w:rPr>
                  </w:pPr>
                  <w:r>
                    <w:rPr>
                      <w:rFonts w:hint="eastAsia" w:cs="Times New Roman"/>
                      <w:kern w:val="0"/>
                      <w:sz w:val="21"/>
                      <w:szCs w:val="21"/>
                    </w:rPr>
                    <w:t>17.95</w:t>
                  </w:r>
                </w:p>
              </w:tc>
              <w:tc>
                <w:tcPr>
                  <w:tcW w:w="2638" w:type="dxa"/>
                  <w:vAlign w:val="center"/>
                </w:tcPr>
                <w:p w14:paraId="0BBE853E">
                  <w:pPr>
                    <w:jc w:val="center"/>
                    <w:rPr>
                      <w:rFonts w:cs="Times New Roman"/>
                      <w:kern w:val="0"/>
                      <w:sz w:val="21"/>
                      <w:szCs w:val="21"/>
                    </w:rPr>
                  </w:pPr>
                </w:p>
              </w:tc>
            </w:tr>
            <w:tr w14:paraId="1E559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76ACD0B">
                  <w:pPr>
                    <w:jc w:val="center"/>
                    <w:rPr>
                      <w:rFonts w:cs="Times New Roman"/>
                      <w:kern w:val="0"/>
                      <w:sz w:val="21"/>
                      <w:szCs w:val="21"/>
                    </w:rPr>
                  </w:pPr>
                  <w:r>
                    <w:rPr>
                      <w:rFonts w:hint="eastAsia" w:cs="Times New Roman"/>
                      <w:kern w:val="0"/>
                      <w:sz w:val="21"/>
                      <w:szCs w:val="21"/>
                    </w:rPr>
                    <w:t>15</w:t>
                  </w:r>
                </w:p>
              </w:tc>
              <w:tc>
                <w:tcPr>
                  <w:tcW w:w="2676" w:type="dxa"/>
                  <w:vAlign w:val="center"/>
                </w:tcPr>
                <w:p w14:paraId="4748F431">
                  <w:pPr>
                    <w:jc w:val="center"/>
                    <w:rPr>
                      <w:rFonts w:cs="Times New Roman"/>
                      <w:kern w:val="0"/>
                      <w:sz w:val="21"/>
                      <w:szCs w:val="21"/>
                    </w:rPr>
                  </w:pPr>
                  <w:r>
                    <w:rPr>
                      <w:rFonts w:hint="eastAsia" w:cs="Times New Roman"/>
                      <w:kern w:val="0"/>
                      <w:sz w:val="21"/>
                      <w:szCs w:val="21"/>
                    </w:rPr>
                    <w:t>150KN系船柱</w:t>
                  </w:r>
                </w:p>
              </w:tc>
              <w:tc>
                <w:tcPr>
                  <w:tcW w:w="706" w:type="dxa"/>
                  <w:vAlign w:val="center"/>
                </w:tcPr>
                <w:p w14:paraId="54CCDA6F">
                  <w:pPr>
                    <w:jc w:val="center"/>
                    <w:rPr>
                      <w:rFonts w:cs="Times New Roman"/>
                      <w:kern w:val="0"/>
                      <w:sz w:val="21"/>
                      <w:szCs w:val="21"/>
                    </w:rPr>
                  </w:pPr>
                  <w:r>
                    <w:rPr>
                      <w:rFonts w:hint="eastAsia" w:cs="Times New Roman"/>
                      <w:kern w:val="0"/>
                      <w:sz w:val="21"/>
                      <w:szCs w:val="21"/>
                    </w:rPr>
                    <w:t>个</w:t>
                  </w:r>
                </w:p>
              </w:tc>
              <w:tc>
                <w:tcPr>
                  <w:tcW w:w="899" w:type="dxa"/>
                  <w:vAlign w:val="center"/>
                </w:tcPr>
                <w:p w14:paraId="51E4BDF9">
                  <w:pPr>
                    <w:jc w:val="center"/>
                    <w:rPr>
                      <w:rFonts w:cs="Times New Roman"/>
                      <w:kern w:val="0"/>
                      <w:sz w:val="21"/>
                      <w:szCs w:val="21"/>
                    </w:rPr>
                  </w:pPr>
                  <w:r>
                    <w:rPr>
                      <w:rFonts w:hint="eastAsia" w:cs="Times New Roman"/>
                      <w:kern w:val="0"/>
                      <w:sz w:val="21"/>
                      <w:szCs w:val="21"/>
                    </w:rPr>
                    <w:t>12</w:t>
                  </w:r>
                </w:p>
              </w:tc>
              <w:tc>
                <w:tcPr>
                  <w:tcW w:w="2638" w:type="dxa"/>
                  <w:vAlign w:val="center"/>
                </w:tcPr>
                <w:p w14:paraId="4F58D7A4">
                  <w:pPr>
                    <w:jc w:val="center"/>
                    <w:rPr>
                      <w:rFonts w:cs="Times New Roman"/>
                      <w:kern w:val="0"/>
                      <w:sz w:val="21"/>
                      <w:szCs w:val="21"/>
                    </w:rPr>
                  </w:pPr>
                </w:p>
              </w:tc>
            </w:tr>
            <w:tr w14:paraId="39A57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8FB242F">
                  <w:pPr>
                    <w:jc w:val="center"/>
                    <w:rPr>
                      <w:rFonts w:cs="Times New Roman"/>
                      <w:kern w:val="0"/>
                      <w:sz w:val="21"/>
                      <w:szCs w:val="21"/>
                    </w:rPr>
                  </w:pPr>
                  <w:r>
                    <w:rPr>
                      <w:rFonts w:hint="eastAsia" w:cs="Times New Roman"/>
                      <w:kern w:val="0"/>
                      <w:sz w:val="21"/>
                      <w:szCs w:val="21"/>
                    </w:rPr>
                    <w:t>16</w:t>
                  </w:r>
                </w:p>
              </w:tc>
              <w:tc>
                <w:tcPr>
                  <w:tcW w:w="2676" w:type="dxa"/>
                  <w:vAlign w:val="center"/>
                </w:tcPr>
                <w:p w14:paraId="75A7D77E">
                  <w:pPr>
                    <w:jc w:val="center"/>
                    <w:rPr>
                      <w:rFonts w:cs="Times New Roman"/>
                      <w:kern w:val="0"/>
                      <w:sz w:val="21"/>
                      <w:szCs w:val="21"/>
                    </w:rPr>
                  </w:pPr>
                  <w:r>
                    <w:rPr>
                      <w:rFonts w:hint="eastAsia" w:cs="Times New Roman"/>
                      <w:kern w:val="0"/>
                      <w:sz w:val="21"/>
                      <w:szCs w:val="21"/>
                    </w:rPr>
                    <w:t>系船柱块体</w:t>
                  </w:r>
                </w:p>
              </w:tc>
              <w:tc>
                <w:tcPr>
                  <w:tcW w:w="706" w:type="dxa"/>
                  <w:vAlign w:val="center"/>
                </w:tcPr>
                <w:p w14:paraId="4302F45C">
                  <w:pPr>
                    <w:jc w:val="center"/>
                    <w:rPr>
                      <w:rFonts w:cs="Times New Roman"/>
                      <w:kern w:val="0"/>
                      <w:sz w:val="21"/>
                      <w:szCs w:val="21"/>
                    </w:rPr>
                  </w:pPr>
                  <w:r>
                    <w:rPr>
                      <w:rFonts w:hint="eastAsia" w:cs="Times New Roman"/>
                      <w:kern w:val="0"/>
                      <w:sz w:val="21"/>
                      <w:szCs w:val="21"/>
                    </w:rPr>
                    <w:t>m³</w:t>
                  </w:r>
                </w:p>
              </w:tc>
              <w:tc>
                <w:tcPr>
                  <w:tcW w:w="899" w:type="dxa"/>
                  <w:vAlign w:val="center"/>
                </w:tcPr>
                <w:p w14:paraId="6365435D">
                  <w:pPr>
                    <w:jc w:val="center"/>
                    <w:rPr>
                      <w:rFonts w:cs="Times New Roman"/>
                      <w:kern w:val="0"/>
                      <w:sz w:val="21"/>
                      <w:szCs w:val="21"/>
                    </w:rPr>
                  </w:pPr>
                  <w:r>
                    <w:rPr>
                      <w:rFonts w:hint="eastAsia" w:cs="Times New Roman"/>
                      <w:kern w:val="0"/>
                      <w:sz w:val="21"/>
                      <w:szCs w:val="21"/>
                    </w:rPr>
                    <w:t>6.912</w:t>
                  </w:r>
                </w:p>
              </w:tc>
              <w:tc>
                <w:tcPr>
                  <w:tcW w:w="2638" w:type="dxa"/>
                  <w:vAlign w:val="center"/>
                </w:tcPr>
                <w:p w14:paraId="3ED62DBD">
                  <w:pPr>
                    <w:jc w:val="center"/>
                    <w:rPr>
                      <w:rFonts w:cs="Times New Roman"/>
                      <w:kern w:val="0"/>
                      <w:sz w:val="21"/>
                      <w:szCs w:val="21"/>
                    </w:rPr>
                  </w:pPr>
                </w:p>
              </w:tc>
            </w:tr>
            <w:tr w14:paraId="55AA0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31D65239">
                  <w:pPr>
                    <w:jc w:val="center"/>
                    <w:rPr>
                      <w:rFonts w:cs="Times New Roman"/>
                      <w:kern w:val="0"/>
                      <w:sz w:val="21"/>
                      <w:szCs w:val="21"/>
                    </w:rPr>
                  </w:pPr>
                  <w:r>
                    <w:rPr>
                      <w:rFonts w:hint="eastAsia" w:cs="Times New Roman"/>
                      <w:kern w:val="0"/>
                      <w:sz w:val="21"/>
                      <w:szCs w:val="21"/>
                    </w:rPr>
                    <w:t>17</w:t>
                  </w:r>
                </w:p>
              </w:tc>
              <w:tc>
                <w:tcPr>
                  <w:tcW w:w="2676" w:type="dxa"/>
                  <w:vAlign w:val="center"/>
                </w:tcPr>
                <w:p w14:paraId="061D2F4D">
                  <w:pPr>
                    <w:jc w:val="center"/>
                    <w:rPr>
                      <w:rFonts w:cs="Times New Roman"/>
                      <w:kern w:val="0"/>
                      <w:sz w:val="21"/>
                      <w:szCs w:val="21"/>
                    </w:rPr>
                  </w:pPr>
                  <w:r>
                    <w:rPr>
                      <w:rFonts w:hint="eastAsia" w:cs="Times New Roman"/>
                      <w:kern w:val="0"/>
                      <w:sz w:val="21"/>
                      <w:szCs w:val="21"/>
                    </w:rPr>
                    <w:t>系船环</w:t>
                  </w:r>
                </w:p>
              </w:tc>
              <w:tc>
                <w:tcPr>
                  <w:tcW w:w="706" w:type="dxa"/>
                  <w:vAlign w:val="center"/>
                </w:tcPr>
                <w:p w14:paraId="28AC413D">
                  <w:pPr>
                    <w:jc w:val="center"/>
                    <w:rPr>
                      <w:rFonts w:cs="Times New Roman"/>
                      <w:kern w:val="0"/>
                      <w:sz w:val="21"/>
                      <w:szCs w:val="21"/>
                    </w:rPr>
                  </w:pPr>
                  <w:r>
                    <w:rPr>
                      <w:rFonts w:hint="eastAsia" w:cs="Times New Roman"/>
                      <w:kern w:val="0"/>
                      <w:sz w:val="21"/>
                      <w:szCs w:val="21"/>
                    </w:rPr>
                    <w:t>个</w:t>
                  </w:r>
                </w:p>
              </w:tc>
              <w:tc>
                <w:tcPr>
                  <w:tcW w:w="899" w:type="dxa"/>
                  <w:vAlign w:val="center"/>
                </w:tcPr>
                <w:p w14:paraId="734F97B3">
                  <w:pPr>
                    <w:jc w:val="center"/>
                    <w:rPr>
                      <w:rFonts w:cs="Times New Roman"/>
                      <w:kern w:val="0"/>
                      <w:sz w:val="21"/>
                      <w:szCs w:val="21"/>
                    </w:rPr>
                  </w:pPr>
                  <w:r>
                    <w:rPr>
                      <w:rFonts w:hint="eastAsia" w:cs="Times New Roman"/>
                      <w:kern w:val="0"/>
                      <w:sz w:val="21"/>
                      <w:szCs w:val="21"/>
                    </w:rPr>
                    <w:t>18</w:t>
                  </w:r>
                </w:p>
              </w:tc>
              <w:tc>
                <w:tcPr>
                  <w:tcW w:w="2638" w:type="dxa"/>
                  <w:vAlign w:val="center"/>
                </w:tcPr>
                <w:p w14:paraId="4F7BA65D">
                  <w:pPr>
                    <w:jc w:val="center"/>
                    <w:rPr>
                      <w:rFonts w:cs="Times New Roman"/>
                      <w:kern w:val="0"/>
                      <w:sz w:val="21"/>
                      <w:szCs w:val="21"/>
                    </w:rPr>
                  </w:pPr>
                  <w:r>
                    <w:rPr>
                      <w:rFonts w:hint="eastAsia" w:cs="Times New Roman"/>
                      <w:kern w:val="0"/>
                      <w:sz w:val="21"/>
                      <w:szCs w:val="21"/>
                    </w:rPr>
                    <w:t>D300×300×1000-3Z</w:t>
                  </w:r>
                </w:p>
              </w:tc>
            </w:tr>
            <w:tr w14:paraId="5306F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734B771">
                  <w:pPr>
                    <w:jc w:val="center"/>
                    <w:rPr>
                      <w:rFonts w:cs="Times New Roman"/>
                      <w:kern w:val="0"/>
                      <w:sz w:val="21"/>
                      <w:szCs w:val="21"/>
                    </w:rPr>
                  </w:pPr>
                  <w:r>
                    <w:rPr>
                      <w:rFonts w:hint="eastAsia" w:cs="Times New Roman"/>
                      <w:kern w:val="0"/>
                      <w:sz w:val="21"/>
                      <w:szCs w:val="21"/>
                    </w:rPr>
                    <w:t>18</w:t>
                  </w:r>
                </w:p>
              </w:tc>
              <w:tc>
                <w:tcPr>
                  <w:tcW w:w="2676" w:type="dxa"/>
                  <w:vAlign w:val="center"/>
                </w:tcPr>
                <w:p w14:paraId="1C6E51D4">
                  <w:pPr>
                    <w:jc w:val="center"/>
                    <w:rPr>
                      <w:rFonts w:cs="Times New Roman"/>
                      <w:kern w:val="0"/>
                      <w:sz w:val="21"/>
                      <w:szCs w:val="21"/>
                    </w:rPr>
                  </w:pPr>
                  <w:r>
                    <w:rPr>
                      <w:rFonts w:hint="eastAsia" w:cs="Times New Roman"/>
                      <w:kern w:val="0"/>
                      <w:sz w:val="21"/>
                      <w:szCs w:val="21"/>
                    </w:rPr>
                    <w:t>橡胶护舷1</w:t>
                  </w:r>
                </w:p>
              </w:tc>
              <w:tc>
                <w:tcPr>
                  <w:tcW w:w="706" w:type="dxa"/>
                  <w:vAlign w:val="center"/>
                </w:tcPr>
                <w:p w14:paraId="4F45FB72">
                  <w:pPr>
                    <w:jc w:val="center"/>
                    <w:rPr>
                      <w:rFonts w:cs="Times New Roman"/>
                      <w:kern w:val="0"/>
                      <w:sz w:val="21"/>
                      <w:szCs w:val="21"/>
                    </w:rPr>
                  </w:pPr>
                  <w:r>
                    <w:rPr>
                      <w:rFonts w:hint="eastAsia" w:cs="Times New Roman"/>
                      <w:kern w:val="0"/>
                      <w:sz w:val="21"/>
                      <w:szCs w:val="21"/>
                    </w:rPr>
                    <w:t>个</w:t>
                  </w:r>
                </w:p>
              </w:tc>
              <w:tc>
                <w:tcPr>
                  <w:tcW w:w="899" w:type="dxa"/>
                  <w:vAlign w:val="center"/>
                </w:tcPr>
                <w:p w14:paraId="4ACC1E8D">
                  <w:pPr>
                    <w:jc w:val="center"/>
                    <w:rPr>
                      <w:rFonts w:cs="Times New Roman"/>
                      <w:kern w:val="0"/>
                      <w:sz w:val="21"/>
                      <w:szCs w:val="21"/>
                    </w:rPr>
                  </w:pPr>
                  <w:r>
                    <w:rPr>
                      <w:rFonts w:hint="eastAsia" w:cs="Times New Roman"/>
                      <w:kern w:val="0"/>
                      <w:sz w:val="21"/>
                      <w:szCs w:val="21"/>
                    </w:rPr>
                    <w:t>18</w:t>
                  </w:r>
                </w:p>
              </w:tc>
              <w:tc>
                <w:tcPr>
                  <w:tcW w:w="2638" w:type="dxa"/>
                  <w:vAlign w:val="center"/>
                </w:tcPr>
                <w:p w14:paraId="13BCF4C5">
                  <w:pPr>
                    <w:jc w:val="center"/>
                    <w:rPr>
                      <w:rFonts w:cs="Times New Roman"/>
                      <w:kern w:val="0"/>
                      <w:sz w:val="21"/>
                      <w:szCs w:val="21"/>
                    </w:rPr>
                  </w:pPr>
                  <w:r>
                    <w:rPr>
                      <w:rFonts w:hint="eastAsia" w:cs="Times New Roman"/>
                      <w:kern w:val="0"/>
                      <w:sz w:val="21"/>
                      <w:szCs w:val="21"/>
                    </w:rPr>
                    <w:t>D300×300×1500-3Z</w:t>
                  </w:r>
                </w:p>
              </w:tc>
            </w:tr>
            <w:tr w14:paraId="6BA40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38A0E46">
                  <w:pPr>
                    <w:jc w:val="center"/>
                    <w:rPr>
                      <w:rFonts w:cs="Times New Roman"/>
                      <w:kern w:val="0"/>
                      <w:sz w:val="21"/>
                      <w:szCs w:val="21"/>
                    </w:rPr>
                  </w:pPr>
                  <w:r>
                    <w:rPr>
                      <w:rFonts w:hint="eastAsia" w:cs="Times New Roman"/>
                      <w:kern w:val="0"/>
                      <w:sz w:val="21"/>
                      <w:szCs w:val="21"/>
                    </w:rPr>
                    <w:t>19</w:t>
                  </w:r>
                </w:p>
              </w:tc>
              <w:tc>
                <w:tcPr>
                  <w:tcW w:w="2676" w:type="dxa"/>
                  <w:vAlign w:val="center"/>
                </w:tcPr>
                <w:p w14:paraId="725284B8">
                  <w:pPr>
                    <w:jc w:val="center"/>
                    <w:rPr>
                      <w:rFonts w:cs="Times New Roman"/>
                      <w:kern w:val="0"/>
                      <w:sz w:val="21"/>
                      <w:szCs w:val="21"/>
                    </w:rPr>
                  </w:pPr>
                  <w:r>
                    <w:rPr>
                      <w:rFonts w:hint="eastAsia" w:cs="Times New Roman"/>
                      <w:kern w:val="0"/>
                      <w:sz w:val="21"/>
                      <w:szCs w:val="21"/>
                    </w:rPr>
                    <w:t>橡胶护舷2</w:t>
                  </w:r>
                </w:p>
              </w:tc>
              <w:tc>
                <w:tcPr>
                  <w:tcW w:w="706" w:type="dxa"/>
                  <w:vAlign w:val="center"/>
                </w:tcPr>
                <w:p w14:paraId="62BA7942">
                  <w:pPr>
                    <w:jc w:val="center"/>
                    <w:rPr>
                      <w:rFonts w:cs="Times New Roman"/>
                      <w:kern w:val="0"/>
                      <w:sz w:val="21"/>
                      <w:szCs w:val="21"/>
                    </w:rPr>
                  </w:pPr>
                  <w:r>
                    <w:rPr>
                      <w:rFonts w:hint="eastAsia" w:cs="Times New Roman"/>
                      <w:kern w:val="0"/>
                      <w:sz w:val="21"/>
                      <w:szCs w:val="21"/>
                    </w:rPr>
                    <w:t>个</w:t>
                  </w:r>
                </w:p>
              </w:tc>
              <w:tc>
                <w:tcPr>
                  <w:tcW w:w="899" w:type="dxa"/>
                  <w:vAlign w:val="center"/>
                </w:tcPr>
                <w:p w14:paraId="26CAC0E7">
                  <w:pPr>
                    <w:jc w:val="center"/>
                    <w:rPr>
                      <w:rFonts w:cs="Times New Roman"/>
                      <w:kern w:val="0"/>
                      <w:sz w:val="21"/>
                      <w:szCs w:val="21"/>
                    </w:rPr>
                  </w:pPr>
                  <w:r>
                    <w:rPr>
                      <w:rFonts w:hint="eastAsia" w:cs="Times New Roman"/>
                      <w:kern w:val="0"/>
                      <w:sz w:val="21"/>
                      <w:szCs w:val="21"/>
                    </w:rPr>
                    <w:t>54</w:t>
                  </w:r>
                </w:p>
              </w:tc>
              <w:tc>
                <w:tcPr>
                  <w:tcW w:w="2638" w:type="dxa"/>
                  <w:vAlign w:val="center"/>
                </w:tcPr>
                <w:p w14:paraId="4B573549">
                  <w:pPr>
                    <w:jc w:val="center"/>
                    <w:rPr>
                      <w:rFonts w:cs="Times New Roman"/>
                      <w:kern w:val="0"/>
                      <w:sz w:val="21"/>
                      <w:szCs w:val="21"/>
                    </w:rPr>
                  </w:pPr>
                </w:p>
              </w:tc>
            </w:tr>
            <w:tr w14:paraId="148C6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84753DC">
                  <w:pPr>
                    <w:jc w:val="center"/>
                    <w:rPr>
                      <w:rFonts w:cs="Times New Roman"/>
                      <w:kern w:val="0"/>
                      <w:sz w:val="21"/>
                      <w:szCs w:val="21"/>
                    </w:rPr>
                  </w:pPr>
                  <w:r>
                    <w:rPr>
                      <w:rFonts w:hint="eastAsia" w:cs="Times New Roman"/>
                      <w:kern w:val="0"/>
                      <w:sz w:val="21"/>
                      <w:szCs w:val="21"/>
                    </w:rPr>
                    <w:t>20</w:t>
                  </w:r>
                </w:p>
              </w:tc>
              <w:tc>
                <w:tcPr>
                  <w:tcW w:w="2676" w:type="dxa"/>
                  <w:vAlign w:val="center"/>
                </w:tcPr>
                <w:p w14:paraId="2368E61B">
                  <w:pPr>
                    <w:jc w:val="center"/>
                    <w:rPr>
                      <w:rFonts w:cs="Times New Roman"/>
                      <w:kern w:val="0"/>
                      <w:sz w:val="21"/>
                      <w:szCs w:val="21"/>
                    </w:rPr>
                  </w:pPr>
                  <w:r>
                    <w:rPr>
                      <w:rFonts w:hint="eastAsia" w:cs="Times New Roman"/>
                      <w:kern w:val="0"/>
                      <w:sz w:val="21"/>
                      <w:szCs w:val="21"/>
                    </w:rPr>
                    <w:t>开挖量</w:t>
                  </w:r>
                </w:p>
              </w:tc>
              <w:tc>
                <w:tcPr>
                  <w:tcW w:w="706" w:type="dxa"/>
                  <w:vAlign w:val="center"/>
                </w:tcPr>
                <w:p w14:paraId="0A5062B8">
                  <w:pPr>
                    <w:jc w:val="center"/>
                    <w:rPr>
                      <w:rFonts w:cs="Times New Roman"/>
                      <w:kern w:val="0"/>
                      <w:sz w:val="21"/>
                      <w:szCs w:val="21"/>
                    </w:rPr>
                  </w:pPr>
                  <w:r>
                    <w:rPr>
                      <w:rFonts w:hint="eastAsia" w:cs="Times New Roman"/>
                      <w:kern w:val="0"/>
                      <w:sz w:val="21"/>
                      <w:szCs w:val="21"/>
                    </w:rPr>
                    <w:t>m³</w:t>
                  </w:r>
                </w:p>
              </w:tc>
              <w:tc>
                <w:tcPr>
                  <w:tcW w:w="899" w:type="dxa"/>
                  <w:vAlign w:val="center"/>
                </w:tcPr>
                <w:p w14:paraId="48E7D634">
                  <w:pPr>
                    <w:jc w:val="center"/>
                    <w:rPr>
                      <w:rFonts w:cs="Times New Roman"/>
                      <w:kern w:val="0"/>
                      <w:sz w:val="21"/>
                      <w:szCs w:val="21"/>
                    </w:rPr>
                  </w:pPr>
                  <w:r>
                    <w:rPr>
                      <w:rFonts w:hint="eastAsia" w:cs="Times New Roman"/>
                      <w:kern w:val="0"/>
                      <w:sz w:val="21"/>
                      <w:szCs w:val="21"/>
                    </w:rPr>
                    <w:t>3118.00</w:t>
                  </w:r>
                </w:p>
              </w:tc>
              <w:tc>
                <w:tcPr>
                  <w:tcW w:w="2638" w:type="dxa"/>
                  <w:vAlign w:val="center"/>
                </w:tcPr>
                <w:p w14:paraId="01116CED">
                  <w:pPr>
                    <w:jc w:val="center"/>
                    <w:rPr>
                      <w:rFonts w:cs="Times New Roman"/>
                      <w:kern w:val="0"/>
                      <w:sz w:val="21"/>
                      <w:szCs w:val="21"/>
                    </w:rPr>
                  </w:pPr>
                </w:p>
              </w:tc>
            </w:tr>
            <w:tr w14:paraId="118FC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673D454">
                  <w:pPr>
                    <w:jc w:val="center"/>
                    <w:rPr>
                      <w:rFonts w:cs="Times New Roman"/>
                      <w:kern w:val="0"/>
                      <w:sz w:val="21"/>
                      <w:szCs w:val="21"/>
                    </w:rPr>
                  </w:pPr>
                  <w:r>
                    <w:rPr>
                      <w:rFonts w:hint="eastAsia" w:cs="Times New Roman"/>
                      <w:kern w:val="0"/>
                      <w:sz w:val="21"/>
                      <w:szCs w:val="21"/>
                    </w:rPr>
                    <w:t>21</w:t>
                  </w:r>
                </w:p>
              </w:tc>
              <w:tc>
                <w:tcPr>
                  <w:tcW w:w="2676" w:type="dxa"/>
                  <w:vAlign w:val="center"/>
                </w:tcPr>
                <w:p w14:paraId="14A56AFE">
                  <w:pPr>
                    <w:jc w:val="center"/>
                    <w:rPr>
                      <w:rFonts w:cs="Times New Roman"/>
                      <w:kern w:val="0"/>
                      <w:sz w:val="21"/>
                      <w:szCs w:val="21"/>
                    </w:rPr>
                  </w:pPr>
                  <w:r>
                    <w:rPr>
                      <w:rFonts w:hint="eastAsia" w:cs="Times New Roman"/>
                      <w:kern w:val="0"/>
                      <w:sz w:val="21"/>
                      <w:szCs w:val="21"/>
                    </w:rPr>
                    <w:t>栏杆</w:t>
                  </w:r>
                </w:p>
              </w:tc>
              <w:tc>
                <w:tcPr>
                  <w:tcW w:w="706" w:type="dxa"/>
                  <w:vAlign w:val="center"/>
                </w:tcPr>
                <w:p w14:paraId="290648E6">
                  <w:pPr>
                    <w:jc w:val="center"/>
                    <w:rPr>
                      <w:rFonts w:cs="Times New Roman"/>
                      <w:kern w:val="0"/>
                      <w:sz w:val="21"/>
                      <w:szCs w:val="21"/>
                    </w:rPr>
                  </w:pPr>
                  <w:r>
                    <w:rPr>
                      <w:rFonts w:hint="eastAsia" w:cs="Times New Roman"/>
                      <w:kern w:val="0"/>
                      <w:sz w:val="21"/>
                      <w:szCs w:val="21"/>
                    </w:rPr>
                    <w:t>m</w:t>
                  </w:r>
                </w:p>
              </w:tc>
              <w:tc>
                <w:tcPr>
                  <w:tcW w:w="899" w:type="dxa"/>
                  <w:vAlign w:val="center"/>
                </w:tcPr>
                <w:p w14:paraId="712762FD">
                  <w:pPr>
                    <w:jc w:val="center"/>
                    <w:rPr>
                      <w:rFonts w:cs="Times New Roman"/>
                      <w:kern w:val="0"/>
                      <w:sz w:val="21"/>
                      <w:szCs w:val="21"/>
                    </w:rPr>
                  </w:pPr>
                  <w:r>
                    <w:rPr>
                      <w:rFonts w:hint="eastAsia" w:cs="Times New Roman"/>
                      <w:kern w:val="0"/>
                      <w:sz w:val="21"/>
                      <w:szCs w:val="21"/>
                    </w:rPr>
                    <w:t>199.45</w:t>
                  </w:r>
                </w:p>
              </w:tc>
              <w:tc>
                <w:tcPr>
                  <w:tcW w:w="2638" w:type="dxa"/>
                  <w:vAlign w:val="center"/>
                </w:tcPr>
                <w:p w14:paraId="0F0D7009">
                  <w:pPr>
                    <w:jc w:val="center"/>
                    <w:rPr>
                      <w:rFonts w:cs="Times New Roman"/>
                      <w:kern w:val="0"/>
                      <w:sz w:val="21"/>
                      <w:szCs w:val="21"/>
                    </w:rPr>
                  </w:pPr>
                </w:p>
              </w:tc>
            </w:tr>
            <w:tr w14:paraId="5FBD2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27" w:type="dxa"/>
                  <w:gridSpan w:val="5"/>
                  <w:vAlign w:val="center"/>
                </w:tcPr>
                <w:p w14:paraId="2E647A86">
                  <w:pPr>
                    <w:jc w:val="center"/>
                    <w:rPr>
                      <w:rFonts w:cs="Times New Roman"/>
                      <w:b/>
                      <w:bCs/>
                      <w:kern w:val="0"/>
                      <w:sz w:val="21"/>
                      <w:szCs w:val="21"/>
                    </w:rPr>
                  </w:pPr>
                  <w:r>
                    <w:rPr>
                      <w:rFonts w:hint="eastAsia" w:cs="Times New Roman"/>
                      <w:b/>
                      <w:bCs/>
                      <w:kern w:val="0"/>
                      <w:sz w:val="21"/>
                      <w:szCs w:val="21"/>
                    </w:rPr>
                    <w:t>低水段工作船码头实心方块结构工程量</w:t>
                  </w:r>
                </w:p>
              </w:tc>
            </w:tr>
            <w:tr w14:paraId="4C21E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561F00D">
                  <w:pPr>
                    <w:jc w:val="center"/>
                    <w:rPr>
                      <w:rFonts w:cs="Times New Roman"/>
                      <w:kern w:val="0"/>
                      <w:sz w:val="21"/>
                      <w:szCs w:val="21"/>
                    </w:rPr>
                  </w:pPr>
                  <w:r>
                    <w:rPr>
                      <w:rFonts w:hint="eastAsia" w:cs="Times New Roman"/>
                      <w:kern w:val="0"/>
                      <w:sz w:val="21"/>
                      <w:szCs w:val="21"/>
                    </w:rPr>
                    <w:t>1</w:t>
                  </w:r>
                </w:p>
              </w:tc>
              <w:tc>
                <w:tcPr>
                  <w:tcW w:w="2676" w:type="dxa"/>
                  <w:vAlign w:val="center"/>
                </w:tcPr>
                <w:p w14:paraId="3942E2DD">
                  <w:pPr>
                    <w:jc w:val="center"/>
                    <w:rPr>
                      <w:rFonts w:cs="Times New Roman"/>
                      <w:kern w:val="0"/>
                      <w:sz w:val="21"/>
                      <w:szCs w:val="21"/>
                    </w:rPr>
                  </w:pPr>
                  <w:r>
                    <w:rPr>
                      <w:rFonts w:hint="eastAsia" w:cs="Times New Roman"/>
                      <w:kern w:val="0"/>
                      <w:sz w:val="21"/>
                      <w:szCs w:val="21"/>
                    </w:rPr>
                    <w:t>现浇混凝土胸墙</w:t>
                  </w:r>
                </w:p>
              </w:tc>
              <w:tc>
                <w:tcPr>
                  <w:tcW w:w="706" w:type="dxa"/>
                  <w:vAlign w:val="center"/>
                </w:tcPr>
                <w:p w14:paraId="5605FE58">
                  <w:pPr>
                    <w:jc w:val="center"/>
                    <w:rPr>
                      <w:rFonts w:cs="Times New Roman"/>
                      <w:kern w:val="0"/>
                      <w:sz w:val="21"/>
                      <w:szCs w:val="21"/>
                    </w:rPr>
                  </w:pPr>
                  <w:r>
                    <w:rPr>
                      <w:rFonts w:hint="eastAsia" w:cs="Times New Roman"/>
                      <w:kern w:val="0"/>
                      <w:sz w:val="21"/>
                      <w:szCs w:val="21"/>
                    </w:rPr>
                    <w:t>m³</w:t>
                  </w:r>
                </w:p>
              </w:tc>
              <w:tc>
                <w:tcPr>
                  <w:tcW w:w="899" w:type="dxa"/>
                  <w:vAlign w:val="center"/>
                </w:tcPr>
                <w:p w14:paraId="3EFB4970">
                  <w:pPr>
                    <w:jc w:val="center"/>
                    <w:rPr>
                      <w:rFonts w:cs="Times New Roman"/>
                      <w:kern w:val="0"/>
                      <w:sz w:val="21"/>
                      <w:szCs w:val="21"/>
                    </w:rPr>
                  </w:pPr>
                  <w:r>
                    <w:rPr>
                      <w:rFonts w:hint="eastAsia" w:cs="Times New Roman"/>
                      <w:kern w:val="0"/>
                      <w:sz w:val="21"/>
                      <w:szCs w:val="21"/>
                    </w:rPr>
                    <w:t>227.20</w:t>
                  </w:r>
                </w:p>
              </w:tc>
              <w:tc>
                <w:tcPr>
                  <w:tcW w:w="2638" w:type="dxa"/>
                  <w:vAlign w:val="center"/>
                </w:tcPr>
                <w:p w14:paraId="493D34DD">
                  <w:pPr>
                    <w:jc w:val="center"/>
                    <w:rPr>
                      <w:rFonts w:cs="Times New Roman"/>
                      <w:kern w:val="0"/>
                      <w:sz w:val="21"/>
                      <w:szCs w:val="21"/>
                    </w:rPr>
                  </w:pPr>
                  <w:r>
                    <w:rPr>
                      <w:rFonts w:hint="eastAsia" w:cs="Times New Roman"/>
                      <w:kern w:val="0"/>
                      <w:sz w:val="21"/>
                      <w:szCs w:val="21"/>
                    </w:rPr>
                    <w:t>C30F300</w:t>
                  </w:r>
                </w:p>
              </w:tc>
            </w:tr>
            <w:tr w14:paraId="4F650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restart"/>
                  <w:vAlign w:val="center"/>
                </w:tcPr>
                <w:p w14:paraId="63130C7C">
                  <w:pPr>
                    <w:jc w:val="center"/>
                    <w:rPr>
                      <w:rFonts w:cs="Times New Roman"/>
                      <w:kern w:val="0"/>
                      <w:sz w:val="21"/>
                      <w:szCs w:val="21"/>
                    </w:rPr>
                  </w:pPr>
                  <w:r>
                    <w:rPr>
                      <w:rFonts w:hint="eastAsia" w:cs="Times New Roman"/>
                      <w:kern w:val="0"/>
                      <w:sz w:val="21"/>
                      <w:szCs w:val="21"/>
                    </w:rPr>
                    <w:t>2</w:t>
                  </w:r>
                </w:p>
              </w:tc>
              <w:tc>
                <w:tcPr>
                  <w:tcW w:w="2676" w:type="dxa"/>
                  <w:vAlign w:val="center"/>
                </w:tcPr>
                <w:p w14:paraId="6CD2EAF4">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728C80C8">
                  <w:pPr>
                    <w:jc w:val="center"/>
                    <w:rPr>
                      <w:rFonts w:cs="Times New Roman"/>
                      <w:kern w:val="0"/>
                      <w:sz w:val="21"/>
                      <w:szCs w:val="21"/>
                    </w:rPr>
                  </w:pPr>
                  <w:r>
                    <w:rPr>
                      <w:rFonts w:hint="eastAsia" w:cs="Times New Roman"/>
                      <w:kern w:val="0"/>
                      <w:sz w:val="21"/>
                      <w:szCs w:val="21"/>
                    </w:rPr>
                    <w:t>个</w:t>
                  </w:r>
                </w:p>
              </w:tc>
              <w:tc>
                <w:tcPr>
                  <w:tcW w:w="899" w:type="dxa"/>
                  <w:vAlign w:val="center"/>
                </w:tcPr>
                <w:p w14:paraId="13357976">
                  <w:pPr>
                    <w:jc w:val="center"/>
                    <w:rPr>
                      <w:rFonts w:cs="Times New Roman"/>
                      <w:kern w:val="0"/>
                      <w:sz w:val="21"/>
                      <w:szCs w:val="21"/>
                    </w:rPr>
                  </w:pPr>
                  <w:r>
                    <w:rPr>
                      <w:rFonts w:hint="eastAsia" w:cs="Times New Roman"/>
                      <w:kern w:val="0"/>
                      <w:sz w:val="21"/>
                      <w:szCs w:val="21"/>
                    </w:rPr>
                    <w:t>20</w:t>
                  </w:r>
                </w:p>
              </w:tc>
              <w:tc>
                <w:tcPr>
                  <w:tcW w:w="2638" w:type="dxa"/>
                  <w:vMerge w:val="restart"/>
                  <w:vAlign w:val="center"/>
                </w:tcPr>
                <w:p w14:paraId="058160A3">
                  <w:pPr>
                    <w:jc w:val="center"/>
                    <w:rPr>
                      <w:rFonts w:cs="Times New Roman"/>
                      <w:kern w:val="0"/>
                      <w:sz w:val="21"/>
                      <w:szCs w:val="21"/>
                    </w:rPr>
                  </w:pPr>
                  <w:r>
                    <w:rPr>
                      <w:rFonts w:hint="eastAsia" w:cs="Times New Roman"/>
                      <w:kern w:val="0"/>
                      <w:sz w:val="21"/>
                      <w:szCs w:val="21"/>
                    </w:rPr>
                    <w:t>C30F300，3.35m×3m×1.6m</w:t>
                  </w:r>
                </w:p>
              </w:tc>
            </w:tr>
            <w:tr w14:paraId="17D90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3F052BC0">
                  <w:pPr>
                    <w:jc w:val="center"/>
                    <w:rPr>
                      <w:rFonts w:cs="Times New Roman"/>
                      <w:kern w:val="0"/>
                      <w:sz w:val="21"/>
                      <w:szCs w:val="21"/>
                    </w:rPr>
                  </w:pPr>
                </w:p>
              </w:tc>
              <w:tc>
                <w:tcPr>
                  <w:tcW w:w="2676" w:type="dxa"/>
                  <w:vAlign w:val="center"/>
                </w:tcPr>
                <w:p w14:paraId="446C3260">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05D56D9C">
                  <w:pPr>
                    <w:jc w:val="center"/>
                    <w:rPr>
                      <w:rFonts w:cs="Times New Roman"/>
                      <w:kern w:val="0"/>
                      <w:sz w:val="21"/>
                      <w:szCs w:val="21"/>
                    </w:rPr>
                  </w:pPr>
                  <w:r>
                    <w:rPr>
                      <w:rFonts w:hint="eastAsia" w:cs="Times New Roman"/>
                      <w:kern w:val="0"/>
                      <w:sz w:val="21"/>
                      <w:szCs w:val="21"/>
                    </w:rPr>
                    <w:t>m³</w:t>
                  </w:r>
                </w:p>
              </w:tc>
              <w:tc>
                <w:tcPr>
                  <w:tcW w:w="899" w:type="dxa"/>
                  <w:vAlign w:val="center"/>
                </w:tcPr>
                <w:p w14:paraId="67DAC041">
                  <w:pPr>
                    <w:jc w:val="center"/>
                    <w:rPr>
                      <w:rFonts w:cs="Times New Roman"/>
                      <w:kern w:val="0"/>
                      <w:sz w:val="21"/>
                      <w:szCs w:val="21"/>
                    </w:rPr>
                  </w:pPr>
                  <w:r>
                    <w:rPr>
                      <w:rFonts w:hint="eastAsia" w:cs="Times New Roman"/>
                      <w:kern w:val="0"/>
                      <w:sz w:val="21"/>
                      <w:szCs w:val="21"/>
                    </w:rPr>
                    <w:t>321.60</w:t>
                  </w:r>
                </w:p>
              </w:tc>
              <w:tc>
                <w:tcPr>
                  <w:tcW w:w="2638" w:type="dxa"/>
                  <w:vMerge w:val="continue"/>
                  <w:vAlign w:val="center"/>
                </w:tcPr>
                <w:p w14:paraId="4E0E5B7F">
                  <w:pPr>
                    <w:jc w:val="center"/>
                    <w:rPr>
                      <w:rFonts w:cs="Times New Roman"/>
                      <w:kern w:val="0"/>
                      <w:sz w:val="21"/>
                      <w:szCs w:val="21"/>
                    </w:rPr>
                  </w:pPr>
                </w:p>
              </w:tc>
            </w:tr>
            <w:tr w14:paraId="0F188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4307CC33">
                  <w:pPr>
                    <w:jc w:val="center"/>
                    <w:rPr>
                      <w:rFonts w:cs="Times New Roman"/>
                      <w:kern w:val="0"/>
                      <w:sz w:val="21"/>
                      <w:szCs w:val="21"/>
                    </w:rPr>
                  </w:pPr>
                </w:p>
              </w:tc>
              <w:tc>
                <w:tcPr>
                  <w:tcW w:w="2676" w:type="dxa"/>
                  <w:vAlign w:val="center"/>
                </w:tcPr>
                <w:p w14:paraId="1D318FCE">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11668C0F">
                  <w:pPr>
                    <w:jc w:val="center"/>
                    <w:rPr>
                      <w:rFonts w:cs="Times New Roman"/>
                      <w:kern w:val="0"/>
                      <w:sz w:val="21"/>
                      <w:szCs w:val="21"/>
                    </w:rPr>
                  </w:pPr>
                  <w:r>
                    <w:rPr>
                      <w:rFonts w:hint="eastAsia" w:cs="Times New Roman"/>
                      <w:kern w:val="0"/>
                      <w:sz w:val="21"/>
                      <w:szCs w:val="21"/>
                    </w:rPr>
                    <w:t>个</w:t>
                  </w:r>
                </w:p>
              </w:tc>
              <w:tc>
                <w:tcPr>
                  <w:tcW w:w="899" w:type="dxa"/>
                  <w:vAlign w:val="center"/>
                </w:tcPr>
                <w:p w14:paraId="2617D419">
                  <w:pPr>
                    <w:jc w:val="center"/>
                    <w:rPr>
                      <w:rFonts w:cs="Times New Roman"/>
                      <w:kern w:val="0"/>
                      <w:sz w:val="21"/>
                      <w:szCs w:val="21"/>
                    </w:rPr>
                  </w:pPr>
                  <w:r>
                    <w:rPr>
                      <w:rFonts w:hint="eastAsia" w:cs="Times New Roman"/>
                      <w:kern w:val="0"/>
                      <w:sz w:val="21"/>
                      <w:szCs w:val="21"/>
                    </w:rPr>
                    <w:t>16</w:t>
                  </w:r>
                </w:p>
              </w:tc>
              <w:tc>
                <w:tcPr>
                  <w:tcW w:w="2638" w:type="dxa"/>
                  <w:vMerge w:val="restart"/>
                  <w:vAlign w:val="center"/>
                </w:tcPr>
                <w:p w14:paraId="7B3082D8">
                  <w:pPr>
                    <w:jc w:val="center"/>
                    <w:rPr>
                      <w:rFonts w:cs="Times New Roman"/>
                      <w:kern w:val="0"/>
                      <w:sz w:val="21"/>
                      <w:szCs w:val="21"/>
                    </w:rPr>
                  </w:pPr>
                  <w:r>
                    <w:rPr>
                      <w:rFonts w:hint="eastAsia" w:cs="Times New Roman"/>
                      <w:kern w:val="0"/>
                      <w:sz w:val="21"/>
                      <w:szCs w:val="21"/>
                    </w:rPr>
                    <w:t>C30F300，3.35m×2m×1.6m</w:t>
                  </w:r>
                </w:p>
              </w:tc>
            </w:tr>
            <w:tr w14:paraId="57A77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5F1B382">
                  <w:pPr>
                    <w:jc w:val="center"/>
                    <w:rPr>
                      <w:rFonts w:cs="Times New Roman"/>
                      <w:kern w:val="0"/>
                      <w:sz w:val="21"/>
                      <w:szCs w:val="21"/>
                    </w:rPr>
                  </w:pPr>
                </w:p>
              </w:tc>
              <w:tc>
                <w:tcPr>
                  <w:tcW w:w="2676" w:type="dxa"/>
                  <w:vAlign w:val="center"/>
                </w:tcPr>
                <w:p w14:paraId="04807851">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4F947917">
                  <w:pPr>
                    <w:jc w:val="center"/>
                    <w:rPr>
                      <w:rFonts w:cs="Times New Roman"/>
                      <w:kern w:val="0"/>
                      <w:sz w:val="21"/>
                      <w:szCs w:val="21"/>
                    </w:rPr>
                  </w:pPr>
                  <w:r>
                    <w:rPr>
                      <w:rFonts w:hint="eastAsia" w:cs="Times New Roman"/>
                      <w:kern w:val="0"/>
                      <w:sz w:val="21"/>
                      <w:szCs w:val="21"/>
                    </w:rPr>
                    <w:t>m³</w:t>
                  </w:r>
                </w:p>
              </w:tc>
              <w:tc>
                <w:tcPr>
                  <w:tcW w:w="899" w:type="dxa"/>
                  <w:vAlign w:val="center"/>
                </w:tcPr>
                <w:p w14:paraId="0DF65401">
                  <w:pPr>
                    <w:jc w:val="center"/>
                    <w:rPr>
                      <w:rFonts w:cs="Times New Roman"/>
                      <w:kern w:val="0"/>
                      <w:sz w:val="21"/>
                      <w:szCs w:val="21"/>
                    </w:rPr>
                  </w:pPr>
                  <w:r>
                    <w:rPr>
                      <w:rFonts w:hint="eastAsia" w:cs="Times New Roman"/>
                      <w:kern w:val="0"/>
                      <w:sz w:val="21"/>
                      <w:szCs w:val="21"/>
                    </w:rPr>
                    <w:t>171.52</w:t>
                  </w:r>
                </w:p>
              </w:tc>
              <w:tc>
                <w:tcPr>
                  <w:tcW w:w="2638" w:type="dxa"/>
                  <w:vMerge w:val="continue"/>
                  <w:vAlign w:val="center"/>
                </w:tcPr>
                <w:p w14:paraId="3E016C60">
                  <w:pPr>
                    <w:jc w:val="center"/>
                    <w:rPr>
                      <w:rFonts w:cs="Times New Roman"/>
                      <w:kern w:val="0"/>
                      <w:sz w:val="21"/>
                      <w:szCs w:val="21"/>
                    </w:rPr>
                  </w:pPr>
                </w:p>
              </w:tc>
            </w:tr>
            <w:tr w14:paraId="7A1C2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33396C6C">
                  <w:pPr>
                    <w:jc w:val="center"/>
                    <w:rPr>
                      <w:rFonts w:cs="Times New Roman"/>
                      <w:kern w:val="0"/>
                      <w:sz w:val="21"/>
                      <w:szCs w:val="21"/>
                    </w:rPr>
                  </w:pPr>
                </w:p>
              </w:tc>
              <w:tc>
                <w:tcPr>
                  <w:tcW w:w="2676" w:type="dxa"/>
                  <w:vAlign w:val="center"/>
                </w:tcPr>
                <w:p w14:paraId="3D013B2F">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73484CA4">
                  <w:pPr>
                    <w:jc w:val="center"/>
                    <w:rPr>
                      <w:rFonts w:cs="Times New Roman"/>
                      <w:kern w:val="0"/>
                      <w:sz w:val="21"/>
                      <w:szCs w:val="21"/>
                    </w:rPr>
                  </w:pPr>
                  <w:r>
                    <w:rPr>
                      <w:rFonts w:hint="eastAsia" w:cs="Times New Roman"/>
                      <w:kern w:val="0"/>
                      <w:sz w:val="21"/>
                      <w:szCs w:val="21"/>
                    </w:rPr>
                    <w:t>个</w:t>
                  </w:r>
                </w:p>
              </w:tc>
              <w:tc>
                <w:tcPr>
                  <w:tcW w:w="899" w:type="dxa"/>
                  <w:vAlign w:val="center"/>
                </w:tcPr>
                <w:p w14:paraId="37B1363A">
                  <w:pPr>
                    <w:jc w:val="center"/>
                    <w:rPr>
                      <w:rFonts w:cs="Times New Roman"/>
                      <w:kern w:val="0"/>
                      <w:sz w:val="21"/>
                      <w:szCs w:val="21"/>
                    </w:rPr>
                  </w:pPr>
                  <w:r>
                    <w:rPr>
                      <w:rFonts w:hint="eastAsia" w:cs="Times New Roman"/>
                      <w:kern w:val="0"/>
                      <w:sz w:val="21"/>
                      <w:szCs w:val="21"/>
                    </w:rPr>
                    <w:t>8</w:t>
                  </w:r>
                </w:p>
              </w:tc>
              <w:tc>
                <w:tcPr>
                  <w:tcW w:w="2638" w:type="dxa"/>
                  <w:vMerge w:val="restart"/>
                  <w:vAlign w:val="center"/>
                </w:tcPr>
                <w:p w14:paraId="247A1248">
                  <w:pPr>
                    <w:jc w:val="center"/>
                    <w:rPr>
                      <w:rFonts w:cs="Times New Roman"/>
                      <w:kern w:val="0"/>
                      <w:sz w:val="21"/>
                      <w:szCs w:val="21"/>
                    </w:rPr>
                  </w:pPr>
                  <w:r>
                    <w:rPr>
                      <w:rFonts w:hint="eastAsia" w:cs="Times New Roman"/>
                      <w:kern w:val="0"/>
                      <w:sz w:val="21"/>
                      <w:szCs w:val="21"/>
                    </w:rPr>
                    <w:t>C30F300，1.775m×2m×1.6m</w:t>
                  </w:r>
                </w:p>
              </w:tc>
            </w:tr>
            <w:tr w14:paraId="0AC9A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C3342EB">
                  <w:pPr>
                    <w:jc w:val="center"/>
                    <w:rPr>
                      <w:rFonts w:cs="Times New Roman"/>
                      <w:kern w:val="0"/>
                      <w:sz w:val="21"/>
                      <w:szCs w:val="21"/>
                    </w:rPr>
                  </w:pPr>
                </w:p>
              </w:tc>
              <w:tc>
                <w:tcPr>
                  <w:tcW w:w="2676" w:type="dxa"/>
                  <w:vAlign w:val="center"/>
                </w:tcPr>
                <w:p w14:paraId="059B2F08">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2D67EA8C">
                  <w:pPr>
                    <w:jc w:val="center"/>
                    <w:rPr>
                      <w:rFonts w:cs="Times New Roman"/>
                      <w:kern w:val="0"/>
                      <w:sz w:val="21"/>
                      <w:szCs w:val="21"/>
                    </w:rPr>
                  </w:pPr>
                  <w:r>
                    <w:rPr>
                      <w:rFonts w:hint="eastAsia" w:cs="Times New Roman"/>
                      <w:kern w:val="0"/>
                      <w:sz w:val="21"/>
                      <w:szCs w:val="21"/>
                    </w:rPr>
                    <w:t>m³</w:t>
                  </w:r>
                </w:p>
              </w:tc>
              <w:tc>
                <w:tcPr>
                  <w:tcW w:w="899" w:type="dxa"/>
                  <w:vAlign w:val="center"/>
                </w:tcPr>
                <w:p w14:paraId="069DCFE2">
                  <w:pPr>
                    <w:jc w:val="center"/>
                    <w:rPr>
                      <w:rFonts w:cs="Times New Roman"/>
                      <w:kern w:val="0"/>
                      <w:sz w:val="21"/>
                      <w:szCs w:val="21"/>
                    </w:rPr>
                  </w:pPr>
                  <w:r>
                    <w:rPr>
                      <w:rFonts w:hint="eastAsia" w:cs="Times New Roman"/>
                      <w:kern w:val="0"/>
                      <w:sz w:val="21"/>
                      <w:szCs w:val="21"/>
                    </w:rPr>
                    <w:t>45.44</w:t>
                  </w:r>
                </w:p>
              </w:tc>
              <w:tc>
                <w:tcPr>
                  <w:tcW w:w="2638" w:type="dxa"/>
                  <w:vMerge w:val="continue"/>
                  <w:vAlign w:val="center"/>
                </w:tcPr>
                <w:p w14:paraId="6F3CCE77">
                  <w:pPr>
                    <w:jc w:val="center"/>
                    <w:rPr>
                      <w:rFonts w:cs="Times New Roman"/>
                      <w:kern w:val="0"/>
                      <w:sz w:val="21"/>
                      <w:szCs w:val="21"/>
                    </w:rPr>
                  </w:pPr>
                </w:p>
              </w:tc>
            </w:tr>
            <w:tr w14:paraId="41D7B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FE4F1DC">
                  <w:pPr>
                    <w:jc w:val="center"/>
                    <w:rPr>
                      <w:rFonts w:cs="Times New Roman"/>
                      <w:kern w:val="0"/>
                      <w:sz w:val="21"/>
                      <w:szCs w:val="21"/>
                    </w:rPr>
                  </w:pPr>
                  <w:r>
                    <w:rPr>
                      <w:rFonts w:hint="eastAsia" w:cs="Times New Roman"/>
                      <w:kern w:val="0"/>
                      <w:sz w:val="21"/>
                      <w:szCs w:val="21"/>
                    </w:rPr>
                    <w:t>3</w:t>
                  </w:r>
                </w:p>
              </w:tc>
              <w:tc>
                <w:tcPr>
                  <w:tcW w:w="2676" w:type="dxa"/>
                  <w:vAlign w:val="center"/>
                </w:tcPr>
                <w:p w14:paraId="0D1F7F5C">
                  <w:pPr>
                    <w:jc w:val="center"/>
                    <w:rPr>
                      <w:rFonts w:cs="Times New Roman"/>
                      <w:kern w:val="0"/>
                      <w:sz w:val="21"/>
                      <w:szCs w:val="21"/>
                    </w:rPr>
                  </w:pPr>
                  <w:r>
                    <w:rPr>
                      <w:rFonts w:hint="eastAsia" w:cs="Times New Roman"/>
                      <w:kern w:val="0"/>
                      <w:sz w:val="21"/>
                      <w:szCs w:val="21"/>
                    </w:rPr>
                    <w:t>10~100kg抛石棱体</w:t>
                  </w:r>
                </w:p>
              </w:tc>
              <w:tc>
                <w:tcPr>
                  <w:tcW w:w="706" w:type="dxa"/>
                  <w:vAlign w:val="center"/>
                </w:tcPr>
                <w:p w14:paraId="0C659869">
                  <w:pPr>
                    <w:jc w:val="center"/>
                    <w:rPr>
                      <w:rFonts w:cs="Times New Roman"/>
                      <w:kern w:val="0"/>
                      <w:sz w:val="21"/>
                      <w:szCs w:val="21"/>
                    </w:rPr>
                  </w:pPr>
                  <w:r>
                    <w:rPr>
                      <w:rFonts w:hint="eastAsia" w:cs="Times New Roman"/>
                      <w:kern w:val="0"/>
                      <w:sz w:val="21"/>
                      <w:szCs w:val="21"/>
                    </w:rPr>
                    <w:t>m³</w:t>
                  </w:r>
                </w:p>
              </w:tc>
              <w:tc>
                <w:tcPr>
                  <w:tcW w:w="899" w:type="dxa"/>
                  <w:vAlign w:val="center"/>
                </w:tcPr>
                <w:p w14:paraId="30949929">
                  <w:pPr>
                    <w:jc w:val="center"/>
                    <w:rPr>
                      <w:rFonts w:cs="Times New Roman"/>
                      <w:kern w:val="0"/>
                      <w:sz w:val="21"/>
                      <w:szCs w:val="21"/>
                    </w:rPr>
                  </w:pPr>
                  <w:r>
                    <w:rPr>
                      <w:rFonts w:hint="eastAsia" w:cs="Times New Roman"/>
                      <w:kern w:val="0"/>
                      <w:sz w:val="21"/>
                      <w:szCs w:val="21"/>
                    </w:rPr>
                    <w:t>250.99</w:t>
                  </w:r>
                </w:p>
              </w:tc>
              <w:tc>
                <w:tcPr>
                  <w:tcW w:w="2638" w:type="dxa"/>
                  <w:vAlign w:val="center"/>
                </w:tcPr>
                <w:p w14:paraId="4FC48965">
                  <w:pPr>
                    <w:jc w:val="center"/>
                    <w:rPr>
                      <w:rFonts w:cs="Times New Roman"/>
                      <w:kern w:val="0"/>
                      <w:sz w:val="21"/>
                      <w:szCs w:val="21"/>
                    </w:rPr>
                  </w:pPr>
                  <w:r>
                    <w:rPr>
                      <w:rFonts w:hint="eastAsia" w:cs="Times New Roman"/>
                      <w:kern w:val="0"/>
                      <w:sz w:val="21"/>
                      <w:szCs w:val="21"/>
                    </w:rPr>
                    <w:t>未考虑沉降量</w:t>
                  </w:r>
                </w:p>
              </w:tc>
            </w:tr>
            <w:tr w14:paraId="61F54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39A6D8E">
                  <w:pPr>
                    <w:jc w:val="center"/>
                    <w:rPr>
                      <w:rFonts w:cs="Times New Roman"/>
                      <w:kern w:val="0"/>
                      <w:sz w:val="21"/>
                      <w:szCs w:val="21"/>
                    </w:rPr>
                  </w:pPr>
                  <w:r>
                    <w:rPr>
                      <w:rFonts w:hint="eastAsia" w:cs="Times New Roman"/>
                      <w:kern w:val="0"/>
                      <w:sz w:val="21"/>
                      <w:szCs w:val="21"/>
                    </w:rPr>
                    <w:t>4</w:t>
                  </w:r>
                </w:p>
              </w:tc>
              <w:tc>
                <w:tcPr>
                  <w:tcW w:w="2676" w:type="dxa"/>
                  <w:vAlign w:val="center"/>
                </w:tcPr>
                <w:p w14:paraId="0669DDDF">
                  <w:pPr>
                    <w:jc w:val="center"/>
                    <w:rPr>
                      <w:rFonts w:cs="Times New Roman"/>
                      <w:kern w:val="0"/>
                      <w:sz w:val="21"/>
                      <w:szCs w:val="21"/>
                    </w:rPr>
                  </w:pPr>
                  <w:r>
                    <w:rPr>
                      <w:rFonts w:hint="eastAsia" w:cs="Times New Roman"/>
                      <w:kern w:val="0"/>
                      <w:sz w:val="21"/>
                      <w:szCs w:val="21"/>
                    </w:rPr>
                    <w:t>500mm二片石垫层</w:t>
                  </w:r>
                </w:p>
              </w:tc>
              <w:tc>
                <w:tcPr>
                  <w:tcW w:w="706" w:type="dxa"/>
                  <w:vAlign w:val="center"/>
                </w:tcPr>
                <w:p w14:paraId="26715C1A">
                  <w:pPr>
                    <w:jc w:val="center"/>
                    <w:rPr>
                      <w:rFonts w:cs="Times New Roman"/>
                      <w:kern w:val="0"/>
                      <w:sz w:val="21"/>
                      <w:szCs w:val="21"/>
                    </w:rPr>
                  </w:pPr>
                  <w:r>
                    <w:rPr>
                      <w:rFonts w:hint="eastAsia" w:cs="Times New Roman"/>
                      <w:kern w:val="0"/>
                      <w:sz w:val="21"/>
                      <w:szCs w:val="21"/>
                    </w:rPr>
                    <w:t>m³</w:t>
                  </w:r>
                </w:p>
              </w:tc>
              <w:tc>
                <w:tcPr>
                  <w:tcW w:w="899" w:type="dxa"/>
                  <w:vAlign w:val="center"/>
                </w:tcPr>
                <w:p w14:paraId="65E70BBD">
                  <w:pPr>
                    <w:jc w:val="center"/>
                    <w:rPr>
                      <w:rFonts w:cs="Times New Roman"/>
                      <w:kern w:val="0"/>
                      <w:sz w:val="21"/>
                      <w:szCs w:val="21"/>
                    </w:rPr>
                  </w:pPr>
                  <w:r>
                    <w:rPr>
                      <w:rFonts w:hint="eastAsia" w:cs="Times New Roman"/>
                      <w:kern w:val="0"/>
                      <w:sz w:val="21"/>
                      <w:szCs w:val="21"/>
                    </w:rPr>
                    <w:t>225.50</w:t>
                  </w:r>
                </w:p>
              </w:tc>
              <w:tc>
                <w:tcPr>
                  <w:tcW w:w="2638" w:type="dxa"/>
                  <w:vAlign w:val="center"/>
                </w:tcPr>
                <w:p w14:paraId="6BBA37A3">
                  <w:pPr>
                    <w:jc w:val="center"/>
                    <w:rPr>
                      <w:rFonts w:cs="Times New Roman"/>
                      <w:kern w:val="0"/>
                      <w:sz w:val="21"/>
                      <w:szCs w:val="21"/>
                    </w:rPr>
                  </w:pPr>
                </w:p>
              </w:tc>
            </w:tr>
            <w:tr w14:paraId="1A13F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9B432A8">
                  <w:pPr>
                    <w:jc w:val="center"/>
                    <w:rPr>
                      <w:rFonts w:cs="Times New Roman"/>
                      <w:kern w:val="0"/>
                      <w:sz w:val="21"/>
                      <w:szCs w:val="21"/>
                    </w:rPr>
                  </w:pPr>
                  <w:r>
                    <w:rPr>
                      <w:rFonts w:hint="eastAsia" w:cs="Times New Roman"/>
                      <w:kern w:val="0"/>
                      <w:sz w:val="21"/>
                      <w:szCs w:val="21"/>
                    </w:rPr>
                    <w:t>5</w:t>
                  </w:r>
                </w:p>
              </w:tc>
              <w:tc>
                <w:tcPr>
                  <w:tcW w:w="2676" w:type="dxa"/>
                  <w:vAlign w:val="center"/>
                </w:tcPr>
                <w:p w14:paraId="21082329">
                  <w:pPr>
                    <w:jc w:val="center"/>
                    <w:rPr>
                      <w:rFonts w:cs="Times New Roman"/>
                      <w:kern w:val="0"/>
                      <w:sz w:val="21"/>
                      <w:szCs w:val="21"/>
                    </w:rPr>
                  </w:pPr>
                  <w:r>
                    <w:rPr>
                      <w:rFonts w:hint="eastAsia" w:cs="Times New Roman"/>
                      <w:kern w:val="0"/>
                      <w:sz w:val="21"/>
                      <w:szCs w:val="21"/>
                    </w:rPr>
                    <w:t>600mm碎石垫层</w:t>
                  </w:r>
                </w:p>
              </w:tc>
              <w:tc>
                <w:tcPr>
                  <w:tcW w:w="706" w:type="dxa"/>
                  <w:vAlign w:val="center"/>
                </w:tcPr>
                <w:p w14:paraId="5039A459">
                  <w:pPr>
                    <w:jc w:val="center"/>
                    <w:rPr>
                      <w:rFonts w:cs="Times New Roman"/>
                      <w:kern w:val="0"/>
                      <w:sz w:val="21"/>
                      <w:szCs w:val="21"/>
                    </w:rPr>
                  </w:pPr>
                  <w:r>
                    <w:rPr>
                      <w:rFonts w:hint="eastAsia" w:cs="Times New Roman"/>
                      <w:kern w:val="0"/>
                      <w:sz w:val="21"/>
                      <w:szCs w:val="21"/>
                    </w:rPr>
                    <w:t>m³</w:t>
                  </w:r>
                </w:p>
              </w:tc>
              <w:tc>
                <w:tcPr>
                  <w:tcW w:w="899" w:type="dxa"/>
                  <w:vAlign w:val="center"/>
                </w:tcPr>
                <w:p w14:paraId="4E62DCF9">
                  <w:pPr>
                    <w:jc w:val="center"/>
                    <w:rPr>
                      <w:rFonts w:cs="Times New Roman"/>
                      <w:kern w:val="0"/>
                      <w:sz w:val="21"/>
                      <w:szCs w:val="21"/>
                    </w:rPr>
                  </w:pPr>
                  <w:r>
                    <w:rPr>
                      <w:rFonts w:hint="eastAsia" w:cs="Times New Roman"/>
                      <w:kern w:val="0"/>
                      <w:sz w:val="21"/>
                      <w:szCs w:val="21"/>
                    </w:rPr>
                    <w:t>316.23</w:t>
                  </w:r>
                </w:p>
              </w:tc>
              <w:tc>
                <w:tcPr>
                  <w:tcW w:w="2638" w:type="dxa"/>
                  <w:vAlign w:val="center"/>
                </w:tcPr>
                <w:p w14:paraId="41C412D9">
                  <w:pPr>
                    <w:jc w:val="center"/>
                    <w:rPr>
                      <w:rFonts w:cs="Times New Roman"/>
                      <w:kern w:val="0"/>
                      <w:sz w:val="21"/>
                      <w:szCs w:val="21"/>
                    </w:rPr>
                  </w:pPr>
                  <w:r>
                    <w:rPr>
                      <w:rFonts w:hint="eastAsia" w:cs="Times New Roman"/>
                      <w:kern w:val="0"/>
                      <w:sz w:val="21"/>
                      <w:szCs w:val="21"/>
                    </w:rPr>
                    <w:t>粒径5mm~100mm</w:t>
                  </w:r>
                </w:p>
              </w:tc>
            </w:tr>
            <w:tr w14:paraId="08359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716632E">
                  <w:pPr>
                    <w:jc w:val="center"/>
                    <w:rPr>
                      <w:rFonts w:cs="Times New Roman"/>
                      <w:kern w:val="0"/>
                      <w:sz w:val="21"/>
                      <w:szCs w:val="21"/>
                    </w:rPr>
                  </w:pPr>
                  <w:r>
                    <w:rPr>
                      <w:rFonts w:hint="eastAsia" w:cs="Times New Roman"/>
                      <w:kern w:val="0"/>
                      <w:sz w:val="21"/>
                      <w:szCs w:val="21"/>
                    </w:rPr>
                    <w:t>6</w:t>
                  </w:r>
                </w:p>
              </w:tc>
              <w:tc>
                <w:tcPr>
                  <w:tcW w:w="2676" w:type="dxa"/>
                  <w:vAlign w:val="center"/>
                </w:tcPr>
                <w:p w14:paraId="50E79FAC">
                  <w:pPr>
                    <w:jc w:val="center"/>
                    <w:rPr>
                      <w:rFonts w:cs="Times New Roman"/>
                      <w:kern w:val="0"/>
                      <w:sz w:val="21"/>
                      <w:szCs w:val="21"/>
                    </w:rPr>
                  </w:pPr>
                  <w:r>
                    <w:rPr>
                      <w:rFonts w:hint="eastAsia" w:cs="Times New Roman"/>
                      <w:kern w:val="0"/>
                      <w:sz w:val="21"/>
                      <w:szCs w:val="21"/>
                    </w:rPr>
                    <w:t>回填开山石</w:t>
                  </w:r>
                </w:p>
              </w:tc>
              <w:tc>
                <w:tcPr>
                  <w:tcW w:w="706" w:type="dxa"/>
                  <w:vAlign w:val="center"/>
                </w:tcPr>
                <w:p w14:paraId="60E559A8">
                  <w:pPr>
                    <w:jc w:val="center"/>
                    <w:rPr>
                      <w:rFonts w:cs="Times New Roman"/>
                      <w:kern w:val="0"/>
                      <w:sz w:val="21"/>
                      <w:szCs w:val="21"/>
                    </w:rPr>
                  </w:pPr>
                  <w:r>
                    <w:rPr>
                      <w:rFonts w:hint="eastAsia" w:cs="Times New Roman"/>
                      <w:kern w:val="0"/>
                      <w:sz w:val="21"/>
                      <w:szCs w:val="21"/>
                    </w:rPr>
                    <w:t>m³</w:t>
                  </w:r>
                </w:p>
              </w:tc>
              <w:tc>
                <w:tcPr>
                  <w:tcW w:w="899" w:type="dxa"/>
                  <w:vAlign w:val="center"/>
                </w:tcPr>
                <w:p w14:paraId="59AD6982">
                  <w:pPr>
                    <w:jc w:val="center"/>
                    <w:rPr>
                      <w:rFonts w:cs="Times New Roman"/>
                      <w:kern w:val="0"/>
                      <w:sz w:val="21"/>
                      <w:szCs w:val="21"/>
                    </w:rPr>
                  </w:pPr>
                  <w:r>
                    <w:rPr>
                      <w:rFonts w:hint="eastAsia" w:cs="Times New Roman"/>
                      <w:kern w:val="0"/>
                      <w:sz w:val="21"/>
                      <w:szCs w:val="21"/>
                    </w:rPr>
                    <w:t>1873.34</w:t>
                  </w:r>
                </w:p>
              </w:tc>
              <w:tc>
                <w:tcPr>
                  <w:tcW w:w="2638" w:type="dxa"/>
                  <w:vAlign w:val="center"/>
                </w:tcPr>
                <w:p w14:paraId="6CB57425">
                  <w:pPr>
                    <w:jc w:val="center"/>
                    <w:rPr>
                      <w:rFonts w:cs="Times New Roman"/>
                      <w:kern w:val="0"/>
                      <w:sz w:val="21"/>
                      <w:szCs w:val="21"/>
                    </w:rPr>
                  </w:pPr>
                  <w:r>
                    <w:rPr>
                      <w:rFonts w:hint="eastAsia" w:cs="Times New Roman"/>
                      <w:kern w:val="0"/>
                      <w:sz w:val="21"/>
                      <w:szCs w:val="21"/>
                    </w:rPr>
                    <w:t>未考虑沉降量</w:t>
                  </w:r>
                </w:p>
              </w:tc>
            </w:tr>
            <w:tr w14:paraId="5CF60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58E55C9">
                  <w:pPr>
                    <w:jc w:val="center"/>
                    <w:rPr>
                      <w:rFonts w:cs="Times New Roman"/>
                      <w:kern w:val="0"/>
                      <w:sz w:val="21"/>
                      <w:szCs w:val="21"/>
                    </w:rPr>
                  </w:pPr>
                  <w:r>
                    <w:rPr>
                      <w:rFonts w:hint="eastAsia" w:cs="Times New Roman"/>
                      <w:kern w:val="0"/>
                      <w:sz w:val="21"/>
                      <w:szCs w:val="21"/>
                    </w:rPr>
                    <w:t>7</w:t>
                  </w:r>
                </w:p>
              </w:tc>
              <w:tc>
                <w:tcPr>
                  <w:tcW w:w="2676" w:type="dxa"/>
                  <w:vAlign w:val="center"/>
                </w:tcPr>
                <w:p w14:paraId="607DB73D">
                  <w:pPr>
                    <w:jc w:val="center"/>
                    <w:rPr>
                      <w:rFonts w:cs="Times New Roman"/>
                      <w:kern w:val="0"/>
                      <w:sz w:val="21"/>
                      <w:szCs w:val="21"/>
                    </w:rPr>
                  </w:pPr>
                  <w:r>
                    <w:rPr>
                      <w:rFonts w:hint="eastAsia" w:cs="Times New Roman"/>
                      <w:kern w:val="0"/>
                      <w:sz w:val="21"/>
                      <w:szCs w:val="21"/>
                    </w:rPr>
                    <w:t>80mm高强连锁块</w:t>
                  </w:r>
                </w:p>
              </w:tc>
              <w:tc>
                <w:tcPr>
                  <w:tcW w:w="706" w:type="dxa"/>
                  <w:vAlign w:val="center"/>
                </w:tcPr>
                <w:p w14:paraId="51EB9A57">
                  <w:pPr>
                    <w:jc w:val="center"/>
                    <w:rPr>
                      <w:rFonts w:cs="Times New Roman"/>
                      <w:kern w:val="0"/>
                      <w:sz w:val="21"/>
                      <w:szCs w:val="21"/>
                    </w:rPr>
                  </w:pPr>
                  <w:r>
                    <w:rPr>
                      <w:rFonts w:hint="eastAsia" w:cs="Times New Roman"/>
                      <w:kern w:val="0"/>
                      <w:sz w:val="21"/>
                      <w:szCs w:val="21"/>
                    </w:rPr>
                    <w:t>m³</w:t>
                  </w:r>
                </w:p>
              </w:tc>
              <w:tc>
                <w:tcPr>
                  <w:tcW w:w="899" w:type="dxa"/>
                  <w:vAlign w:val="center"/>
                </w:tcPr>
                <w:p w14:paraId="568CED1F">
                  <w:pPr>
                    <w:jc w:val="center"/>
                    <w:rPr>
                      <w:rFonts w:cs="Times New Roman"/>
                      <w:kern w:val="0"/>
                      <w:sz w:val="21"/>
                      <w:szCs w:val="21"/>
                    </w:rPr>
                  </w:pPr>
                  <w:r>
                    <w:rPr>
                      <w:rFonts w:hint="eastAsia" w:cs="Times New Roman"/>
                      <w:kern w:val="0"/>
                      <w:sz w:val="21"/>
                      <w:szCs w:val="21"/>
                    </w:rPr>
                    <w:t>23.86</w:t>
                  </w:r>
                </w:p>
              </w:tc>
              <w:tc>
                <w:tcPr>
                  <w:tcW w:w="2638" w:type="dxa"/>
                  <w:vAlign w:val="center"/>
                </w:tcPr>
                <w:p w14:paraId="77719F37">
                  <w:pPr>
                    <w:jc w:val="center"/>
                    <w:rPr>
                      <w:rFonts w:cs="Times New Roman"/>
                      <w:kern w:val="0"/>
                      <w:sz w:val="21"/>
                      <w:szCs w:val="21"/>
                    </w:rPr>
                  </w:pPr>
                  <w:r>
                    <w:rPr>
                      <w:rFonts w:hint="eastAsia" w:cs="Times New Roman"/>
                      <w:kern w:val="0"/>
                      <w:sz w:val="21"/>
                      <w:szCs w:val="21"/>
                    </w:rPr>
                    <w:t>面积298.2m</w:t>
                  </w:r>
                  <w:r>
                    <w:rPr>
                      <w:rFonts w:hint="eastAsia" w:cs="Times New Roman"/>
                      <w:kern w:val="0"/>
                      <w:sz w:val="21"/>
                      <w:szCs w:val="21"/>
                      <w:vertAlign w:val="superscript"/>
                    </w:rPr>
                    <w:t>2</w:t>
                  </w:r>
                </w:p>
              </w:tc>
            </w:tr>
            <w:tr w14:paraId="5C881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E691C25">
                  <w:pPr>
                    <w:jc w:val="center"/>
                    <w:rPr>
                      <w:rFonts w:cs="Times New Roman"/>
                      <w:kern w:val="0"/>
                      <w:sz w:val="21"/>
                      <w:szCs w:val="21"/>
                    </w:rPr>
                  </w:pPr>
                  <w:r>
                    <w:rPr>
                      <w:rFonts w:hint="eastAsia" w:cs="Times New Roman"/>
                      <w:kern w:val="0"/>
                      <w:sz w:val="21"/>
                      <w:szCs w:val="21"/>
                    </w:rPr>
                    <w:t>8</w:t>
                  </w:r>
                </w:p>
              </w:tc>
              <w:tc>
                <w:tcPr>
                  <w:tcW w:w="2676" w:type="dxa"/>
                  <w:vAlign w:val="center"/>
                </w:tcPr>
                <w:p w14:paraId="716963B9">
                  <w:pPr>
                    <w:jc w:val="center"/>
                    <w:rPr>
                      <w:rFonts w:cs="Times New Roman"/>
                      <w:kern w:val="0"/>
                      <w:sz w:val="21"/>
                      <w:szCs w:val="21"/>
                    </w:rPr>
                  </w:pPr>
                  <w:r>
                    <w:rPr>
                      <w:rFonts w:hint="eastAsia" w:cs="Times New Roman"/>
                      <w:kern w:val="0"/>
                      <w:sz w:val="21"/>
                      <w:szCs w:val="21"/>
                    </w:rPr>
                    <w:t>30mm中粗砂垫层</w:t>
                  </w:r>
                </w:p>
              </w:tc>
              <w:tc>
                <w:tcPr>
                  <w:tcW w:w="706" w:type="dxa"/>
                  <w:vAlign w:val="center"/>
                </w:tcPr>
                <w:p w14:paraId="73239775">
                  <w:pPr>
                    <w:jc w:val="center"/>
                    <w:rPr>
                      <w:rFonts w:cs="Times New Roman"/>
                      <w:kern w:val="0"/>
                      <w:sz w:val="21"/>
                      <w:szCs w:val="21"/>
                    </w:rPr>
                  </w:pPr>
                  <w:r>
                    <w:rPr>
                      <w:rFonts w:hint="eastAsia" w:cs="Times New Roman"/>
                      <w:kern w:val="0"/>
                      <w:sz w:val="21"/>
                      <w:szCs w:val="21"/>
                    </w:rPr>
                    <w:t>m³</w:t>
                  </w:r>
                </w:p>
              </w:tc>
              <w:tc>
                <w:tcPr>
                  <w:tcW w:w="899" w:type="dxa"/>
                  <w:vAlign w:val="center"/>
                </w:tcPr>
                <w:p w14:paraId="37764908">
                  <w:pPr>
                    <w:jc w:val="center"/>
                    <w:rPr>
                      <w:rFonts w:cs="Times New Roman"/>
                      <w:kern w:val="0"/>
                      <w:sz w:val="21"/>
                      <w:szCs w:val="21"/>
                    </w:rPr>
                  </w:pPr>
                  <w:r>
                    <w:rPr>
                      <w:rFonts w:hint="eastAsia" w:cs="Times New Roman"/>
                      <w:kern w:val="0"/>
                      <w:sz w:val="21"/>
                      <w:szCs w:val="21"/>
                    </w:rPr>
                    <w:t>8.95</w:t>
                  </w:r>
                </w:p>
              </w:tc>
              <w:tc>
                <w:tcPr>
                  <w:tcW w:w="2638" w:type="dxa"/>
                  <w:vAlign w:val="center"/>
                </w:tcPr>
                <w:p w14:paraId="4FDC968A">
                  <w:pPr>
                    <w:jc w:val="center"/>
                    <w:rPr>
                      <w:rFonts w:cs="Times New Roman"/>
                      <w:kern w:val="0"/>
                      <w:sz w:val="21"/>
                      <w:szCs w:val="21"/>
                    </w:rPr>
                  </w:pPr>
                  <w:r>
                    <w:rPr>
                      <w:rFonts w:hint="eastAsia" w:cs="Times New Roman"/>
                      <w:kern w:val="0"/>
                      <w:sz w:val="21"/>
                      <w:szCs w:val="21"/>
                    </w:rPr>
                    <w:t>面积298.2m</w:t>
                  </w:r>
                  <w:r>
                    <w:rPr>
                      <w:rFonts w:hint="eastAsia" w:cs="Times New Roman"/>
                      <w:kern w:val="0"/>
                      <w:sz w:val="21"/>
                      <w:szCs w:val="21"/>
                      <w:vertAlign w:val="superscript"/>
                    </w:rPr>
                    <w:t>2</w:t>
                  </w:r>
                </w:p>
              </w:tc>
            </w:tr>
            <w:tr w14:paraId="275CA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26D4E3A">
                  <w:pPr>
                    <w:jc w:val="center"/>
                    <w:rPr>
                      <w:rFonts w:cs="Times New Roman"/>
                      <w:kern w:val="0"/>
                      <w:sz w:val="21"/>
                      <w:szCs w:val="21"/>
                    </w:rPr>
                  </w:pPr>
                  <w:r>
                    <w:rPr>
                      <w:rFonts w:hint="eastAsia" w:cs="Times New Roman"/>
                      <w:kern w:val="0"/>
                      <w:sz w:val="21"/>
                      <w:szCs w:val="21"/>
                    </w:rPr>
                    <w:t>9</w:t>
                  </w:r>
                </w:p>
              </w:tc>
              <w:tc>
                <w:tcPr>
                  <w:tcW w:w="2676" w:type="dxa"/>
                  <w:vAlign w:val="center"/>
                </w:tcPr>
                <w:p w14:paraId="265EE87B">
                  <w:pPr>
                    <w:jc w:val="center"/>
                    <w:rPr>
                      <w:rFonts w:cs="Times New Roman"/>
                      <w:kern w:val="0"/>
                      <w:sz w:val="21"/>
                      <w:szCs w:val="21"/>
                    </w:rPr>
                  </w:pPr>
                  <w:r>
                    <w:rPr>
                      <w:rFonts w:hint="eastAsia" w:cs="Times New Roman"/>
                      <w:kern w:val="0"/>
                      <w:sz w:val="21"/>
                      <w:szCs w:val="21"/>
                    </w:rPr>
                    <w:t>80mm级配碎石(最大粒径≤30mm)</w:t>
                  </w:r>
                </w:p>
              </w:tc>
              <w:tc>
                <w:tcPr>
                  <w:tcW w:w="706" w:type="dxa"/>
                  <w:vAlign w:val="center"/>
                </w:tcPr>
                <w:p w14:paraId="22096F42">
                  <w:pPr>
                    <w:jc w:val="center"/>
                    <w:rPr>
                      <w:rFonts w:cs="Times New Roman"/>
                      <w:kern w:val="0"/>
                      <w:sz w:val="21"/>
                      <w:szCs w:val="21"/>
                    </w:rPr>
                  </w:pPr>
                  <w:r>
                    <w:rPr>
                      <w:rFonts w:hint="eastAsia" w:cs="Times New Roman"/>
                      <w:kern w:val="0"/>
                      <w:sz w:val="21"/>
                      <w:szCs w:val="21"/>
                    </w:rPr>
                    <w:t>m³</w:t>
                  </w:r>
                </w:p>
              </w:tc>
              <w:tc>
                <w:tcPr>
                  <w:tcW w:w="899" w:type="dxa"/>
                  <w:vAlign w:val="center"/>
                </w:tcPr>
                <w:p w14:paraId="5EFDEFC5">
                  <w:pPr>
                    <w:jc w:val="center"/>
                    <w:rPr>
                      <w:rFonts w:cs="Times New Roman"/>
                      <w:kern w:val="0"/>
                      <w:sz w:val="21"/>
                      <w:szCs w:val="21"/>
                    </w:rPr>
                  </w:pPr>
                  <w:r>
                    <w:rPr>
                      <w:rFonts w:hint="eastAsia" w:cs="Times New Roman"/>
                      <w:kern w:val="0"/>
                      <w:sz w:val="21"/>
                      <w:szCs w:val="21"/>
                    </w:rPr>
                    <w:t>23.86</w:t>
                  </w:r>
                </w:p>
              </w:tc>
              <w:tc>
                <w:tcPr>
                  <w:tcW w:w="2638" w:type="dxa"/>
                  <w:vAlign w:val="center"/>
                </w:tcPr>
                <w:p w14:paraId="4EE44CA1">
                  <w:pPr>
                    <w:jc w:val="center"/>
                    <w:rPr>
                      <w:rFonts w:cs="Times New Roman"/>
                      <w:kern w:val="0"/>
                      <w:sz w:val="21"/>
                      <w:szCs w:val="21"/>
                    </w:rPr>
                  </w:pPr>
                  <w:r>
                    <w:rPr>
                      <w:rFonts w:hint="eastAsia" w:cs="Times New Roman"/>
                      <w:kern w:val="0"/>
                      <w:sz w:val="21"/>
                      <w:szCs w:val="21"/>
                    </w:rPr>
                    <w:t>面积298.2m</w:t>
                  </w:r>
                  <w:r>
                    <w:rPr>
                      <w:rFonts w:hint="eastAsia" w:cs="Times New Roman"/>
                      <w:kern w:val="0"/>
                      <w:sz w:val="21"/>
                      <w:szCs w:val="21"/>
                      <w:vertAlign w:val="superscript"/>
                    </w:rPr>
                    <w:t>2</w:t>
                  </w:r>
                </w:p>
              </w:tc>
            </w:tr>
            <w:tr w14:paraId="63980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9A4D306">
                  <w:pPr>
                    <w:jc w:val="center"/>
                    <w:rPr>
                      <w:rFonts w:cs="Times New Roman"/>
                      <w:kern w:val="0"/>
                      <w:sz w:val="21"/>
                      <w:szCs w:val="21"/>
                    </w:rPr>
                  </w:pPr>
                  <w:r>
                    <w:rPr>
                      <w:rFonts w:hint="eastAsia" w:cs="Times New Roman"/>
                      <w:kern w:val="0"/>
                      <w:sz w:val="21"/>
                      <w:szCs w:val="21"/>
                    </w:rPr>
                    <w:t>10</w:t>
                  </w:r>
                </w:p>
              </w:tc>
              <w:tc>
                <w:tcPr>
                  <w:tcW w:w="2676" w:type="dxa"/>
                  <w:vAlign w:val="center"/>
                </w:tcPr>
                <w:p w14:paraId="03406513">
                  <w:pPr>
                    <w:jc w:val="center"/>
                    <w:rPr>
                      <w:rFonts w:cs="Times New Roman"/>
                      <w:kern w:val="0"/>
                      <w:sz w:val="21"/>
                      <w:szCs w:val="21"/>
                    </w:rPr>
                  </w:pPr>
                  <w:r>
                    <w:rPr>
                      <w:rFonts w:hint="eastAsia" w:cs="Times New Roman"/>
                      <w:kern w:val="0"/>
                      <w:sz w:val="21"/>
                      <w:szCs w:val="21"/>
                    </w:rPr>
                    <w:t>120mm级配碎石(最大粒径≤50mm)</w:t>
                  </w:r>
                </w:p>
              </w:tc>
              <w:tc>
                <w:tcPr>
                  <w:tcW w:w="706" w:type="dxa"/>
                  <w:vAlign w:val="center"/>
                </w:tcPr>
                <w:p w14:paraId="58723FD9">
                  <w:pPr>
                    <w:jc w:val="center"/>
                    <w:rPr>
                      <w:rFonts w:cs="Times New Roman"/>
                      <w:kern w:val="0"/>
                      <w:sz w:val="21"/>
                      <w:szCs w:val="21"/>
                    </w:rPr>
                  </w:pPr>
                  <w:r>
                    <w:rPr>
                      <w:rFonts w:hint="eastAsia" w:cs="Times New Roman"/>
                      <w:kern w:val="0"/>
                      <w:sz w:val="21"/>
                      <w:szCs w:val="21"/>
                    </w:rPr>
                    <w:t>m³</w:t>
                  </w:r>
                </w:p>
              </w:tc>
              <w:tc>
                <w:tcPr>
                  <w:tcW w:w="899" w:type="dxa"/>
                  <w:vAlign w:val="center"/>
                </w:tcPr>
                <w:p w14:paraId="32085FA5">
                  <w:pPr>
                    <w:jc w:val="center"/>
                    <w:rPr>
                      <w:rFonts w:cs="Times New Roman"/>
                      <w:kern w:val="0"/>
                      <w:sz w:val="21"/>
                      <w:szCs w:val="21"/>
                    </w:rPr>
                  </w:pPr>
                  <w:r>
                    <w:rPr>
                      <w:rFonts w:hint="eastAsia" w:cs="Times New Roman"/>
                      <w:kern w:val="0"/>
                      <w:sz w:val="21"/>
                      <w:szCs w:val="21"/>
                    </w:rPr>
                    <w:t>35.78</w:t>
                  </w:r>
                </w:p>
              </w:tc>
              <w:tc>
                <w:tcPr>
                  <w:tcW w:w="2638" w:type="dxa"/>
                  <w:vAlign w:val="center"/>
                </w:tcPr>
                <w:p w14:paraId="064A186F">
                  <w:pPr>
                    <w:jc w:val="center"/>
                    <w:rPr>
                      <w:rFonts w:cs="Times New Roman"/>
                      <w:kern w:val="0"/>
                      <w:sz w:val="21"/>
                      <w:szCs w:val="21"/>
                    </w:rPr>
                  </w:pPr>
                  <w:r>
                    <w:rPr>
                      <w:rFonts w:hint="eastAsia" w:cs="Times New Roman"/>
                      <w:kern w:val="0"/>
                      <w:sz w:val="21"/>
                      <w:szCs w:val="21"/>
                    </w:rPr>
                    <w:t>面积298.2m</w:t>
                  </w:r>
                  <w:r>
                    <w:rPr>
                      <w:rFonts w:hint="eastAsia" w:cs="Times New Roman"/>
                      <w:kern w:val="0"/>
                      <w:sz w:val="21"/>
                      <w:szCs w:val="21"/>
                      <w:vertAlign w:val="superscript"/>
                    </w:rPr>
                    <w:t>2</w:t>
                  </w:r>
                </w:p>
              </w:tc>
            </w:tr>
            <w:tr w14:paraId="2F191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A64A01F">
                  <w:pPr>
                    <w:jc w:val="center"/>
                    <w:rPr>
                      <w:rFonts w:cs="Times New Roman"/>
                      <w:kern w:val="0"/>
                      <w:sz w:val="21"/>
                      <w:szCs w:val="21"/>
                    </w:rPr>
                  </w:pPr>
                  <w:r>
                    <w:rPr>
                      <w:rFonts w:hint="eastAsia" w:cs="Times New Roman"/>
                      <w:kern w:val="0"/>
                      <w:sz w:val="21"/>
                      <w:szCs w:val="21"/>
                    </w:rPr>
                    <w:t>11</w:t>
                  </w:r>
                </w:p>
              </w:tc>
              <w:tc>
                <w:tcPr>
                  <w:tcW w:w="2676" w:type="dxa"/>
                  <w:vAlign w:val="center"/>
                </w:tcPr>
                <w:p w14:paraId="215F97C3">
                  <w:pPr>
                    <w:jc w:val="center"/>
                    <w:rPr>
                      <w:rFonts w:cs="Times New Roman"/>
                      <w:kern w:val="0"/>
                      <w:sz w:val="21"/>
                      <w:szCs w:val="21"/>
                    </w:rPr>
                  </w:pPr>
                  <w:r>
                    <w:rPr>
                      <w:rFonts w:hint="eastAsia" w:cs="Times New Roman"/>
                      <w:kern w:val="0"/>
                      <w:sz w:val="21"/>
                      <w:szCs w:val="21"/>
                    </w:rPr>
                    <w:t>路缘石</w:t>
                  </w:r>
                </w:p>
              </w:tc>
              <w:tc>
                <w:tcPr>
                  <w:tcW w:w="706" w:type="dxa"/>
                  <w:vAlign w:val="center"/>
                </w:tcPr>
                <w:p w14:paraId="6B4DC6CA">
                  <w:pPr>
                    <w:jc w:val="center"/>
                    <w:rPr>
                      <w:rFonts w:cs="Times New Roman"/>
                      <w:kern w:val="0"/>
                      <w:sz w:val="21"/>
                      <w:szCs w:val="21"/>
                    </w:rPr>
                  </w:pPr>
                  <w:r>
                    <w:rPr>
                      <w:rFonts w:hint="eastAsia" w:cs="Times New Roman"/>
                      <w:kern w:val="0"/>
                      <w:sz w:val="21"/>
                      <w:szCs w:val="21"/>
                    </w:rPr>
                    <w:t>m³</w:t>
                  </w:r>
                </w:p>
              </w:tc>
              <w:tc>
                <w:tcPr>
                  <w:tcW w:w="899" w:type="dxa"/>
                  <w:vAlign w:val="center"/>
                </w:tcPr>
                <w:p w14:paraId="21D02101">
                  <w:pPr>
                    <w:jc w:val="center"/>
                    <w:rPr>
                      <w:rFonts w:cs="Times New Roman"/>
                      <w:kern w:val="0"/>
                      <w:sz w:val="21"/>
                      <w:szCs w:val="21"/>
                    </w:rPr>
                  </w:pPr>
                  <w:r>
                    <w:rPr>
                      <w:rFonts w:hint="eastAsia" w:cs="Times New Roman"/>
                      <w:kern w:val="0"/>
                      <w:sz w:val="21"/>
                      <w:szCs w:val="21"/>
                    </w:rPr>
                    <w:t>24.85</w:t>
                  </w:r>
                </w:p>
              </w:tc>
              <w:tc>
                <w:tcPr>
                  <w:tcW w:w="2638" w:type="dxa"/>
                  <w:vAlign w:val="center"/>
                </w:tcPr>
                <w:p w14:paraId="488EF350">
                  <w:pPr>
                    <w:jc w:val="center"/>
                    <w:rPr>
                      <w:rFonts w:cs="Times New Roman"/>
                      <w:kern w:val="0"/>
                      <w:sz w:val="21"/>
                      <w:szCs w:val="21"/>
                    </w:rPr>
                  </w:pPr>
                </w:p>
              </w:tc>
            </w:tr>
            <w:tr w14:paraId="1AAC9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7B8D4D3">
                  <w:pPr>
                    <w:jc w:val="center"/>
                    <w:rPr>
                      <w:rFonts w:cs="Times New Roman"/>
                      <w:kern w:val="0"/>
                      <w:sz w:val="21"/>
                      <w:szCs w:val="21"/>
                    </w:rPr>
                  </w:pPr>
                  <w:r>
                    <w:rPr>
                      <w:rFonts w:hint="eastAsia" w:cs="Times New Roman"/>
                      <w:kern w:val="0"/>
                      <w:sz w:val="21"/>
                      <w:szCs w:val="21"/>
                    </w:rPr>
                    <w:t>12</w:t>
                  </w:r>
                </w:p>
              </w:tc>
              <w:tc>
                <w:tcPr>
                  <w:tcW w:w="2676" w:type="dxa"/>
                  <w:vAlign w:val="center"/>
                </w:tcPr>
                <w:p w14:paraId="78C964D0">
                  <w:pPr>
                    <w:jc w:val="center"/>
                    <w:rPr>
                      <w:rFonts w:cs="Times New Roman"/>
                      <w:kern w:val="0"/>
                      <w:sz w:val="21"/>
                      <w:szCs w:val="21"/>
                    </w:rPr>
                  </w:pPr>
                  <w:r>
                    <w:rPr>
                      <w:rFonts w:hint="eastAsia" w:cs="Times New Roman"/>
                      <w:kern w:val="0"/>
                      <w:sz w:val="21"/>
                      <w:szCs w:val="21"/>
                    </w:rPr>
                    <w:t>10~60kg抛石基床</w:t>
                  </w:r>
                </w:p>
              </w:tc>
              <w:tc>
                <w:tcPr>
                  <w:tcW w:w="706" w:type="dxa"/>
                  <w:vAlign w:val="center"/>
                </w:tcPr>
                <w:p w14:paraId="612D6850">
                  <w:pPr>
                    <w:jc w:val="center"/>
                    <w:rPr>
                      <w:rFonts w:cs="Times New Roman"/>
                      <w:kern w:val="0"/>
                      <w:sz w:val="21"/>
                      <w:szCs w:val="21"/>
                    </w:rPr>
                  </w:pPr>
                  <w:r>
                    <w:rPr>
                      <w:rFonts w:hint="eastAsia" w:cs="Times New Roman"/>
                      <w:kern w:val="0"/>
                      <w:sz w:val="21"/>
                      <w:szCs w:val="21"/>
                    </w:rPr>
                    <w:t>m³</w:t>
                  </w:r>
                </w:p>
              </w:tc>
              <w:tc>
                <w:tcPr>
                  <w:tcW w:w="899" w:type="dxa"/>
                  <w:vAlign w:val="center"/>
                </w:tcPr>
                <w:p w14:paraId="26079C81">
                  <w:pPr>
                    <w:jc w:val="center"/>
                    <w:rPr>
                      <w:rFonts w:cs="Times New Roman"/>
                      <w:kern w:val="0"/>
                      <w:sz w:val="21"/>
                      <w:szCs w:val="21"/>
                    </w:rPr>
                  </w:pPr>
                  <w:r>
                    <w:rPr>
                      <w:rFonts w:hint="eastAsia" w:cs="Times New Roman"/>
                      <w:kern w:val="0"/>
                      <w:sz w:val="21"/>
                      <w:szCs w:val="21"/>
                    </w:rPr>
                    <w:t>257.38</w:t>
                  </w:r>
                </w:p>
              </w:tc>
              <w:tc>
                <w:tcPr>
                  <w:tcW w:w="2638" w:type="dxa"/>
                  <w:vAlign w:val="center"/>
                </w:tcPr>
                <w:p w14:paraId="0D0BD9BB">
                  <w:pPr>
                    <w:jc w:val="center"/>
                    <w:rPr>
                      <w:rFonts w:cs="Times New Roman"/>
                      <w:kern w:val="0"/>
                      <w:sz w:val="21"/>
                      <w:szCs w:val="21"/>
                    </w:rPr>
                  </w:pPr>
                </w:p>
              </w:tc>
            </w:tr>
            <w:tr w14:paraId="6B6F9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5E7325F">
                  <w:pPr>
                    <w:jc w:val="center"/>
                    <w:rPr>
                      <w:rFonts w:cs="Times New Roman"/>
                      <w:kern w:val="0"/>
                      <w:sz w:val="21"/>
                      <w:szCs w:val="21"/>
                    </w:rPr>
                  </w:pPr>
                  <w:r>
                    <w:rPr>
                      <w:rFonts w:hint="eastAsia" w:cs="Times New Roman"/>
                      <w:kern w:val="0"/>
                      <w:sz w:val="21"/>
                      <w:szCs w:val="21"/>
                    </w:rPr>
                    <w:t>13</w:t>
                  </w:r>
                </w:p>
              </w:tc>
              <w:tc>
                <w:tcPr>
                  <w:tcW w:w="2676" w:type="dxa"/>
                  <w:vAlign w:val="center"/>
                </w:tcPr>
                <w:p w14:paraId="41845BA0">
                  <w:pPr>
                    <w:jc w:val="center"/>
                    <w:rPr>
                      <w:rFonts w:cs="Times New Roman"/>
                      <w:kern w:val="0"/>
                      <w:sz w:val="21"/>
                      <w:szCs w:val="21"/>
                    </w:rPr>
                  </w:pPr>
                  <w:r>
                    <w:rPr>
                      <w:rFonts w:hint="eastAsia" w:cs="Times New Roman"/>
                      <w:kern w:val="0"/>
                      <w:sz w:val="21"/>
                      <w:szCs w:val="21"/>
                    </w:rPr>
                    <w:t>60~100kg块石护底</w:t>
                  </w:r>
                </w:p>
              </w:tc>
              <w:tc>
                <w:tcPr>
                  <w:tcW w:w="706" w:type="dxa"/>
                  <w:vAlign w:val="center"/>
                </w:tcPr>
                <w:p w14:paraId="0DBBDF5F">
                  <w:pPr>
                    <w:jc w:val="center"/>
                    <w:rPr>
                      <w:rFonts w:cs="Times New Roman"/>
                      <w:kern w:val="0"/>
                      <w:sz w:val="21"/>
                      <w:szCs w:val="21"/>
                    </w:rPr>
                  </w:pPr>
                  <w:r>
                    <w:rPr>
                      <w:rFonts w:hint="eastAsia" w:cs="Times New Roman"/>
                      <w:kern w:val="0"/>
                      <w:sz w:val="21"/>
                      <w:szCs w:val="21"/>
                    </w:rPr>
                    <w:t>m³</w:t>
                  </w:r>
                </w:p>
              </w:tc>
              <w:tc>
                <w:tcPr>
                  <w:tcW w:w="899" w:type="dxa"/>
                  <w:vAlign w:val="center"/>
                </w:tcPr>
                <w:p w14:paraId="7B74F59B">
                  <w:pPr>
                    <w:jc w:val="center"/>
                    <w:rPr>
                      <w:rFonts w:cs="Times New Roman"/>
                      <w:kern w:val="0"/>
                      <w:sz w:val="21"/>
                      <w:szCs w:val="21"/>
                    </w:rPr>
                  </w:pPr>
                  <w:r>
                    <w:rPr>
                      <w:rFonts w:hint="eastAsia" w:cs="Times New Roman"/>
                      <w:kern w:val="0"/>
                      <w:sz w:val="21"/>
                      <w:szCs w:val="21"/>
                    </w:rPr>
                    <w:t>150.88</w:t>
                  </w:r>
                </w:p>
              </w:tc>
              <w:tc>
                <w:tcPr>
                  <w:tcW w:w="2638" w:type="dxa"/>
                  <w:vAlign w:val="center"/>
                </w:tcPr>
                <w:p w14:paraId="50FF410E">
                  <w:pPr>
                    <w:jc w:val="center"/>
                    <w:rPr>
                      <w:rFonts w:cs="Times New Roman"/>
                      <w:kern w:val="0"/>
                      <w:sz w:val="21"/>
                      <w:szCs w:val="21"/>
                    </w:rPr>
                  </w:pPr>
                  <w:r>
                    <w:rPr>
                      <w:rFonts w:hint="eastAsia" w:cs="Times New Roman"/>
                      <w:kern w:val="0"/>
                      <w:sz w:val="21"/>
                      <w:szCs w:val="21"/>
                    </w:rPr>
                    <w:t>浇筑水下不分散混凝土</w:t>
                  </w:r>
                </w:p>
              </w:tc>
            </w:tr>
            <w:tr w14:paraId="24356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C5A389E">
                  <w:pPr>
                    <w:jc w:val="center"/>
                    <w:rPr>
                      <w:rFonts w:cs="Times New Roman"/>
                      <w:kern w:val="0"/>
                      <w:sz w:val="21"/>
                      <w:szCs w:val="21"/>
                    </w:rPr>
                  </w:pPr>
                  <w:r>
                    <w:rPr>
                      <w:rFonts w:hint="eastAsia" w:cs="Times New Roman"/>
                      <w:kern w:val="0"/>
                      <w:sz w:val="21"/>
                      <w:szCs w:val="21"/>
                    </w:rPr>
                    <w:t>14</w:t>
                  </w:r>
                </w:p>
              </w:tc>
              <w:tc>
                <w:tcPr>
                  <w:tcW w:w="2676" w:type="dxa"/>
                  <w:vAlign w:val="center"/>
                </w:tcPr>
                <w:p w14:paraId="1C3AD3C7">
                  <w:pPr>
                    <w:jc w:val="center"/>
                    <w:rPr>
                      <w:rFonts w:cs="Times New Roman"/>
                      <w:kern w:val="0"/>
                      <w:sz w:val="21"/>
                      <w:szCs w:val="21"/>
                    </w:rPr>
                  </w:pPr>
                  <w:r>
                    <w:rPr>
                      <w:rFonts w:hint="eastAsia" w:cs="Times New Roman"/>
                      <w:kern w:val="0"/>
                      <w:sz w:val="21"/>
                      <w:szCs w:val="21"/>
                    </w:rPr>
                    <w:t>护轮槛</w:t>
                  </w:r>
                </w:p>
              </w:tc>
              <w:tc>
                <w:tcPr>
                  <w:tcW w:w="706" w:type="dxa"/>
                  <w:vAlign w:val="center"/>
                </w:tcPr>
                <w:p w14:paraId="17DB2C9F">
                  <w:pPr>
                    <w:jc w:val="center"/>
                    <w:rPr>
                      <w:rFonts w:cs="Times New Roman"/>
                      <w:kern w:val="0"/>
                      <w:sz w:val="21"/>
                      <w:szCs w:val="21"/>
                    </w:rPr>
                  </w:pPr>
                  <w:r>
                    <w:rPr>
                      <w:rFonts w:hint="eastAsia" w:cs="Times New Roman"/>
                      <w:kern w:val="0"/>
                      <w:sz w:val="21"/>
                      <w:szCs w:val="21"/>
                    </w:rPr>
                    <w:t>m³</w:t>
                  </w:r>
                </w:p>
              </w:tc>
              <w:tc>
                <w:tcPr>
                  <w:tcW w:w="899" w:type="dxa"/>
                  <w:vAlign w:val="center"/>
                </w:tcPr>
                <w:p w14:paraId="4E4B937F">
                  <w:pPr>
                    <w:jc w:val="center"/>
                    <w:rPr>
                      <w:rFonts w:cs="Times New Roman"/>
                      <w:kern w:val="0"/>
                      <w:sz w:val="21"/>
                      <w:szCs w:val="21"/>
                    </w:rPr>
                  </w:pPr>
                  <w:r>
                    <w:rPr>
                      <w:rFonts w:hint="eastAsia" w:cs="Times New Roman"/>
                      <w:kern w:val="0"/>
                      <w:sz w:val="21"/>
                      <w:szCs w:val="21"/>
                    </w:rPr>
                    <w:t>6.46</w:t>
                  </w:r>
                </w:p>
              </w:tc>
              <w:tc>
                <w:tcPr>
                  <w:tcW w:w="2638" w:type="dxa"/>
                  <w:vAlign w:val="center"/>
                </w:tcPr>
                <w:p w14:paraId="446650C5">
                  <w:pPr>
                    <w:jc w:val="center"/>
                    <w:rPr>
                      <w:rFonts w:cs="Times New Roman"/>
                      <w:kern w:val="0"/>
                      <w:sz w:val="21"/>
                      <w:szCs w:val="21"/>
                    </w:rPr>
                  </w:pPr>
                </w:p>
              </w:tc>
            </w:tr>
            <w:tr w14:paraId="67037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C378FEB">
                  <w:pPr>
                    <w:jc w:val="center"/>
                    <w:rPr>
                      <w:rFonts w:cs="Times New Roman"/>
                      <w:kern w:val="0"/>
                      <w:sz w:val="21"/>
                      <w:szCs w:val="21"/>
                    </w:rPr>
                  </w:pPr>
                  <w:r>
                    <w:rPr>
                      <w:rFonts w:hint="eastAsia" w:cs="Times New Roman"/>
                      <w:kern w:val="0"/>
                      <w:sz w:val="21"/>
                      <w:szCs w:val="21"/>
                    </w:rPr>
                    <w:t>15</w:t>
                  </w:r>
                </w:p>
              </w:tc>
              <w:tc>
                <w:tcPr>
                  <w:tcW w:w="2676" w:type="dxa"/>
                  <w:vAlign w:val="center"/>
                </w:tcPr>
                <w:p w14:paraId="4A98F4A0">
                  <w:pPr>
                    <w:jc w:val="center"/>
                    <w:rPr>
                      <w:rFonts w:cs="Times New Roman"/>
                      <w:kern w:val="0"/>
                      <w:sz w:val="21"/>
                      <w:szCs w:val="21"/>
                    </w:rPr>
                  </w:pPr>
                  <w:r>
                    <w:rPr>
                      <w:rFonts w:hint="eastAsia" w:cs="Times New Roman"/>
                      <w:kern w:val="0"/>
                      <w:sz w:val="21"/>
                      <w:szCs w:val="21"/>
                    </w:rPr>
                    <w:t>150KN系船柱</w:t>
                  </w:r>
                </w:p>
              </w:tc>
              <w:tc>
                <w:tcPr>
                  <w:tcW w:w="706" w:type="dxa"/>
                  <w:vAlign w:val="center"/>
                </w:tcPr>
                <w:p w14:paraId="68ED7830">
                  <w:pPr>
                    <w:jc w:val="center"/>
                    <w:rPr>
                      <w:rFonts w:cs="Times New Roman"/>
                      <w:kern w:val="0"/>
                      <w:sz w:val="21"/>
                      <w:szCs w:val="21"/>
                    </w:rPr>
                  </w:pPr>
                  <w:r>
                    <w:rPr>
                      <w:rFonts w:hint="eastAsia" w:cs="Times New Roman"/>
                      <w:kern w:val="0"/>
                      <w:sz w:val="21"/>
                      <w:szCs w:val="21"/>
                    </w:rPr>
                    <w:t>个</w:t>
                  </w:r>
                </w:p>
              </w:tc>
              <w:tc>
                <w:tcPr>
                  <w:tcW w:w="899" w:type="dxa"/>
                  <w:vAlign w:val="center"/>
                </w:tcPr>
                <w:p w14:paraId="7928B003">
                  <w:pPr>
                    <w:jc w:val="center"/>
                    <w:rPr>
                      <w:rFonts w:cs="Times New Roman"/>
                      <w:kern w:val="0"/>
                      <w:sz w:val="21"/>
                      <w:szCs w:val="21"/>
                    </w:rPr>
                  </w:pPr>
                  <w:r>
                    <w:rPr>
                      <w:rFonts w:hint="eastAsia" w:cs="Times New Roman"/>
                      <w:kern w:val="0"/>
                      <w:sz w:val="21"/>
                      <w:szCs w:val="21"/>
                    </w:rPr>
                    <w:t>8</w:t>
                  </w:r>
                </w:p>
              </w:tc>
              <w:tc>
                <w:tcPr>
                  <w:tcW w:w="2638" w:type="dxa"/>
                  <w:vAlign w:val="center"/>
                </w:tcPr>
                <w:p w14:paraId="28F5567B">
                  <w:pPr>
                    <w:jc w:val="center"/>
                    <w:rPr>
                      <w:rFonts w:cs="Times New Roman"/>
                      <w:kern w:val="0"/>
                      <w:sz w:val="21"/>
                      <w:szCs w:val="21"/>
                    </w:rPr>
                  </w:pPr>
                </w:p>
              </w:tc>
            </w:tr>
            <w:tr w14:paraId="3C98A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A15BAA9">
                  <w:pPr>
                    <w:jc w:val="center"/>
                    <w:rPr>
                      <w:rFonts w:cs="Times New Roman"/>
                      <w:kern w:val="0"/>
                      <w:sz w:val="21"/>
                      <w:szCs w:val="21"/>
                    </w:rPr>
                  </w:pPr>
                  <w:r>
                    <w:rPr>
                      <w:rFonts w:hint="eastAsia" w:cs="Times New Roman"/>
                      <w:kern w:val="0"/>
                      <w:sz w:val="21"/>
                      <w:szCs w:val="21"/>
                    </w:rPr>
                    <w:t>16</w:t>
                  </w:r>
                </w:p>
              </w:tc>
              <w:tc>
                <w:tcPr>
                  <w:tcW w:w="2676" w:type="dxa"/>
                  <w:vAlign w:val="center"/>
                </w:tcPr>
                <w:p w14:paraId="4EA6A71B">
                  <w:pPr>
                    <w:jc w:val="center"/>
                    <w:rPr>
                      <w:rFonts w:cs="Times New Roman"/>
                      <w:kern w:val="0"/>
                      <w:sz w:val="21"/>
                      <w:szCs w:val="21"/>
                    </w:rPr>
                  </w:pPr>
                  <w:r>
                    <w:rPr>
                      <w:rFonts w:hint="eastAsia" w:cs="Times New Roman"/>
                      <w:kern w:val="0"/>
                      <w:sz w:val="21"/>
                      <w:szCs w:val="21"/>
                    </w:rPr>
                    <w:t>系船柱块体</w:t>
                  </w:r>
                </w:p>
              </w:tc>
              <w:tc>
                <w:tcPr>
                  <w:tcW w:w="706" w:type="dxa"/>
                  <w:vAlign w:val="center"/>
                </w:tcPr>
                <w:p w14:paraId="6A659C1C">
                  <w:pPr>
                    <w:jc w:val="center"/>
                    <w:rPr>
                      <w:rFonts w:cs="Times New Roman"/>
                      <w:kern w:val="0"/>
                      <w:sz w:val="21"/>
                      <w:szCs w:val="21"/>
                    </w:rPr>
                  </w:pPr>
                  <w:r>
                    <w:rPr>
                      <w:rFonts w:hint="eastAsia" w:cs="Times New Roman"/>
                      <w:kern w:val="0"/>
                      <w:sz w:val="21"/>
                      <w:szCs w:val="21"/>
                    </w:rPr>
                    <w:t>m³</w:t>
                  </w:r>
                </w:p>
              </w:tc>
              <w:tc>
                <w:tcPr>
                  <w:tcW w:w="899" w:type="dxa"/>
                  <w:vAlign w:val="center"/>
                </w:tcPr>
                <w:p w14:paraId="5722CE30">
                  <w:pPr>
                    <w:jc w:val="center"/>
                    <w:rPr>
                      <w:rFonts w:cs="Times New Roman"/>
                      <w:kern w:val="0"/>
                      <w:sz w:val="21"/>
                      <w:szCs w:val="21"/>
                    </w:rPr>
                  </w:pPr>
                  <w:r>
                    <w:rPr>
                      <w:rFonts w:hint="eastAsia" w:cs="Times New Roman"/>
                      <w:kern w:val="0"/>
                      <w:sz w:val="21"/>
                      <w:szCs w:val="21"/>
                    </w:rPr>
                    <w:t>4.608</w:t>
                  </w:r>
                </w:p>
              </w:tc>
              <w:tc>
                <w:tcPr>
                  <w:tcW w:w="2638" w:type="dxa"/>
                  <w:vAlign w:val="center"/>
                </w:tcPr>
                <w:p w14:paraId="6D4CF67B">
                  <w:pPr>
                    <w:jc w:val="center"/>
                    <w:rPr>
                      <w:rFonts w:cs="Times New Roman"/>
                      <w:kern w:val="0"/>
                      <w:sz w:val="21"/>
                      <w:szCs w:val="21"/>
                    </w:rPr>
                  </w:pPr>
                </w:p>
              </w:tc>
            </w:tr>
            <w:tr w14:paraId="71C97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5FA75F2A">
                  <w:pPr>
                    <w:jc w:val="center"/>
                    <w:rPr>
                      <w:rFonts w:cs="Times New Roman"/>
                      <w:kern w:val="0"/>
                      <w:sz w:val="21"/>
                      <w:szCs w:val="21"/>
                    </w:rPr>
                  </w:pPr>
                  <w:r>
                    <w:rPr>
                      <w:rFonts w:hint="eastAsia" w:cs="Times New Roman"/>
                      <w:kern w:val="0"/>
                      <w:sz w:val="21"/>
                      <w:szCs w:val="21"/>
                    </w:rPr>
                    <w:t>17</w:t>
                  </w:r>
                </w:p>
              </w:tc>
              <w:tc>
                <w:tcPr>
                  <w:tcW w:w="2676" w:type="dxa"/>
                  <w:vAlign w:val="center"/>
                </w:tcPr>
                <w:p w14:paraId="32FAB210">
                  <w:pPr>
                    <w:jc w:val="center"/>
                    <w:rPr>
                      <w:rFonts w:cs="Times New Roman"/>
                      <w:kern w:val="0"/>
                      <w:sz w:val="21"/>
                      <w:szCs w:val="21"/>
                    </w:rPr>
                  </w:pPr>
                  <w:r>
                    <w:rPr>
                      <w:rFonts w:hint="eastAsia" w:cs="Times New Roman"/>
                      <w:kern w:val="0"/>
                      <w:sz w:val="21"/>
                      <w:szCs w:val="21"/>
                    </w:rPr>
                    <w:t>系船环</w:t>
                  </w:r>
                </w:p>
              </w:tc>
              <w:tc>
                <w:tcPr>
                  <w:tcW w:w="706" w:type="dxa"/>
                  <w:vAlign w:val="center"/>
                </w:tcPr>
                <w:p w14:paraId="568DE78D">
                  <w:pPr>
                    <w:jc w:val="center"/>
                    <w:rPr>
                      <w:rFonts w:cs="Times New Roman"/>
                      <w:kern w:val="0"/>
                      <w:sz w:val="21"/>
                      <w:szCs w:val="21"/>
                    </w:rPr>
                  </w:pPr>
                  <w:r>
                    <w:rPr>
                      <w:rFonts w:hint="eastAsia" w:cs="Times New Roman"/>
                      <w:kern w:val="0"/>
                      <w:sz w:val="21"/>
                      <w:szCs w:val="21"/>
                    </w:rPr>
                    <w:t>个</w:t>
                  </w:r>
                </w:p>
              </w:tc>
              <w:tc>
                <w:tcPr>
                  <w:tcW w:w="899" w:type="dxa"/>
                  <w:vAlign w:val="center"/>
                </w:tcPr>
                <w:p w14:paraId="1CF900F7">
                  <w:pPr>
                    <w:jc w:val="center"/>
                    <w:rPr>
                      <w:rFonts w:cs="Times New Roman"/>
                      <w:kern w:val="0"/>
                      <w:sz w:val="21"/>
                      <w:szCs w:val="21"/>
                    </w:rPr>
                  </w:pPr>
                  <w:r>
                    <w:rPr>
                      <w:rFonts w:hint="eastAsia" w:cs="Times New Roman"/>
                      <w:kern w:val="0"/>
                      <w:sz w:val="21"/>
                      <w:szCs w:val="21"/>
                    </w:rPr>
                    <w:t>4</w:t>
                  </w:r>
                </w:p>
              </w:tc>
              <w:tc>
                <w:tcPr>
                  <w:tcW w:w="2638" w:type="dxa"/>
                  <w:vAlign w:val="center"/>
                </w:tcPr>
                <w:p w14:paraId="17A6B70F">
                  <w:pPr>
                    <w:jc w:val="center"/>
                    <w:rPr>
                      <w:rFonts w:cs="Times New Roman"/>
                      <w:kern w:val="0"/>
                      <w:sz w:val="21"/>
                      <w:szCs w:val="21"/>
                    </w:rPr>
                  </w:pPr>
                </w:p>
              </w:tc>
            </w:tr>
            <w:tr w14:paraId="4567A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7134491E">
                  <w:pPr>
                    <w:jc w:val="center"/>
                    <w:rPr>
                      <w:rFonts w:cs="Times New Roman"/>
                      <w:kern w:val="0"/>
                      <w:sz w:val="21"/>
                      <w:szCs w:val="21"/>
                    </w:rPr>
                  </w:pPr>
                  <w:r>
                    <w:rPr>
                      <w:rFonts w:hint="eastAsia" w:cs="Times New Roman"/>
                      <w:kern w:val="0"/>
                      <w:sz w:val="21"/>
                      <w:szCs w:val="21"/>
                    </w:rPr>
                    <w:t>18</w:t>
                  </w:r>
                </w:p>
              </w:tc>
              <w:tc>
                <w:tcPr>
                  <w:tcW w:w="2676" w:type="dxa"/>
                  <w:vAlign w:val="center"/>
                </w:tcPr>
                <w:p w14:paraId="7DE5F82F">
                  <w:pPr>
                    <w:jc w:val="center"/>
                    <w:rPr>
                      <w:rFonts w:cs="Times New Roman"/>
                      <w:kern w:val="0"/>
                      <w:sz w:val="21"/>
                      <w:szCs w:val="21"/>
                    </w:rPr>
                  </w:pPr>
                  <w:r>
                    <w:rPr>
                      <w:rFonts w:hint="eastAsia" w:cs="Times New Roman"/>
                      <w:kern w:val="0"/>
                      <w:sz w:val="21"/>
                      <w:szCs w:val="21"/>
                    </w:rPr>
                    <w:t>橡胶护舷1</w:t>
                  </w:r>
                </w:p>
              </w:tc>
              <w:tc>
                <w:tcPr>
                  <w:tcW w:w="706" w:type="dxa"/>
                  <w:vAlign w:val="center"/>
                </w:tcPr>
                <w:p w14:paraId="7A6F1FAD">
                  <w:pPr>
                    <w:jc w:val="center"/>
                    <w:rPr>
                      <w:rFonts w:cs="Times New Roman"/>
                      <w:kern w:val="0"/>
                      <w:sz w:val="21"/>
                      <w:szCs w:val="21"/>
                    </w:rPr>
                  </w:pPr>
                  <w:r>
                    <w:rPr>
                      <w:rFonts w:hint="eastAsia" w:cs="Times New Roman"/>
                      <w:kern w:val="0"/>
                      <w:sz w:val="21"/>
                      <w:szCs w:val="21"/>
                    </w:rPr>
                    <w:t>个</w:t>
                  </w:r>
                </w:p>
              </w:tc>
              <w:tc>
                <w:tcPr>
                  <w:tcW w:w="899" w:type="dxa"/>
                  <w:vAlign w:val="center"/>
                </w:tcPr>
                <w:p w14:paraId="141F32C0">
                  <w:pPr>
                    <w:jc w:val="center"/>
                    <w:rPr>
                      <w:rFonts w:cs="Times New Roman"/>
                      <w:kern w:val="0"/>
                      <w:sz w:val="21"/>
                      <w:szCs w:val="21"/>
                    </w:rPr>
                  </w:pPr>
                  <w:r>
                    <w:rPr>
                      <w:rFonts w:hint="eastAsia" w:cs="Times New Roman"/>
                      <w:kern w:val="0"/>
                      <w:sz w:val="21"/>
                      <w:szCs w:val="21"/>
                    </w:rPr>
                    <w:t>12</w:t>
                  </w:r>
                </w:p>
              </w:tc>
              <w:tc>
                <w:tcPr>
                  <w:tcW w:w="2638" w:type="dxa"/>
                  <w:vAlign w:val="center"/>
                </w:tcPr>
                <w:p w14:paraId="0BEAAFD1">
                  <w:pPr>
                    <w:jc w:val="center"/>
                    <w:rPr>
                      <w:rFonts w:cs="Times New Roman"/>
                      <w:kern w:val="0"/>
                      <w:sz w:val="21"/>
                      <w:szCs w:val="21"/>
                    </w:rPr>
                  </w:pPr>
                  <w:r>
                    <w:rPr>
                      <w:rFonts w:hint="eastAsia" w:cs="Times New Roman"/>
                      <w:kern w:val="0"/>
                      <w:sz w:val="21"/>
                      <w:szCs w:val="21"/>
                    </w:rPr>
                    <w:t>D300×300×1000-3Z</w:t>
                  </w:r>
                </w:p>
              </w:tc>
            </w:tr>
            <w:tr w14:paraId="3B7CB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87529F0">
                  <w:pPr>
                    <w:jc w:val="center"/>
                    <w:rPr>
                      <w:rFonts w:cs="Times New Roman"/>
                      <w:kern w:val="0"/>
                      <w:sz w:val="21"/>
                      <w:szCs w:val="21"/>
                    </w:rPr>
                  </w:pPr>
                  <w:r>
                    <w:rPr>
                      <w:rFonts w:hint="eastAsia" w:cs="Times New Roman"/>
                      <w:kern w:val="0"/>
                      <w:sz w:val="21"/>
                      <w:szCs w:val="21"/>
                    </w:rPr>
                    <w:t>19</w:t>
                  </w:r>
                </w:p>
              </w:tc>
              <w:tc>
                <w:tcPr>
                  <w:tcW w:w="2676" w:type="dxa"/>
                  <w:vAlign w:val="center"/>
                </w:tcPr>
                <w:p w14:paraId="31D6A7DE">
                  <w:pPr>
                    <w:jc w:val="center"/>
                    <w:rPr>
                      <w:rFonts w:cs="Times New Roman"/>
                      <w:kern w:val="0"/>
                      <w:sz w:val="21"/>
                      <w:szCs w:val="21"/>
                    </w:rPr>
                  </w:pPr>
                  <w:r>
                    <w:rPr>
                      <w:rFonts w:hint="eastAsia" w:cs="Times New Roman"/>
                      <w:kern w:val="0"/>
                      <w:sz w:val="21"/>
                      <w:szCs w:val="21"/>
                    </w:rPr>
                    <w:t>橡胶护舷2</w:t>
                  </w:r>
                </w:p>
              </w:tc>
              <w:tc>
                <w:tcPr>
                  <w:tcW w:w="706" w:type="dxa"/>
                  <w:vAlign w:val="center"/>
                </w:tcPr>
                <w:p w14:paraId="12F2B4A9">
                  <w:pPr>
                    <w:jc w:val="center"/>
                    <w:rPr>
                      <w:rFonts w:cs="Times New Roman"/>
                      <w:kern w:val="0"/>
                      <w:sz w:val="21"/>
                      <w:szCs w:val="21"/>
                    </w:rPr>
                  </w:pPr>
                  <w:r>
                    <w:rPr>
                      <w:rFonts w:hint="eastAsia" w:cs="Times New Roman"/>
                      <w:kern w:val="0"/>
                      <w:sz w:val="21"/>
                      <w:szCs w:val="21"/>
                    </w:rPr>
                    <w:t>个</w:t>
                  </w:r>
                </w:p>
              </w:tc>
              <w:tc>
                <w:tcPr>
                  <w:tcW w:w="899" w:type="dxa"/>
                  <w:vAlign w:val="center"/>
                </w:tcPr>
                <w:p w14:paraId="0409760A">
                  <w:pPr>
                    <w:jc w:val="center"/>
                    <w:rPr>
                      <w:rFonts w:cs="Times New Roman"/>
                      <w:kern w:val="0"/>
                      <w:sz w:val="21"/>
                      <w:szCs w:val="21"/>
                    </w:rPr>
                  </w:pPr>
                  <w:r>
                    <w:rPr>
                      <w:rFonts w:hint="eastAsia" w:cs="Times New Roman"/>
                      <w:kern w:val="0"/>
                      <w:sz w:val="21"/>
                      <w:szCs w:val="21"/>
                    </w:rPr>
                    <w:t>16</w:t>
                  </w:r>
                </w:p>
              </w:tc>
              <w:tc>
                <w:tcPr>
                  <w:tcW w:w="2638" w:type="dxa"/>
                  <w:vAlign w:val="center"/>
                </w:tcPr>
                <w:p w14:paraId="7A020B69">
                  <w:pPr>
                    <w:jc w:val="center"/>
                    <w:rPr>
                      <w:rFonts w:cs="Times New Roman"/>
                      <w:kern w:val="0"/>
                      <w:sz w:val="21"/>
                      <w:szCs w:val="21"/>
                    </w:rPr>
                  </w:pPr>
                  <w:r>
                    <w:rPr>
                      <w:rFonts w:hint="eastAsia" w:cs="Times New Roman"/>
                      <w:kern w:val="0"/>
                      <w:sz w:val="21"/>
                      <w:szCs w:val="21"/>
                    </w:rPr>
                    <w:t>D300×300×1500-3Z</w:t>
                  </w:r>
                </w:p>
              </w:tc>
            </w:tr>
            <w:tr w14:paraId="6C116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9186EDB">
                  <w:pPr>
                    <w:jc w:val="center"/>
                    <w:rPr>
                      <w:rFonts w:cs="Times New Roman"/>
                      <w:kern w:val="0"/>
                      <w:sz w:val="21"/>
                      <w:szCs w:val="21"/>
                    </w:rPr>
                  </w:pPr>
                  <w:r>
                    <w:rPr>
                      <w:rFonts w:hint="eastAsia" w:cs="Times New Roman"/>
                      <w:kern w:val="0"/>
                      <w:sz w:val="21"/>
                      <w:szCs w:val="21"/>
                    </w:rPr>
                    <w:t>20</w:t>
                  </w:r>
                </w:p>
              </w:tc>
              <w:tc>
                <w:tcPr>
                  <w:tcW w:w="2676" w:type="dxa"/>
                  <w:vAlign w:val="center"/>
                </w:tcPr>
                <w:p w14:paraId="3961B4CE">
                  <w:pPr>
                    <w:jc w:val="center"/>
                    <w:rPr>
                      <w:rFonts w:cs="Times New Roman"/>
                      <w:kern w:val="0"/>
                      <w:sz w:val="21"/>
                      <w:szCs w:val="21"/>
                    </w:rPr>
                  </w:pPr>
                  <w:r>
                    <w:rPr>
                      <w:rFonts w:hint="eastAsia" w:cs="Times New Roman"/>
                      <w:kern w:val="0"/>
                      <w:sz w:val="21"/>
                      <w:szCs w:val="21"/>
                    </w:rPr>
                    <w:t>开挖量</w:t>
                  </w:r>
                </w:p>
              </w:tc>
              <w:tc>
                <w:tcPr>
                  <w:tcW w:w="706" w:type="dxa"/>
                  <w:vAlign w:val="center"/>
                </w:tcPr>
                <w:p w14:paraId="74621661">
                  <w:pPr>
                    <w:jc w:val="center"/>
                    <w:rPr>
                      <w:rFonts w:cs="Times New Roman"/>
                      <w:kern w:val="0"/>
                      <w:sz w:val="21"/>
                      <w:szCs w:val="21"/>
                    </w:rPr>
                  </w:pPr>
                  <w:r>
                    <w:rPr>
                      <w:rFonts w:hint="eastAsia" w:cs="Times New Roman"/>
                      <w:kern w:val="0"/>
                      <w:sz w:val="21"/>
                      <w:szCs w:val="21"/>
                    </w:rPr>
                    <w:t>m³</w:t>
                  </w:r>
                </w:p>
              </w:tc>
              <w:tc>
                <w:tcPr>
                  <w:tcW w:w="899" w:type="dxa"/>
                  <w:vAlign w:val="center"/>
                </w:tcPr>
                <w:p w14:paraId="72017561">
                  <w:pPr>
                    <w:jc w:val="center"/>
                    <w:rPr>
                      <w:rFonts w:cs="Times New Roman"/>
                      <w:kern w:val="0"/>
                      <w:sz w:val="21"/>
                      <w:szCs w:val="21"/>
                    </w:rPr>
                  </w:pPr>
                  <w:r>
                    <w:rPr>
                      <w:rFonts w:hint="eastAsia" w:cs="Times New Roman"/>
                      <w:kern w:val="0"/>
                      <w:sz w:val="21"/>
                      <w:szCs w:val="21"/>
                    </w:rPr>
                    <w:t>2078.67</w:t>
                  </w:r>
                </w:p>
              </w:tc>
              <w:tc>
                <w:tcPr>
                  <w:tcW w:w="2638" w:type="dxa"/>
                  <w:vAlign w:val="center"/>
                </w:tcPr>
                <w:p w14:paraId="3D010B0A">
                  <w:pPr>
                    <w:jc w:val="center"/>
                    <w:rPr>
                      <w:rFonts w:cs="Times New Roman"/>
                      <w:kern w:val="0"/>
                      <w:sz w:val="21"/>
                      <w:szCs w:val="21"/>
                    </w:rPr>
                  </w:pPr>
                </w:p>
              </w:tc>
            </w:tr>
            <w:tr w14:paraId="5EF78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22EE5FB">
                  <w:pPr>
                    <w:jc w:val="center"/>
                    <w:rPr>
                      <w:rFonts w:cs="Times New Roman"/>
                      <w:kern w:val="0"/>
                      <w:sz w:val="21"/>
                      <w:szCs w:val="21"/>
                    </w:rPr>
                  </w:pPr>
                  <w:r>
                    <w:rPr>
                      <w:rFonts w:hint="eastAsia" w:cs="Times New Roman"/>
                      <w:kern w:val="0"/>
                      <w:sz w:val="21"/>
                      <w:szCs w:val="21"/>
                    </w:rPr>
                    <w:t>21</w:t>
                  </w:r>
                </w:p>
              </w:tc>
              <w:tc>
                <w:tcPr>
                  <w:tcW w:w="2676" w:type="dxa"/>
                  <w:vAlign w:val="center"/>
                </w:tcPr>
                <w:p w14:paraId="7C3992AA">
                  <w:pPr>
                    <w:jc w:val="center"/>
                    <w:rPr>
                      <w:rFonts w:cs="Times New Roman"/>
                      <w:kern w:val="0"/>
                      <w:sz w:val="21"/>
                      <w:szCs w:val="21"/>
                    </w:rPr>
                  </w:pPr>
                  <w:r>
                    <w:rPr>
                      <w:rFonts w:hint="eastAsia" w:cs="Times New Roman"/>
                      <w:kern w:val="0"/>
                      <w:sz w:val="21"/>
                      <w:szCs w:val="21"/>
                    </w:rPr>
                    <w:t>护栏</w:t>
                  </w:r>
                </w:p>
              </w:tc>
              <w:tc>
                <w:tcPr>
                  <w:tcW w:w="706" w:type="dxa"/>
                  <w:vAlign w:val="center"/>
                </w:tcPr>
                <w:p w14:paraId="47BC84B6">
                  <w:pPr>
                    <w:jc w:val="center"/>
                    <w:rPr>
                      <w:rFonts w:cs="Times New Roman"/>
                      <w:kern w:val="0"/>
                      <w:sz w:val="21"/>
                      <w:szCs w:val="21"/>
                    </w:rPr>
                  </w:pPr>
                  <w:r>
                    <w:rPr>
                      <w:rFonts w:hint="eastAsia" w:cs="Times New Roman"/>
                      <w:kern w:val="0"/>
                      <w:sz w:val="21"/>
                      <w:szCs w:val="21"/>
                    </w:rPr>
                    <w:t>m</w:t>
                  </w:r>
                </w:p>
              </w:tc>
              <w:tc>
                <w:tcPr>
                  <w:tcW w:w="899" w:type="dxa"/>
                  <w:vAlign w:val="center"/>
                </w:tcPr>
                <w:p w14:paraId="263C04D3">
                  <w:pPr>
                    <w:jc w:val="center"/>
                    <w:rPr>
                      <w:rFonts w:cs="Times New Roman"/>
                      <w:kern w:val="0"/>
                      <w:sz w:val="21"/>
                      <w:szCs w:val="21"/>
                    </w:rPr>
                  </w:pPr>
                  <w:r>
                    <w:rPr>
                      <w:rFonts w:hint="eastAsia" w:cs="Times New Roman"/>
                      <w:kern w:val="0"/>
                      <w:sz w:val="21"/>
                      <w:szCs w:val="21"/>
                    </w:rPr>
                    <w:t>189.736</w:t>
                  </w:r>
                </w:p>
              </w:tc>
              <w:tc>
                <w:tcPr>
                  <w:tcW w:w="2638" w:type="dxa"/>
                  <w:vAlign w:val="center"/>
                </w:tcPr>
                <w:p w14:paraId="6791C9CC">
                  <w:pPr>
                    <w:jc w:val="center"/>
                    <w:rPr>
                      <w:rFonts w:cs="Times New Roman"/>
                      <w:kern w:val="0"/>
                      <w:sz w:val="21"/>
                      <w:szCs w:val="21"/>
                    </w:rPr>
                  </w:pPr>
                </w:p>
              </w:tc>
            </w:tr>
            <w:tr w14:paraId="3DD0B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A253346">
                  <w:pPr>
                    <w:jc w:val="center"/>
                    <w:rPr>
                      <w:rFonts w:cs="Times New Roman"/>
                      <w:kern w:val="0"/>
                      <w:sz w:val="21"/>
                      <w:szCs w:val="21"/>
                    </w:rPr>
                  </w:pPr>
                  <w:r>
                    <w:rPr>
                      <w:rFonts w:hint="eastAsia" w:cs="Times New Roman"/>
                      <w:kern w:val="0"/>
                      <w:sz w:val="21"/>
                      <w:szCs w:val="21"/>
                    </w:rPr>
                    <w:t>22</w:t>
                  </w:r>
                </w:p>
              </w:tc>
              <w:tc>
                <w:tcPr>
                  <w:tcW w:w="2676" w:type="dxa"/>
                  <w:vAlign w:val="center"/>
                </w:tcPr>
                <w:p w14:paraId="202CCE16">
                  <w:pPr>
                    <w:jc w:val="center"/>
                    <w:rPr>
                      <w:rFonts w:cs="Times New Roman"/>
                      <w:kern w:val="0"/>
                      <w:sz w:val="21"/>
                      <w:szCs w:val="21"/>
                    </w:rPr>
                  </w:pPr>
                  <w:r>
                    <w:rPr>
                      <w:rFonts w:hint="eastAsia" w:cs="Times New Roman"/>
                      <w:kern w:val="0"/>
                      <w:sz w:val="21"/>
                      <w:szCs w:val="21"/>
                    </w:rPr>
                    <w:t>50mm厚碎石垫层</w:t>
                  </w:r>
                </w:p>
              </w:tc>
              <w:tc>
                <w:tcPr>
                  <w:tcW w:w="706" w:type="dxa"/>
                  <w:vAlign w:val="center"/>
                </w:tcPr>
                <w:p w14:paraId="71EAEAAB">
                  <w:pPr>
                    <w:jc w:val="center"/>
                    <w:rPr>
                      <w:rFonts w:cs="Times New Roman"/>
                      <w:kern w:val="0"/>
                      <w:sz w:val="21"/>
                      <w:szCs w:val="21"/>
                    </w:rPr>
                  </w:pPr>
                  <w:r>
                    <w:rPr>
                      <w:rFonts w:hint="eastAsia" w:cs="Times New Roman"/>
                      <w:kern w:val="0"/>
                      <w:sz w:val="21"/>
                      <w:szCs w:val="21"/>
                    </w:rPr>
                    <w:t>m³</w:t>
                  </w:r>
                </w:p>
              </w:tc>
              <w:tc>
                <w:tcPr>
                  <w:tcW w:w="899" w:type="dxa"/>
                  <w:vAlign w:val="center"/>
                </w:tcPr>
                <w:p w14:paraId="5C39A9AA">
                  <w:pPr>
                    <w:jc w:val="center"/>
                    <w:rPr>
                      <w:rFonts w:cs="Times New Roman"/>
                      <w:kern w:val="0"/>
                      <w:sz w:val="21"/>
                      <w:szCs w:val="21"/>
                    </w:rPr>
                  </w:pPr>
                  <w:r>
                    <w:rPr>
                      <w:rFonts w:hint="eastAsia" w:cs="Times New Roman"/>
                      <w:kern w:val="0"/>
                      <w:sz w:val="21"/>
                      <w:szCs w:val="21"/>
                    </w:rPr>
                    <w:t>33.015</w:t>
                  </w:r>
                </w:p>
              </w:tc>
              <w:tc>
                <w:tcPr>
                  <w:tcW w:w="2638" w:type="dxa"/>
                  <w:vAlign w:val="center"/>
                </w:tcPr>
                <w:p w14:paraId="2B2ECF3A">
                  <w:pPr>
                    <w:jc w:val="center"/>
                    <w:rPr>
                      <w:rFonts w:cs="Times New Roman"/>
                      <w:kern w:val="0"/>
                      <w:sz w:val="21"/>
                      <w:szCs w:val="21"/>
                    </w:rPr>
                  </w:pPr>
                </w:p>
              </w:tc>
            </w:tr>
            <w:tr w14:paraId="607F1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29BA87BC">
                  <w:pPr>
                    <w:jc w:val="center"/>
                    <w:rPr>
                      <w:rFonts w:cs="Times New Roman"/>
                      <w:kern w:val="0"/>
                      <w:sz w:val="21"/>
                      <w:szCs w:val="21"/>
                    </w:rPr>
                  </w:pPr>
                  <w:r>
                    <w:rPr>
                      <w:rFonts w:hint="eastAsia" w:cs="Times New Roman"/>
                      <w:kern w:val="0"/>
                      <w:sz w:val="21"/>
                      <w:szCs w:val="21"/>
                    </w:rPr>
                    <w:t>23</w:t>
                  </w:r>
                </w:p>
              </w:tc>
              <w:tc>
                <w:tcPr>
                  <w:tcW w:w="2676" w:type="dxa"/>
                  <w:vAlign w:val="center"/>
                </w:tcPr>
                <w:p w14:paraId="73F60B97">
                  <w:pPr>
                    <w:jc w:val="center"/>
                    <w:rPr>
                      <w:rFonts w:cs="Times New Roman"/>
                      <w:kern w:val="0"/>
                      <w:sz w:val="21"/>
                      <w:szCs w:val="21"/>
                    </w:rPr>
                  </w:pPr>
                  <w:r>
                    <w:rPr>
                      <w:rFonts w:hint="eastAsia" w:cs="Times New Roman"/>
                      <w:kern w:val="0"/>
                      <w:sz w:val="21"/>
                      <w:szCs w:val="21"/>
                    </w:rPr>
                    <w:t>100mmC30F250 现浇混凝土</w:t>
                  </w:r>
                </w:p>
              </w:tc>
              <w:tc>
                <w:tcPr>
                  <w:tcW w:w="706" w:type="dxa"/>
                  <w:vAlign w:val="center"/>
                </w:tcPr>
                <w:p w14:paraId="412786F5">
                  <w:pPr>
                    <w:jc w:val="center"/>
                    <w:rPr>
                      <w:rFonts w:cs="Times New Roman"/>
                      <w:kern w:val="0"/>
                      <w:sz w:val="21"/>
                      <w:szCs w:val="21"/>
                    </w:rPr>
                  </w:pPr>
                  <w:r>
                    <w:rPr>
                      <w:rFonts w:hint="eastAsia" w:cs="Times New Roman"/>
                      <w:kern w:val="0"/>
                      <w:sz w:val="21"/>
                      <w:szCs w:val="21"/>
                    </w:rPr>
                    <w:t>m³</w:t>
                  </w:r>
                </w:p>
              </w:tc>
              <w:tc>
                <w:tcPr>
                  <w:tcW w:w="899" w:type="dxa"/>
                  <w:vAlign w:val="center"/>
                </w:tcPr>
                <w:p w14:paraId="24713C72">
                  <w:pPr>
                    <w:jc w:val="center"/>
                    <w:rPr>
                      <w:rFonts w:cs="Times New Roman"/>
                      <w:kern w:val="0"/>
                      <w:sz w:val="21"/>
                      <w:szCs w:val="21"/>
                    </w:rPr>
                  </w:pPr>
                  <w:r>
                    <w:rPr>
                      <w:rFonts w:hint="eastAsia" w:cs="Times New Roman"/>
                      <w:kern w:val="0"/>
                      <w:sz w:val="21"/>
                      <w:szCs w:val="21"/>
                    </w:rPr>
                    <w:t>102.595</w:t>
                  </w:r>
                </w:p>
              </w:tc>
              <w:tc>
                <w:tcPr>
                  <w:tcW w:w="2638" w:type="dxa"/>
                  <w:vAlign w:val="center"/>
                </w:tcPr>
                <w:p w14:paraId="2728BA48">
                  <w:pPr>
                    <w:jc w:val="center"/>
                    <w:rPr>
                      <w:rFonts w:cs="Times New Roman"/>
                      <w:kern w:val="0"/>
                      <w:sz w:val="21"/>
                      <w:szCs w:val="21"/>
                    </w:rPr>
                  </w:pPr>
                  <w:r>
                    <w:rPr>
                      <w:rFonts w:hint="eastAsia" w:cs="Times New Roman"/>
                      <w:kern w:val="0"/>
                      <w:sz w:val="21"/>
                      <w:szCs w:val="21"/>
                    </w:rPr>
                    <w:t>C30F250</w:t>
                  </w:r>
                </w:p>
              </w:tc>
            </w:tr>
            <w:tr w14:paraId="74F99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7" w:type="dxa"/>
                  <w:gridSpan w:val="5"/>
                  <w:vAlign w:val="center"/>
                </w:tcPr>
                <w:p w14:paraId="07CD95D4">
                  <w:pPr>
                    <w:jc w:val="center"/>
                    <w:rPr>
                      <w:rFonts w:cs="Times New Roman"/>
                      <w:b/>
                      <w:bCs/>
                      <w:kern w:val="0"/>
                      <w:sz w:val="21"/>
                      <w:szCs w:val="21"/>
                    </w:rPr>
                  </w:pPr>
                  <w:r>
                    <w:rPr>
                      <w:rFonts w:hint="eastAsia" w:cs="Times New Roman"/>
                      <w:b/>
                      <w:bCs/>
                      <w:kern w:val="0"/>
                      <w:sz w:val="21"/>
                      <w:szCs w:val="21"/>
                    </w:rPr>
                    <w:t>码头作业区实心方块结构工程量</w:t>
                  </w:r>
                </w:p>
              </w:tc>
            </w:tr>
            <w:tr w14:paraId="35585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51E11CE">
                  <w:pPr>
                    <w:jc w:val="center"/>
                    <w:rPr>
                      <w:rFonts w:cs="Times New Roman"/>
                      <w:kern w:val="0"/>
                      <w:sz w:val="21"/>
                      <w:szCs w:val="21"/>
                    </w:rPr>
                  </w:pPr>
                  <w:r>
                    <w:rPr>
                      <w:rFonts w:hint="eastAsia" w:cs="Times New Roman"/>
                      <w:kern w:val="0"/>
                      <w:sz w:val="21"/>
                      <w:szCs w:val="21"/>
                    </w:rPr>
                    <w:t>1</w:t>
                  </w:r>
                </w:p>
              </w:tc>
              <w:tc>
                <w:tcPr>
                  <w:tcW w:w="2676" w:type="dxa"/>
                  <w:vAlign w:val="center"/>
                </w:tcPr>
                <w:p w14:paraId="6D9DBF76">
                  <w:pPr>
                    <w:jc w:val="center"/>
                    <w:rPr>
                      <w:rFonts w:cs="Times New Roman"/>
                      <w:kern w:val="0"/>
                      <w:sz w:val="21"/>
                      <w:szCs w:val="21"/>
                    </w:rPr>
                  </w:pPr>
                  <w:r>
                    <w:rPr>
                      <w:rFonts w:hint="eastAsia" w:cs="Times New Roman"/>
                      <w:kern w:val="0"/>
                      <w:sz w:val="21"/>
                      <w:szCs w:val="21"/>
                    </w:rPr>
                    <w:t>现浇混凝土胸墙</w:t>
                  </w:r>
                </w:p>
              </w:tc>
              <w:tc>
                <w:tcPr>
                  <w:tcW w:w="706" w:type="dxa"/>
                  <w:vAlign w:val="center"/>
                </w:tcPr>
                <w:p w14:paraId="57C6F179">
                  <w:pPr>
                    <w:jc w:val="center"/>
                    <w:rPr>
                      <w:rFonts w:cs="Times New Roman"/>
                      <w:kern w:val="0"/>
                      <w:sz w:val="21"/>
                      <w:szCs w:val="21"/>
                    </w:rPr>
                  </w:pPr>
                  <w:r>
                    <w:rPr>
                      <w:rFonts w:hint="eastAsia" w:cs="Times New Roman"/>
                      <w:kern w:val="0"/>
                      <w:sz w:val="21"/>
                      <w:szCs w:val="21"/>
                    </w:rPr>
                    <w:t>m³</w:t>
                  </w:r>
                </w:p>
              </w:tc>
              <w:tc>
                <w:tcPr>
                  <w:tcW w:w="899" w:type="dxa"/>
                  <w:vAlign w:val="center"/>
                </w:tcPr>
                <w:p w14:paraId="062AA679">
                  <w:pPr>
                    <w:jc w:val="center"/>
                    <w:rPr>
                      <w:rFonts w:cs="Times New Roman"/>
                      <w:kern w:val="0"/>
                      <w:sz w:val="21"/>
                      <w:szCs w:val="21"/>
                    </w:rPr>
                  </w:pPr>
                  <w:r>
                    <w:rPr>
                      <w:rFonts w:hint="eastAsia" w:cs="Times New Roman"/>
                      <w:kern w:val="0"/>
                      <w:sz w:val="21"/>
                      <w:szCs w:val="21"/>
                    </w:rPr>
                    <w:t>981.75</w:t>
                  </w:r>
                </w:p>
              </w:tc>
              <w:tc>
                <w:tcPr>
                  <w:tcW w:w="2638" w:type="dxa"/>
                  <w:vAlign w:val="center"/>
                </w:tcPr>
                <w:p w14:paraId="2D411892">
                  <w:pPr>
                    <w:jc w:val="center"/>
                    <w:rPr>
                      <w:rFonts w:cs="Times New Roman"/>
                      <w:kern w:val="0"/>
                      <w:sz w:val="21"/>
                      <w:szCs w:val="21"/>
                    </w:rPr>
                  </w:pPr>
                </w:p>
              </w:tc>
            </w:tr>
            <w:tr w14:paraId="66B01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restart"/>
                  <w:vAlign w:val="center"/>
                </w:tcPr>
                <w:p w14:paraId="2999B392">
                  <w:pPr>
                    <w:jc w:val="center"/>
                    <w:rPr>
                      <w:rFonts w:cs="Times New Roman"/>
                      <w:kern w:val="0"/>
                      <w:sz w:val="21"/>
                      <w:szCs w:val="21"/>
                    </w:rPr>
                  </w:pPr>
                  <w:r>
                    <w:rPr>
                      <w:rFonts w:hint="eastAsia" w:cs="Times New Roman"/>
                      <w:kern w:val="0"/>
                      <w:sz w:val="21"/>
                      <w:szCs w:val="21"/>
                    </w:rPr>
                    <w:t>2</w:t>
                  </w:r>
                </w:p>
              </w:tc>
              <w:tc>
                <w:tcPr>
                  <w:tcW w:w="2676" w:type="dxa"/>
                  <w:vAlign w:val="center"/>
                </w:tcPr>
                <w:p w14:paraId="088AA6FC">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4A34B4D6">
                  <w:pPr>
                    <w:jc w:val="center"/>
                    <w:rPr>
                      <w:rFonts w:cs="Times New Roman"/>
                      <w:kern w:val="0"/>
                      <w:sz w:val="21"/>
                      <w:szCs w:val="21"/>
                    </w:rPr>
                  </w:pPr>
                  <w:r>
                    <w:rPr>
                      <w:rFonts w:hint="eastAsia" w:cs="Times New Roman"/>
                      <w:kern w:val="0"/>
                      <w:sz w:val="21"/>
                      <w:szCs w:val="21"/>
                    </w:rPr>
                    <w:t>个</w:t>
                  </w:r>
                </w:p>
              </w:tc>
              <w:tc>
                <w:tcPr>
                  <w:tcW w:w="899" w:type="dxa"/>
                  <w:vAlign w:val="center"/>
                </w:tcPr>
                <w:p w14:paraId="630A64C9">
                  <w:pPr>
                    <w:jc w:val="center"/>
                    <w:rPr>
                      <w:rFonts w:cs="Times New Roman"/>
                      <w:kern w:val="0"/>
                      <w:sz w:val="21"/>
                      <w:szCs w:val="21"/>
                    </w:rPr>
                  </w:pPr>
                  <w:r>
                    <w:rPr>
                      <w:rFonts w:hint="eastAsia" w:cs="Times New Roman"/>
                      <w:kern w:val="0"/>
                      <w:sz w:val="21"/>
                      <w:szCs w:val="21"/>
                    </w:rPr>
                    <w:t>12</w:t>
                  </w:r>
                </w:p>
              </w:tc>
              <w:tc>
                <w:tcPr>
                  <w:tcW w:w="2638" w:type="dxa"/>
                  <w:vMerge w:val="restart"/>
                  <w:vAlign w:val="center"/>
                </w:tcPr>
                <w:p w14:paraId="20C95434">
                  <w:pPr>
                    <w:jc w:val="center"/>
                    <w:rPr>
                      <w:rFonts w:cs="Times New Roman"/>
                      <w:kern w:val="0"/>
                      <w:sz w:val="21"/>
                      <w:szCs w:val="21"/>
                    </w:rPr>
                  </w:pPr>
                  <w:r>
                    <w:rPr>
                      <w:rFonts w:hint="eastAsia" w:cs="Times New Roman"/>
                      <w:kern w:val="0"/>
                      <w:sz w:val="21"/>
                      <w:szCs w:val="21"/>
                    </w:rPr>
                    <w:t>C30F300，4m×3m×1.6m</w:t>
                  </w:r>
                </w:p>
              </w:tc>
            </w:tr>
            <w:tr w14:paraId="30D22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F2B91EC">
                  <w:pPr>
                    <w:jc w:val="center"/>
                    <w:rPr>
                      <w:rFonts w:cs="Times New Roman"/>
                      <w:kern w:val="0"/>
                      <w:sz w:val="21"/>
                      <w:szCs w:val="21"/>
                    </w:rPr>
                  </w:pPr>
                </w:p>
              </w:tc>
              <w:tc>
                <w:tcPr>
                  <w:tcW w:w="2676" w:type="dxa"/>
                  <w:vAlign w:val="center"/>
                </w:tcPr>
                <w:p w14:paraId="1589B2F9">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5EA3C2B0">
                  <w:pPr>
                    <w:jc w:val="center"/>
                    <w:rPr>
                      <w:rFonts w:cs="Times New Roman"/>
                      <w:kern w:val="0"/>
                      <w:sz w:val="21"/>
                      <w:szCs w:val="21"/>
                    </w:rPr>
                  </w:pPr>
                  <w:r>
                    <w:rPr>
                      <w:rFonts w:hint="eastAsia" w:cs="Times New Roman"/>
                      <w:kern w:val="0"/>
                      <w:sz w:val="21"/>
                      <w:szCs w:val="21"/>
                    </w:rPr>
                    <w:t>m³</w:t>
                  </w:r>
                </w:p>
              </w:tc>
              <w:tc>
                <w:tcPr>
                  <w:tcW w:w="899" w:type="dxa"/>
                  <w:vAlign w:val="center"/>
                </w:tcPr>
                <w:p w14:paraId="4B70B7AC">
                  <w:pPr>
                    <w:jc w:val="center"/>
                    <w:rPr>
                      <w:rFonts w:cs="Times New Roman"/>
                      <w:kern w:val="0"/>
                      <w:sz w:val="21"/>
                      <w:szCs w:val="21"/>
                    </w:rPr>
                  </w:pPr>
                  <w:r>
                    <w:rPr>
                      <w:rFonts w:hint="eastAsia" w:cs="Times New Roman"/>
                      <w:kern w:val="0"/>
                      <w:sz w:val="21"/>
                      <w:szCs w:val="21"/>
                    </w:rPr>
                    <w:t>230.4</w:t>
                  </w:r>
                </w:p>
              </w:tc>
              <w:tc>
                <w:tcPr>
                  <w:tcW w:w="2638" w:type="dxa"/>
                  <w:vMerge w:val="continue"/>
                  <w:vAlign w:val="center"/>
                </w:tcPr>
                <w:p w14:paraId="3E43243E">
                  <w:pPr>
                    <w:jc w:val="center"/>
                    <w:rPr>
                      <w:rFonts w:cs="Times New Roman"/>
                      <w:kern w:val="0"/>
                      <w:sz w:val="21"/>
                      <w:szCs w:val="21"/>
                    </w:rPr>
                  </w:pPr>
                </w:p>
              </w:tc>
            </w:tr>
            <w:tr w14:paraId="5877B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0363DD8">
                  <w:pPr>
                    <w:jc w:val="center"/>
                    <w:rPr>
                      <w:rFonts w:cs="Times New Roman"/>
                      <w:kern w:val="0"/>
                      <w:sz w:val="21"/>
                      <w:szCs w:val="21"/>
                    </w:rPr>
                  </w:pPr>
                </w:p>
              </w:tc>
              <w:tc>
                <w:tcPr>
                  <w:tcW w:w="2676" w:type="dxa"/>
                  <w:vAlign w:val="center"/>
                </w:tcPr>
                <w:p w14:paraId="1BEF6DF9">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4B5AAF84">
                  <w:pPr>
                    <w:jc w:val="center"/>
                    <w:rPr>
                      <w:rFonts w:cs="Times New Roman"/>
                      <w:kern w:val="0"/>
                      <w:sz w:val="21"/>
                      <w:szCs w:val="21"/>
                    </w:rPr>
                  </w:pPr>
                  <w:r>
                    <w:rPr>
                      <w:rFonts w:hint="eastAsia" w:cs="Times New Roman"/>
                      <w:kern w:val="0"/>
                      <w:sz w:val="21"/>
                      <w:szCs w:val="21"/>
                    </w:rPr>
                    <w:t>个</w:t>
                  </w:r>
                </w:p>
              </w:tc>
              <w:tc>
                <w:tcPr>
                  <w:tcW w:w="899" w:type="dxa"/>
                  <w:vAlign w:val="center"/>
                </w:tcPr>
                <w:p w14:paraId="710C2E6C">
                  <w:pPr>
                    <w:jc w:val="center"/>
                    <w:rPr>
                      <w:rFonts w:cs="Times New Roman"/>
                      <w:kern w:val="0"/>
                      <w:sz w:val="21"/>
                      <w:szCs w:val="21"/>
                    </w:rPr>
                  </w:pPr>
                  <w:r>
                    <w:rPr>
                      <w:rFonts w:hint="eastAsia" w:cs="Times New Roman"/>
                      <w:kern w:val="0"/>
                      <w:sz w:val="21"/>
                      <w:szCs w:val="21"/>
                    </w:rPr>
                    <w:t>38</w:t>
                  </w:r>
                </w:p>
              </w:tc>
              <w:tc>
                <w:tcPr>
                  <w:tcW w:w="2638" w:type="dxa"/>
                  <w:vMerge w:val="restart"/>
                  <w:vAlign w:val="center"/>
                </w:tcPr>
                <w:p w14:paraId="7B5DCC68">
                  <w:pPr>
                    <w:jc w:val="center"/>
                    <w:rPr>
                      <w:rFonts w:cs="Times New Roman"/>
                      <w:kern w:val="0"/>
                      <w:sz w:val="21"/>
                      <w:szCs w:val="21"/>
                    </w:rPr>
                  </w:pPr>
                  <w:r>
                    <w:rPr>
                      <w:rFonts w:hint="eastAsia" w:cs="Times New Roman"/>
                      <w:kern w:val="0"/>
                      <w:sz w:val="21"/>
                      <w:szCs w:val="21"/>
                    </w:rPr>
                    <w:t>C30F300，4m×2m×1.6m</w:t>
                  </w:r>
                </w:p>
              </w:tc>
            </w:tr>
            <w:tr w14:paraId="46584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F78F669">
                  <w:pPr>
                    <w:jc w:val="center"/>
                    <w:rPr>
                      <w:rFonts w:cs="Times New Roman"/>
                      <w:kern w:val="0"/>
                      <w:sz w:val="21"/>
                      <w:szCs w:val="21"/>
                    </w:rPr>
                  </w:pPr>
                </w:p>
              </w:tc>
              <w:tc>
                <w:tcPr>
                  <w:tcW w:w="2676" w:type="dxa"/>
                  <w:vAlign w:val="center"/>
                </w:tcPr>
                <w:p w14:paraId="0E920C57">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13F01231">
                  <w:pPr>
                    <w:jc w:val="center"/>
                    <w:rPr>
                      <w:rFonts w:cs="Times New Roman"/>
                      <w:kern w:val="0"/>
                      <w:sz w:val="21"/>
                      <w:szCs w:val="21"/>
                    </w:rPr>
                  </w:pPr>
                  <w:r>
                    <w:rPr>
                      <w:rFonts w:hint="eastAsia" w:cs="Times New Roman"/>
                      <w:kern w:val="0"/>
                      <w:sz w:val="21"/>
                      <w:szCs w:val="21"/>
                    </w:rPr>
                    <w:t>m³</w:t>
                  </w:r>
                </w:p>
              </w:tc>
              <w:tc>
                <w:tcPr>
                  <w:tcW w:w="899" w:type="dxa"/>
                  <w:vAlign w:val="center"/>
                </w:tcPr>
                <w:p w14:paraId="7BF69832">
                  <w:pPr>
                    <w:jc w:val="center"/>
                    <w:rPr>
                      <w:rFonts w:cs="Times New Roman"/>
                      <w:kern w:val="0"/>
                      <w:sz w:val="21"/>
                      <w:szCs w:val="21"/>
                    </w:rPr>
                  </w:pPr>
                  <w:r>
                    <w:rPr>
                      <w:rFonts w:hint="eastAsia" w:cs="Times New Roman"/>
                      <w:kern w:val="0"/>
                      <w:sz w:val="21"/>
                      <w:szCs w:val="21"/>
                    </w:rPr>
                    <w:t>486.4</w:t>
                  </w:r>
                </w:p>
              </w:tc>
              <w:tc>
                <w:tcPr>
                  <w:tcW w:w="2638" w:type="dxa"/>
                  <w:vMerge w:val="continue"/>
                  <w:vAlign w:val="center"/>
                </w:tcPr>
                <w:p w14:paraId="3E39B16C">
                  <w:pPr>
                    <w:jc w:val="center"/>
                    <w:rPr>
                      <w:rFonts w:cs="Times New Roman"/>
                      <w:kern w:val="0"/>
                      <w:sz w:val="21"/>
                      <w:szCs w:val="21"/>
                    </w:rPr>
                  </w:pPr>
                </w:p>
              </w:tc>
            </w:tr>
            <w:tr w14:paraId="344EF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7E8A2420">
                  <w:pPr>
                    <w:jc w:val="center"/>
                    <w:rPr>
                      <w:rFonts w:cs="Times New Roman"/>
                      <w:kern w:val="0"/>
                      <w:sz w:val="21"/>
                      <w:szCs w:val="21"/>
                    </w:rPr>
                  </w:pPr>
                </w:p>
              </w:tc>
              <w:tc>
                <w:tcPr>
                  <w:tcW w:w="2676" w:type="dxa"/>
                  <w:vAlign w:val="center"/>
                </w:tcPr>
                <w:p w14:paraId="1498D437">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46120DBC">
                  <w:pPr>
                    <w:jc w:val="center"/>
                    <w:rPr>
                      <w:rFonts w:cs="Times New Roman"/>
                      <w:kern w:val="0"/>
                      <w:sz w:val="21"/>
                      <w:szCs w:val="21"/>
                    </w:rPr>
                  </w:pPr>
                  <w:r>
                    <w:rPr>
                      <w:rFonts w:hint="eastAsia" w:cs="Times New Roman"/>
                      <w:kern w:val="0"/>
                      <w:sz w:val="21"/>
                      <w:szCs w:val="21"/>
                    </w:rPr>
                    <w:t>个</w:t>
                  </w:r>
                </w:p>
              </w:tc>
              <w:tc>
                <w:tcPr>
                  <w:tcW w:w="899" w:type="dxa"/>
                  <w:vAlign w:val="center"/>
                </w:tcPr>
                <w:p w14:paraId="3DA5B146">
                  <w:pPr>
                    <w:jc w:val="center"/>
                    <w:rPr>
                      <w:rFonts w:cs="Times New Roman"/>
                      <w:kern w:val="0"/>
                      <w:sz w:val="21"/>
                      <w:szCs w:val="21"/>
                    </w:rPr>
                  </w:pPr>
                  <w:r>
                    <w:rPr>
                      <w:rFonts w:hint="eastAsia" w:cs="Times New Roman"/>
                      <w:kern w:val="0"/>
                      <w:sz w:val="21"/>
                      <w:szCs w:val="21"/>
                    </w:rPr>
                    <w:t>15</w:t>
                  </w:r>
                </w:p>
              </w:tc>
              <w:tc>
                <w:tcPr>
                  <w:tcW w:w="2638" w:type="dxa"/>
                  <w:vMerge w:val="restart"/>
                  <w:vAlign w:val="center"/>
                </w:tcPr>
                <w:p w14:paraId="188EAB51">
                  <w:pPr>
                    <w:jc w:val="center"/>
                    <w:rPr>
                      <w:rFonts w:cs="Times New Roman"/>
                      <w:kern w:val="0"/>
                      <w:sz w:val="21"/>
                      <w:szCs w:val="21"/>
                    </w:rPr>
                  </w:pPr>
                  <w:r>
                    <w:rPr>
                      <w:rFonts w:hint="eastAsia" w:cs="Times New Roman"/>
                      <w:kern w:val="0"/>
                      <w:sz w:val="21"/>
                      <w:szCs w:val="21"/>
                    </w:rPr>
                    <w:t>C30F300，3.55m×3m×1.6m</w:t>
                  </w:r>
                </w:p>
              </w:tc>
            </w:tr>
            <w:tr w14:paraId="4C327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219670D7">
                  <w:pPr>
                    <w:jc w:val="center"/>
                    <w:rPr>
                      <w:rFonts w:cs="Times New Roman"/>
                      <w:kern w:val="0"/>
                      <w:sz w:val="21"/>
                      <w:szCs w:val="21"/>
                    </w:rPr>
                  </w:pPr>
                </w:p>
              </w:tc>
              <w:tc>
                <w:tcPr>
                  <w:tcW w:w="2676" w:type="dxa"/>
                  <w:vAlign w:val="center"/>
                </w:tcPr>
                <w:p w14:paraId="2373ACF7">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27BF56CD">
                  <w:pPr>
                    <w:jc w:val="center"/>
                    <w:rPr>
                      <w:rFonts w:cs="Times New Roman"/>
                      <w:kern w:val="0"/>
                      <w:sz w:val="21"/>
                      <w:szCs w:val="21"/>
                    </w:rPr>
                  </w:pPr>
                  <w:r>
                    <w:rPr>
                      <w:rFonts w:hint="eastAsia" w:cs="Times New Roman"/>
                      <w:kern w:val="0"/>
                      <w:sz w:val="21"/>
                      <w:szCs w:val="21"/>
                    </w:rPr>
                    <w:t>m³</w:t>
                  </w:r>
                </w:p>
              </w:tc>
              <w:tc>
                <w:tcPr>
                  <w:tcW w:w="899" w:type="dxa"/>
                  <w:vAlign w:val="center"/>
                </w:tcPr>
                <w:p w14:paraId="7271AC7E">
                  <w:pPr>
                    <w:jc w:val="center"/>
                    <w:rPr>
                      <w:rFonts w:cs="Times New Roman"/>
                      <w:kern w:val="0"/>
                      <w:sz w:val="21"/>
                      <w:szCs w:val="21"/>
                    </w:rPr>
                  </w:pPr>
                  <w:r>
                    <w:rPr>
                      <w:rFonts w:hint="eastAsia" w:cs="Times New Roman"/>
                      <w:kern w:val="0"/>
                      <w:sz w:val="21"/>
                      <w:szCs w:val="21"/>
                    </w:rPr>
                    <w:t>255.6</w:t>
                  </w:r>
                </w:p>
              </w:tc>
              <w:tc>
                <w:tcPr>
                  <w:tcW w:w="2638" w:type="dxa"/>
                  <w:vMerge w:val="continue"/>
                  <w:vAlign w:val="center"/>
                </w:tcPr>
                <w:p w14:paraId="0DF35C8E">
                  <w:pPr>
                    <w:jc w:val="center"/>
                    <w:rPr>
                      <w:rFonts w:cs="Times New Roman"/>
                      <w:kern w:val="0"/>
                      <w:sz w:val="21"/>
                      <w:szCs w:val="21"/>
                    </w:rPr>
                  </w:pPr>
                </w:p>
              </w:tc>
            </w:tr>
            <w:tr w14:paraId="18C31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DBD3387">
                  <w:pPr>
                    <w:jc w:val="center"/>
                    <w:rPr>
                      <w:rFonts w:cs="Times New Roman"/>
                      <w:kern w:val="0"/>
                      <w:sz w:val="21"/>
                      <w:szCs w:val="21"/>
                    </w:rPr>
                  </w:pPr>
                </w:p>
              </w:tc>
              <w:tc>
                <w:tcPr>
                  <w:tcW w:w="2676" w:type="dxa"/>
                  <w:vAlign w:val="center"/>
                </w:tcPr>
                <w:p w14:paraId="2E6E803C">
                  <w:pPr>
                    <w:jc w:val="center"/>
                    <w:rPr>
                      <w:rFonts w:cs="Times New Roman"/>
                      <w:kern w:val="0"/>
                      <w:sz w:val="21"/>
                      <w:szCs w:val="21"/>
                    </w:rPr>
                  </w:pPr>
                  <w:r>
                    <w:rPr>
                      <w:rFonts w:hint="eastAsia" w:cs="Times New Roman"/>
                      <w:kern w:val="0"/>
                      <w:sz w:val="21"/>
                      <w:szCs w:val="21"/>
                    </w:rPr>
                    <w:t>预制混凝土方块4</w:t>
                  </w:r>
                </w:p>
              </w:tc>
              <w:tc>
                <w:tcPr>
                  <w:tcW w:w="706" w:type="dxa"/>
                  <w:vAlign w:val="center"/>
                </w:tcPr>
                <w:p w14:paraId="603A4E7E">
                  <w:pPr>
                    <w:jc w:val="center"/>
                    <w:rPr>
                      <w:rFonts w:cs="Times New Roman"/>
                      <w:kern w:val="0"/>
                      <w:sz w:val="21"/>
                      <w:szCs w:val="21"/>
                    </w:rPr>
                  </w:pPr>
                  <w:r>
                    <w:rPr>
                      <w:rFonts w:hint="eastAsia" w:cs="Times New Roman"/>
                      <w:kern w:val="0"/>
                      <w:sz w:val="21"/>
                      <w:szCs w:val="21"/>
                    </w:rPr>
                    <w:t>个</w:t>
                  </w:r>
                </w:p>
              </w:tc>
              <w:tc>
                <w:tcPr>
                  <w:tcW w:w="899" w:type="dxa"/>
                  <w:vAlign w:val="center"/>
                </w:tcPr>
                <w:p w14:paraId="37E229AA">
                  <w:pPr>
                    <w:jc w:val="center"/>
                    <w:rPr>
                      <w:rFonts w:cs="Times New Roman"/>
                      <w:kern w:val="0"/>
                      <w:sz w:val="21"/>
                      <w:szCs w:val="21"/>
                    </w:rPr>
                  </w:pPr>
                  <w:r>
                    <w:rPr>
                      <w:rFonts w:hint="eastAsia" w:cs="Times New Roman"/>
                      <w:kern w:val="0"/>
                      <w:sz w:val="21"/>
                      <w:szCs w:val="21"/>
                    </w:rPr>
                    <w:t>45</w:t>
                  </w:r>
                </w:p>
              </w:tc>
              <w:tc>
                <w:tcPr>
                  <w:tcW w:w="2638" w:type="dxa"/>
                  <w:vMerge w:val="restart"/>
                  <w:vAlign w:val="center"/>
                </w:tcPr>
                <w:p w14:paraId="7A653C31">
                  <w:pPr>
                    <w:jc w:val="center"/>
                    <w:rPr>
                      <w:rFonts w:cs="Times New Roman"/>
                      <w:kern w:val="0"/>
                      <w:sz w:val="21"/>
                      <w:szCs w:val="21"/>
                    </w:rPr>
                  </w:pPr>
                  <w:r>
                    <w:rPr>
                      <w:rFonts w:hint="eastAsia" w:cs="Times New Roman"/>
                      <w:kern w:val="0"/>
                      <w:sz w:val="21"/>
                      <w:szCs w:val="21"/>
                    </w:rPr>
                    <w:t>C30F300，3.55m×2m×1.6m</w:t>
                  </w:r>
                </w:p>
              </w:tc>
            </w:tr>
            <w:tr w14:paraId="78FBF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24D664AA">
                  <w:pPr>
                    <w:jc w:val="center"/>
                    <w:rPr>
                      <w:rFonts w:cs="Times New Roman"/>
                      <w:kern w:val="0"/>
                      <w:sz w:val="21"/>
                      <w:szCs w:val="21"/>
                    </w:rPr>
                  </w:pPr>
                </w:p>
              </w:tc>
              <w:tc>
                <w:tcPr>
                  <w:tcW w:w="2676" w:type="dxa"/>
                  <w:vAlign w:val="center"/>
                </w:tcPr>
                <w:p w14:paraId="4FE08C8C">
                  <w:pPr>
                    <w:jc w:val="center"/>
                    <w:rPr>
                      <w:rFonts w:cs="Times New Roman"/>
                      <w:kern w:val="0"/>
                      <w:sz w:val="21"/>
                      <w:szCs w:val="21"/>
                    </w:rPr>
                  </w:pPr>
                  <w:r>
                    <w:rPr>
                      <w:rFonts w:hint="eastAsia" w:cs="Times New Roman"/>
                      <w:kern w:val="0"/>
                      <w:sz w:val="21"/>
                      <w:szCs w:val="21"/>
                    </w:rPr>
                    <w:t>预制混凝土方块4</w:t>
                  </w:r>
                </w:p>
              </w:tc>
              <w:tc>
                <w:tcPr>
                  <w:tcW w:w="706" w:type="dxa"/>
                  <w:vAlign w:val="center"/>
                </w:tcPr>
                <w:p w14:paraId="747CB8F0">
                  <w:pPr>
                    <w:jc w:val="center"/>
                    <w:rPr>
                      <w:rFonts w:cs="Times New Roman"/>
                      <w:kern w:val="0"/>
                      <w:sz w:val="21"/>
                      <w:szCs w:val="21"/>
                    </w:rPr>
                  </w:pPr>
                  <w:r>
                    <w:rPr>
                      <w:rFonts w:hint="eastAsia" w:cs="Times New Roman"/>
                      <w:kern w:val="0"/>
                      <w:sz w:val="21"/>
                      <w:szCs w:val="21"/>
                    </w:rPr>
                    <w:t>m³</w:t>
                  </w:r>
                </w:p>
              </w:tc>
              <w:tc>
                <w:tcPr>
                  <w:tcW w:w="899" w:type="dxa"/>
                  <w:vAlign w:val="center"/>
                </w:tcPr>
                <w:p w14:paraId="6FCFC679">
                  <w:pPr>
                    <w:jc w:val="center"/>
                    <w:rPr>
                      <w:rFonts w:cs="Times New Roman"/>
                      <w:kern w:val="0"/>
                      <w:sz w:val="21"/>
                      <w:szCs w:val="21"/>
                    </w:rPr>
                  </w:pPr>
                  <w:r>
                    <w:rPr>
                      <w:rFonts w:hint="eastAsia" w:cs="Times New Roman"/>
                      <w:kern w:val="0"/>
                      <w:sz w:val="21"/>
                      <w:szCs w:val="21"/>
                    </w:rPr>
                    <w:t>511.2</w:t>
                  </w:r>
                </w:p>
              </w:tc>
              <w:tc>
                <w:tcPr>
                  <w:tcW w:w="2638" w:type="dxa"/>
                  <w:vMerge w:val="continue"/>
                  <w:vAlign w:val="center"/>
                </w:tcPr>
                <w:p w14:paraId="10FDF065">
                  <w:pPr>
                    <w:jc w:val="center"/>
                    <w:rPr>
                      <w:rFonts w:cs="Times New Roman"/>
                      <w:kern w:val="0"/>
                      <w:sz w:val="21"/>
                      <w:szCs w:val="21"/>
                    </w:rPr>
                  </w:pPr>
                </w:p>
              </w:tc>
            </w:tr>
            <w:tr w14:paraId="278ED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4F07F79">
                  <w:pPr>
                    <w:jc w:val="center"/>
                    <w:rPr>
                      <w:rFonts w:cs="Times New Roman"/>
                      <w:kern w:val="0"/>
                      <w:sz w:val="21"/>
                      <w:szCs w:val="21"/>
                    </w:rPr>
                  </w:pPr>
                </w:p>
              </w:tc>
              <w:tc>
                <w:tcPr>
                  <w:tcW w:w="2676" w:type="dxa"/>
                  <w:vAlign w:val="center"/>
                </w:tcPr>
                <w:p w14:paraId="1956F60A">
                  <w:pPr>
                    <w:jc w:val="center"/>
                    <w:rPr>
                      <w:rFonts w:cs="Times New Roman"/>
                      <w:kern w:val="0"/>
                      <w:sz w:val="21"/>
                      <w:szCs w:val="21"/>
                    </w:rPr>
                  </w:pPr>
                  <w:r>
                    <w:rPr>
                      <w:rFonts w:hint="eastAsia" w:cs="Times New Roman"/>
                      <w:kern w:val="0"/>
                      <w:sz w:val="21"/>
                      <w:szCs w:val="21"/>
                    </w:rPr>
                    <w:t>预制混凝土方块5</w:t>
                  </w:r>
                </w:p>
              </w:tc>
              <w:tc>
                <w:tcPr>
                  <w:tcW w:w="706" w:type="dxa"/>
                  <w:vAlign w:val="center"/>
                </w:tcPr>
                <w:p w14:paraId="38299023">
                  <w:pPr>
                    <w:jc w:val="center"/>
                    <w:rPr>
                      <w:rFonts w:cs="Times New Roman"/>
                      <w:kern w:val="0"/>
                      <w:sz w:val="21"/>
                      <w:szCs w:val="21"/>
                    </w:rPr>
                  </w:pPr>
                  <w:r>
                    <w:rPr>
                      <w:rFonts w:hint="eastAsia" w:cs="Times New Roman"/>
                      <w:kern w:val="0"/>
                      <w:sz w:val="21"/>
                      <w:szCs w:val="21"/>
                    </w:rPr>
                    <w:t>个</w:t>
                  </w:r>
                </w:p>
              </w:tc>
              <w:tc>
                <w:tcPr>
                  <w:tcW w:w="899" w:type="dxa"/>
                  <w:vAlign w:val="center"/>
                </w:tcPr>
                <w:p w14:paraId="2D8B5287">
                  <w:pPr>
                    <w:jc w:val="center"/>
                    <w:rPr>
                      <w:rFonts w:cs="Times New Roman"/>
                      <w:kern w:val="0"/>
                      <w:sz w:val="21"/>
                      <w:szCs w:val="21"/>
                    </w:rPr>
                  </w:pPr>
                  <w:r>
                    <w:rPr>
                      <w:rFonts w:hint="eastAsia" w:cs="Times New Roman"/>
                      <w:kern w:val="0"/>
                      <w:sz w:val="21"/>
                      <w:szCs w:val="21"/>
                    </w:rPr>
                    <w:t>6</w:t>
                  </w:r>
                </w:p>
              </w:tc>
              <w:tc>
                <w:tcPr>
                  <w:tcW w:w="2638" w:type="dxa"/>
                  <w:vMerge w:val="restart"/>
                  <w:vAlign w:val="center"/>
                </w:tcPr>
                <w:p w14:paraId="54E9C747">
                  <w:pPr>
                    <w:jc w:val="center"/>
                    <w:rPr>
                      <w:rFonts w:cs="Times New Roman"/>
                      <w:kern w:val="0"/>
                      <w:sz w:val="21"/>
                      <w:szCs w:val="21"/>
                    </w:rPr>
                  </w:pPr>
                  <w:r>
                    <w:rPr>
                      <w:rFonts w:hint="eastAsia" w:cs="Times New Roman"/>
                      <w:kern w:val="0"/>
                      <w:sz w:val="21"/>
                      <w:szCs w:val="21"/>
                    </w:rPr>
                    <w:t>C30F300，3m×2.05m×1.6m</w:t>
                  </w:r>
                </w:p>
              </w:tc>
            </w:tr>
            <w:tr w14:paraId="4FBA9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439D6D2B">
                  <w:pPr>
                    <w:jc w:val="center"/>
                    <w:rPr>
                      <w:rFonts w:cs="Times New Roman"/>
                      <w:kern w:val="0"/>
                      <w:sz w:val="21"/>
                      <w:szCs w:val="21"/>
                    </w:rPr>
                  </w:pPr>
                </w:p>
              </w:tc>
              <w:tc>
                <w:tcPr>
                  <w:tcW w:w="2676" w:type="dxa"/>
                  <w:vAlign w:val="center"/>
                </w:tcPr>
                <w:p w14:paraId="0971F53F">
                  <w:pPr>
                    <w:jc w:val="center"/>
                    <w:rPr>
                      <w:rFonts w:cs="Times New Roman"/>
                      <w:kern w:val="0"/>
                      <w:sz w:val="21"/>
                      <w:szCs w:val="21"/>
                    </w:rPr>
                  </w:pPr>
                  <w:r>
                    <w:rPr>
                      <w:rFonts w:hint="eastAsia" w:cs="Times New Roman"/>
                      <w:kern w:val="0"/>
                      <w:sz w:val="21"/>
                      <w:szCs w:val="21"/>
                    </w:rPr>
                    <w:t>预制混凝土方块5</w:t>
                  </w:r>
                </w:p>
              </w:tc>
              <w:tc>
                <w:tcPr>
                  <w:tcW w:w="706" w:type="dxa"/>
                  <w:vAlign w:val="center"/>
                </w:tcPr>
                <w:p w14:paraId="73DA3791">
                  <w:pPr>
                    <w:jc w:val="center"/>
                    <w:rPr>
                      <w:rFonts w:cs="Times New Roman"/>
                      <w:kern w:val="0"/>
                      <w:sz w:val="21"/>
                      <w:szCs w:val="21"/>
                    </w:rPr>
                  </w:pPr>
                  <w:r>
                    <w:rPr>
                      <w:rFonts w:hint="eastAsia" w:cs="Times New Roman"/>
                      <w:kern w:val="0"/>
                      <w:sz w:val="21"/>
                      <w:szCs w:val="21"/>
                    </w:rPr>
                    <w:t>m³</w:t>
                  </w:r>
                </w:p>
              </w:tc>
              <w:tc>
                <w:tcPr>
                  <w:tcW w:w="899" w:type="dxa"/>
                  <w:vAlign w:val="center"/>
                </w:tcPr>
                <w:p w14:paraId="1592B309">
                  <w:pPr>
                    <w:jc w:val="center"/>
                    <w:rPr>
                      <w:rFonts w:cs="Times New Roman"/>
                      <w:kern w:val="0"/>
                      <w:sz w:val="21"/>
                      <w:szCs w:val="21"/>
                    </w:rPr>
                  </w:pPr>
                  <w:r>
                    <w:rPr>
                      <w:rFonts w:hint="eastAsia" w:cs="Times New Roman"/>
                      <w:kern w:val="0"/>
                      <w:sz w:val="21"/>
                      <w:szCs w:val="21"/>
                    </w:rPr>
                    <w:t>59.04</w:t>
                  </w:r>
                </w:p>
              </w:tc>
              <w:tc>
                <w:tcPr>
                  <w:tcW w:w="2638" w:type="dxa"/>
                  <w:vMerge w:val="continue"/>
                  <w:vAlign w:val="center"/>
                </w:tcPr>
                <w:p w14:paraId="37EB0F66">
                  <w:pPr>
                    <w:jc w:val="center"/>
                    <w:rPr>
                      <w:rFonts w:cs="Times New Roman"/>
                      <w:kern w:val="0"/>
                      <w:sz w:val="21"/>
                      <w:szCs w:val="21"/>
                    </w:rPr>
                  </w:pPr>
                </w:p>
              </w:tc>
            </w:tr>
            <w:tr w14:paraId="69A72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70438F88">
                  <w:pPr>
                    <w:jc w:val="center"/>
                    <w:rPr>
                      <w:rFonts w:cs="Times New Roman"/>
                      <w:kern w:val="0"/>
                      <w:sz w:val="21"/>
                      <w:szCs w:val="21"/>
                    </w:rPr>
                  </w:pPr>
                </w:p>
              </w:tc>
              <w:tc>
                <w:tcPr>
                  <w:tcW w:w="2676" w:type="dxa"/>
                  <w:vAlign w:val="center"/>
                </w:tcPr>
                <w:p w14:paraId="6AE64745">
                  <w:pPr>
                    <w:jc w:val="center"/>
                    <w:rPr>
                      <w:rFonts w:cs="Times New Roman"/>
                      <w:kern w:val="0"/>
                      <w:sz w:val="21"/>
                      <w:szCs w:val="21"/>
                    </w:rPr>
                  </w:pPr>
                  <w:r>
                    <w:rPr>
                      <w:rFonts w:hint="eastAsia" w:cs="Times New Roman"/>
                      <w:kern w:val="0"/>
                      <w:sz w:val="21"/>
                      <w:szCs w:val="21"/>
                    </w:rPr>
                    <w:t>预制混凝土方块6</w:t>
                  </w:r>
                </w:p>
              </w:tc>
              <w:tc>
                <w:tcPr>
                  <w:tcW w:w="706" w:type="dxa"/>
                  <w:vAlign w:val="center"/>
                </w:tcPr>
                <w:p w14:paraId="1F490D71">
                  <w:pPr>
                    <w:jc w:val="center"/>
                    <w:rPr>
                      <w:rFonts w:cs="Times New Roman"/>
                      <w:kern w:val="0"/>
                      <w:sz w:val="21"/>
                      <w:szCs w:val="21"/>
                    </w:rPr>
                  </w:pPr>
                  <w:r>
                    <w:rPr>
                      <w:rFonts w:hint="eastAsia" w:cs="Times New Roman"/>
                      <w:kern w:val="0"/>
                      <w:sz w:val="21"/>
                      <w:szCs w:val="21"/>
                    </w:rPr>
                    <w:t>个</w:t>
                  </w:r>
                </w:p>
              </w:tc>
              <w:tc>
                <w:tcPr>
                  <w:tcW w:w="899" w:type="dxa"/>
                  <w:vAlign w:val="center"/>
                </w:tcPr>
                <w:p w14:paraId="509566C4">
                  <w:pPr>
                    <w:jc w:val="center"/>
                    <w:rPr>
                      <w:rFonts w:cs="Times New Roman"/>
                      <w:kern w:val="0"/>
                      <w:sz w:val="21"/>
                      <w:szCs w:val="21"/>
                    </w:rPr>
                  </w:pPr>
                  <w:r>
                    <w:rPr>
                      <w:rFonts w:hint="eastAsia" w:cs="Times New Roman"/>
                      <w:kern w:val="0"/>
                      <w:sz w:val="21"/>
                      <w:szCs w:val="21"/>
                    </w:rPr>
                    <w:t>15</w:t>
                  </w:r>
                </w:p>
              </w:tc>
              <w:tc>
                <w:tcPr>
                  <w:tcW w:w="2638" w:type="dxa"/>
                  <w:vMerge w:val="restart"/>
                  <w:vAlign w:val="center"/>
                </w:tcPr>
                <w:p w14:paraId="0E944852">
                  <w:pPr>
                    <w:jc w:val="center"/>
                    <w:rPr>
                      <w:rFonts w:cs="Times New Roman"/>
                      <w:kern w:val="0"/>
                      <w:sz w:val="21"/>
                      <w:szCs w:val="21"/>
                    </w:rPr>
                  </w:pPr>
                  <w:r>
                    <w:rPr>
                      <w:rFonts w:hint="eastAsia" w:cs="Times New Roman"/>
                      <w:kern w:val="0"/>
                      <w:sz w:val="21"/>
                      <w:szCs w:val="21"/>
                    </w:rPr>
                    <w:t>C30F300，2.05m×2m×1.6m</w:t>
                  </w:r>
                </w:p>
              </w:tc>
            </w:tr>
            <w:tr w14:paraId="0A979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1290E201">
                  <w:pPr>
                    <w:jc w:val="center"/>
                    <w:rPr>
                      <w:rFonts w:cs="Times New Roman"/>
                      <w:kern w:val="0"/>
                      <w:sz w:val="21"/>
                      <w:szCs w:val="21"/>
                    </w:rPr>
                  </w:pPr>
                </w:p>
              </w:tc>
              <w:tc>
                <w:tcPr>
                  <w:tcW w:w="2676" w:type="dxa"/>
                  <w:vAlign w:val="center"/>
                </w:tcPr>
                <w:p w14:paraId="5B3AFCFB">
                  <w:pPr>
                    <w:jc w:val="center"/>
                    <w:rPr>
                      <w:rFonts w:cs="Times New Roman"/>
                      <w:kern w:val="0"/>
                      <w:sz w:val="21"/>
                      <w:szCs w:val="21"/>
                    </w:rPr>
                  </w:pPr>
                  <w:r>
                    <w:rPr>
                      <w:rFonts w:hint="eastAsia" w:cs="Times New Roman"/>
                      <w:kern w:val="0"/>
                      <w:sz w:val="21"/>
                      <w:szCs w:val="21"/>
                    </w:rPr>
                    <w:t>预制混凝土方块6</w:t>
                  </w:r>
                </w:p>
              </w:tc>
              <w:tc>
                <w:tcPr>
                  <w:tcW w:w="706" w:type="dxa"/>
                  <w:vAlign w:val="center"/>
                </w:tcPr>
                <w:p w14:paraId="01080101">
                  <w:pPr>
                    <w:jc w:val="center"/>
                    <w:rPr>
                      <w:rFonts w:cs="Times New Roman"/>
                      <w:kern w:val="0"/>
                      <w:sz w:val="21"/>
                      <w:szCs w:val="21"/>
                    </w:rPr>
                  </w:pPr>
                  <w:r>
                    <w:rPr>
                      <w:rFonts w:hint="eastAsia" w:cs="Times New Roman"/>
                      <w:kern w:val="0"/>
                      <w:sz w:val="21"/>
                      <w:szCs w:val="21"/>
                    </w:rPr>
                    <w:t>m³</w:t>
                  </w:r>
                </w:p>
              </w:tc>
              <w:tc>
                <w:tcPr>
                  <w:tcW w:w="899" w:type="dxa"/>
                  <w:vAlign w:val="center"/>
                </w:tcPr>
                <w:p w14:paraId="2B1B3258">
                  <w:pPr>
                    <w:jc w:val="center"/>
                    <w:rPr>
                      <w:rFonts w:cs="Times New Roman"/>
                      <w:kern w:val="0"/>
                      <w:sz w:val="21"/>
                      <w:szCs w:val="21"/>
                    </w:rPr>
                  </w:pPr>
                  <w:r>
                    <w:rPr>
                      <w:rFonts w:hint="eastAsia" w:cs="Times New Roman"/>
                      <w:kern w:val="0"/>
                      <w:sz w:val="21"/>
                      <w:szCs w:val="21"/>
                    </w:rPr>
                    <w:t>98.4</w:t>
                  </w:r>
                </w:p>
              </w:tc>
              <w:tc>
                <w:tcPr>
                  <w:tcW w:w="2638" w:type="dxa"/>
                  <w:vMerge w:val="continue"/>
                  <w:vAlign w:val="center"/>
                </w:tcPr>
                <w:p w14:paraId="4D672F8A">
                  <w:pPr>
                    <w:jc w:val="center"/>
                    <w:rPr>
                      <w:rFonts w:cs="Times New Roman"/>
                      <w:kern w:val="0"/>
                      <w:sz w:val="21"/>
                      <w:szCs w:val="21"/>
                    </w:rPr>
                  </w:pPr>
                </w:p>
              </w:tc>
            </w:tr>
            <w:tr w14:paraId="3D303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0D90575">
                  <w:pPr>
                    <w:jc w:val="center"/>
                    <w:rPr>
                      <w:rFonts w:cs="Times New Roman"/>
                      <w:kern w:val="0"/>
                      <w:sz w:val="21"/>
                      <w:szCs w:val="21"/>
                    </w:rPr>
                  </w:pPr>
                  <w:r>
                    <w:rPr>
                      <w:rFonts w:hint="eastAsia" w:cs="Times New Roman"/>
                      <w:kern w:val="0"/>
                      <w:sz w:val="21"/>
                      <w:szCs w:val="21"/>
                    </w:rPr>
                    <w:t>3</w:t>
                  </w:r>
                </w:p>
              </w:tc>
              <w:tc>
                <w:tcPr>
                  <w:tcW w:w="2676" w:type="dxa"/>
                  <w:vAlign w:val="center"/>
                </w:tcPr>
                <w:p w14:paraId="50B353F0">
                  <w:pPr>
                    <w:jc w:val="center"/>
                    <w:rPr>
                      <w:rFonts w:cs="Times New Roman"/>
                      <w:kern w:val="0"/>
                      <w:sz w:val="21"/>
                      <w:szCs w:val="21"/>
                    </w:rPr>
                  </w:pPr>
                  <w:r>
                    <w:rPr>
                      <w:rFonts w:hint="eastAsia" w:cs="Times New Roman"/>
                      <w:kern w:val="0"/>
                      <w:sz w:val="21"/>
                      <w:szCs w:val="21"/>
                    </w:rPr>
                    <w:t>10~60kg抛石棱体</w:t>
                  </w:r>
                </w:p>
              </w:tc>
              <w:tc>
                <w:tcPr>
                  <w:tcW w:w="706" w:type="dxa"/>
                  <w:vAlign w:val="center"/>
                </w:tcPr>
                <w:p w14:paraId="0AA7F08A">
                  <w:pPr>
                    <w:jc w:val="center"/>
                    <w:rPr>
                      <w:rFonts w:cs="Times New Roman"/>
                      <w:kern w:val="0"/>
                      <w:sz w:val="21"/>
                      <w:szCs w:val="21"/>
                    </w:rPr>
                  </w:pPr>
                  <w:r>
                    <w:rPr>
                      <w:rFonts w:hint="eastAsia" w:cs="Times New Roman"/>
                      <w:kern w:val="0"/>
                      <w:sz w:val="21"/>
                      <w:szCs w:val="21"/>
                    </w:rPr>
                    <w:t>m³</w:t>
                  </w:r>
                </w:p>
              </w:tc>
              <w:tc>
                <w:tcPr>
                  <w:tcW w:w="899" w:type="dxa"/>
                  <w:vAlign w:val="center"/>
                </w:tcPr>
                <w:p w14:paraId="67C38325">
                  <w:pPr>
                    <w:jc w:val="center"/>
                    <w:rPr>
                      <w:rFonts w:cs="Times New Roman"/>
                      <w:kern w:val="0"/>
                      <w:sz w:val="21"/>
                      <w:szCs w:val="21"/>
                    </w:rPr>
                  </w:pPr>
                  <w:r>
                    <w:rPr>
                      <w:rFonts w:hint="eastAsia" w:cs="Times New Roman"/>
                      <w:kern w:val="0"/>
                      <w:sz w:val="21"/>
                      <w:szCs w:val="21"/>
                    </w:rPr>
                    <w:t>2090.36</w:t>
                  </w:r>
                </w:p>
              </w:tc>
              <w:tc>
                <w:tcPr>
                  <w:tcW w:w="2638" w:type="dxa"/>
                  <w:vAlign w:val="center"/>
                </w:tcPr>
                <w:p w14:paraId="528B184E">
                  <w:pPr>
                    <w:jc w:val="center"/>
                    <w:rPr>
                      <w:rFonts w:cs="Times New Roman"/>
                      <w:kern w:val="0"/>
                      <w:sz w:val="21"/>
                      <w:szCs w:val="21"/>
                    </w:rPr>
                  </w:pPr>
                  <w:r>
                    <w:rPr>
                      <w:rFonts w:hint="eastAsia" w:cs="Times New Roman"/>
                      <w:kern w:val="0"/>
                      <w:sz w:val="21"/>
                      <w:szCs w:val="21"/>
                    </w:rPr>
                    <w:t>未考虑沉降量</w:t>
                  </w:r>
                </w:p>
              </w:tc>
            </w:tr>
            <w:tr w14:paraId="72B1F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9854B9D">
                  <w:pPr>
                    <w:jc w:val="center"/>
                    <w:rPr>
                      <w:rFonts w:cs="Times New Roman"/>
                      <w:kern w:val="0"/>
                      <w:sz w:val="21"/>
                      <w:szCs w:val="21"/>
                    </w:rPr>
                  </w:pPr>
                  <w:r>
                    <w:rPr>
                      <w:rFonts w:hint="eastAsia" w:cs="Times New Roman"/>
                      <w:kern w:val="0"/>
                      <w:sz w:val="21"/>
                      <w:szCs w:val="21"/>
                    </w:rPr>
                    <w:t>4</w:t>
                  </w:r>
                </w:p>
              </w:tc>
              <w:tc>
                <w:tcPr>
                  <w:tcW w:w="2676" w:type="dxa"/>
                  <w:vAlign w:val="center"/>
                </w:tcPr>
                <w:p w14:paraId="09B2C5CB">
                  <w:pPr>
                    <w:jc w:val="center"/>
                    <w:rPr>
                      <w:rFonts w:cs="Times New Roman"/>
                      <w:kern w:val="0"/>
                      <w:sz w:val="21"/>
                      <w:szCs w:val="21"/>
                    </w:rPr>
                  </w:pPr>
                  <w:r>
                    <w:rPr>
                      <w:rFonts w:hint="eastAsia" w:cs="Times New Roman"/>
                      <w:kern w:val="0"/>
                      <w:sz w:val="21"/>
                      <w:szCs w:val="21"/>
                    </w:rPr>
                    <w:t>500mm二片石垫层</w:t>
                  </w:r>
                </w:p>
              </w:tc>
              <w:tc>
                <w:tcPr>
                  <w:tcW w:w="706" w:type="dxa"/>
                  <w:vAlign w:val="center"/>
                </w:tcPr>
                <w:p w14:paraId="2A5AA4AF">
                  <w:pPr>
                    <w:jc w:val="center"/>
                    <w:rPr>
                      <w:rFonts w:cs="Times New Roman"/>
                      <w:kern w:val="0"/>
                      <w:sz w:val="21"/>
                      <w:szCs w:val="21"/>
                    </w:rPr>
                  </w:pPr>
                  <w:r>
                    <w:rPr>
                      <w:rFonts w:hint="eastAsia" w:cs="Times New Roman"/>
                      <w:kern w:val="0"/>
                      <w:sz w:val="21"/>
                      <w:szCs w:val="21"/>
                    </w:rPr>
                    <w:t>m³</w:t>
                  </w:r>
                </w:p>
              </w:tc>
              <w:tc>
                <w:tcPr>
                  <w:tcW w:w="899" w:type="dxa"/>
                  <w:vAlign w:val="center"/>
                </w:tcPr>
                <w:p w14:paraId="726CA04B">
                  <w:pPr>
                    <w:jc w:val="center"/>
                    <w:rPr>
                      <w:rFonts w:cs="Times New Roman"/>
                      <w:kern w:val="0"/>
                      <w:sz w:val="21"/>
                      <w:szCs w:val="21"/>
                    </w:rPr>
                  </w:pPr>
                  <w:r>
                    <w:rPr>
                      <w:rFonts w:hint="eastAsia" w:cs="Times New Roman"/>
                      <w:kern w:val="0"/>
                      <w:sz w:val="21"/>
                      <w:szCs w:val="21"/>
                    </w:rPr>
                    <w:t>522.69</w:t>
                  </w:r>
                </w:p>
              </w:tc>
              <w:tc>
                <w:tcPr>
                  <w:tcW w:w="2638" w:type="dxa"/>
                  <w:vAlign w:val="center"/>
                </w:tcPr>
                <w:p w14:paraId="4C4E4B77">
                  <w:pPr>
                    <w:jc w:val="center"/>
                    <w:rPr>
                      <w:rFonts w:cs="Times New Roman"/>
                      <w:kern w:val="0"/>
                      <w:sz w:val="21"/>
                      <w:szCs w:val="21"/>
                    </w:rPr>
                  </w:pPr>
                </w:p>
              </w:tc>
            </w:tr>
            <w:tr w14:paraId="43478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732BEE5">
                  <w:pPr>
                    <w:jc w:val="center"/>
                    <w:rPr>
                      <w:rFonts w:cs="Times New Roman"/>
                      <w:kern w:val="0"/>
                      <w:sz w:val="21"/>
                      <w:szCs w:val="21"/>
                    </w:rPr>
                  </w:pPr>
                  <w:r>
                    <w:rPr>
                      <w:rFonts w:hint="eastAsia" w:cs="Times New Roman"/>
                      <w:kern w:val="0"/>
                      <w:sz w:val="21"/>
                      <w:szCs w:val="21"/>
                    </w:rPr>
                    <w:t>5</w:t>
                  </w:r>
                </w:p>
              </w:tc>
              <w:tc>
                <w:tcPr>
                  <w:tcW w:w="2676" w:type="dxa"/>
                  <w:vAlign w:val="center"/>
                </w:tcPr>
                <w:p w14:paraId="20D2420B">
                  <w:pPr>
                    <w:jc w:val="center"/>
                    <w:rPr>
                      <w:rFonts w:cs="Times New Roman"/>
                      <w:kern w:val="0"/>
                      <w:sz w:val="21"/>
                      <w:szCs w:val="21"/>
                    </w:rPr>
                  </w:pPr>
                  <w:r>
                    <w:rPr>
                      <w:rFonts w:hint="eastAsia" w:cs="Times New Roman"/>
                      <w:kern w:val="0"/>
                      <w:sz w:val="21"/>
                      <w:szCs w:val="21"/>
                    </w:rPr>
                    <w:t>600mm碎石垫层</w:t>
                  </w:r>
                </w:p>
              </w:tc>
              <w:tc>
                <w:tcPr>
                  <w:tcW w:w="706" w:type="dxa"/>
                  <w:vAlign w:val="center"/>
                </w:tcPr>
                <w:p w14:paraId="3D3C5439">
                  <w:pPr>
                    <w:jc w:val="center"/>
                    <w:rPr>
                      <w:rFonts w:cs="Times New Roman"/>
                      <w:kern w:val="0"/>
                      <w:sz w:val="21"/>
                      <w:szCs w:val="21"/>
                    </w:rPr>
                  </w:pPr>
                  <w:r>
                    <w:rPr>
                      <w:rFonts w:hint="eastAsia" w:cs="Times New Roman"/>
                      <w:kern w:val="0"/>
                      <w:sz w:val="21"/>
                      <w:szCs w:val="21"/>
                    </w:rPr>
                    <w:t>m³</w:t>
                  </w:r>
                </w:p>
              </w:tc>
              <w:tc>
                <w:tcPr>
                  <w:tcW w:w="899" w:type="dxa"/>
                  <w:vAlign w:val="center"/>
                </w:tcPr>
                <w:p w14:paraId="4E77D956">
                  <w:pPr>
                    <w:jc w:val="center"/>
                    <w:rPr>
                      <w:rFonts w:cs="Times New Roman"/>
                      <w:kern w:val="0"/>
                      <w:sz w:val="21"/>
                      <w:szCs w:val="21"/>
                    </w:rPr>
                  </w:pPr>
                  <w:r>
                    <w:rPr>
                      <w:rFonts w:hint="eastAsia" w:cs="Times New Roman"/>
                      <w:kern w:val="0"/>
                      <w:sz w:val="21"/>
                      <w:szCs w:val="21"/>
                    </w:rPr>
                    <w:t>843.18</w:t>
                  </w:r>
                </w:p>
              </w:tc>
              <w:tc>
                <w:tcPr>
                  <w:tcW w:w="2638" w:type="dxa"/>
                  <w:vAlign w:val="center"/>
                </w:tcPr>
                <w:p w14:paraId="66D98EC8">
                  <w:pPr>
                    <w:jc w:val="center"/>
                    <w:rPr>
                      <w:rFonts w:cs="Times New Roman"/>
                      <w:kern w:val="0"/>
                      <w:sz w:val="21"/>
                      <w:szCs w:val="21"/>
                    </w:rPr>
                  </w:pPr>
                  <w:r>
                    <w:rPr>
                      <w:rFonts w:hint="eastAsia" w:cs="Times New Roman"/>
                      <w:kern w:val="0"/>
                      <w:sz w:val="21"/>
                      <w:szCs w:val="21"/>
                    </w:rPr>
                    <w:t>粒径5mm~100mm</w:t>
                  </w:r>
                </w:p>
              </w:tc>
            </w:tr>
            <w:tr w14:paraId="0AEDF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476DC87">
                  <w:pPr>
                    <w:jc w:val="center"/>
                    <w:rPr>
                      <w:rFonts w:cs="Times New Roman"/>
                      <w:kern w:val="0"/>
                      <w:sz w:val="21"/>
                      <w:szCs w:val="21"/>
                    </w:rPr>
                  </w:pPr>
                  <w:r>
                    <w:rPr>
                      <w:rFonts w:hint="eastAsia" w:cs="Times New Roman"/>
                      <w:kern w:val="0"/>
                      <w:sz w:val="21"/>
                      <w:szCs w:val="21"/>
                    </w:rPr>
                    <w:t>6</w:t>
                  </w:r>
                </w:p>
              </w:tc>
              <w:tc>
                <w:tcPr>
                  <w:tcW w:w="2676" w:type="dxa"/>
                  <w:vAlign w:val="center"/>
                </w:tcPr>
                <w:p w14:paraId="6EF6FC16">
                  <w:pPr>
                    <w:jc w:val="center"/>
                    <w:rPr>
                      <w:rFonts w:cs="Times New Roman"/>
                      <w:kern w:val="0"/>
                      <w:sz w:val="21"/>
                      <w:szCs w:val="21"/>
                    </w:rPr>
                  </w:pPr>
                  <w:r>
                    <w:rPr>
                      <w:rFonts w:hint="eastAsia" w:cs="Times New Roman"/>
                      <w:kern w:val="0"/>
                      <w:sz w:val="21"/>
                      <w:szCs w:val="21"/>
                    </w:rPr>
                    <w:t>回填开山石</w:t>
                  </w:r>
                </w:p>
              </w:tc>
              <w:tc>
                <w:tcPr>
                  <w:tcW w:w="706" w:type="dxa"/>
                  <w:vAlign w:val="center"/>
                </w:tcPr>
                <w:p w14:paraId="1431B80E">
                  <w:pPr>
                    <w:jc w:val="center"/>
                    <w:rPr>
                      <w:rFonts w:cs="Times New Roman"/>
                      <w:kern w:val="0"/>
                      <w:sz w:val="21"/>
                      <w:szCs w:val="21"/>
                    </w:rPr>
                  </w:pPr>
                  <w:r>
                    <w:rPr>
                      <w:rFonts w:hint="eastAsia" w:cs="Times New Roman"/>
                      <w:kern w:val="0"/>
                      <w:sz w:val="21"/>
                      <w:szCs w:val="21"/>
                    </w:rPr>
                    <w:t>m³</w:t>
                  </w:r>
                </w:p>
              </w:tc>
              <w:tc>
                <w:tcPr>
                  <w:tcW w:w="899" w:type="dxa"/>
                  <w:vAlign w:val="center"/>
                </w:tcPr>
                <w:p w14:paraId="526E9F77">
                  <w:pPr>
                    <w:jc w:val="center"/>
                    <w:rPr>
                      <w:rFonts w:cs="Times New Roman"/>
                      <w:kern w:val="0"/>
                      <w:sz w:val="21"/>
                      <w:szCs w:val="21"/>
                    </w:rPr>
                  </w:pPr>
                  <w:r>
                    <w:rPr>
                      <w:rFonts w:hint="eastAsia" w:cs="Times New Roman"/>
                      <w:kern w:val="0"/>
                      <w:sz w:val="21"/>
                      <w:szCs w:val="21"/>
                    </w:rPr>
                    <w:t>2367.74</w:t>
                  </w:r>
                </w:p>
              </w:tc>
              <w:tc>
                <w:tcPr>
                  <w:tcW w:w="2638" w:type="dxa"/>
                  <w:vAlign w:val="center"/>
                </w:tcPr>
                <w:p w14:paraId="78E882C6">
                  <w:pPr>
                    <w:jc w:val="center"/>
                    <w:rPr>
                      <w:rFonts w:cs="Times New Roman"/>
                      <w:kern w:val="0"/>
                      <w:sz w:val="21"/>
                      <w:szCs w:val="21"/>
                    </w:rPr>
                  </w:pPr>
                </w:p>
              </w:tc>
            </w:tr>
            <w:tr w14:paraId="1159B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2BC9ED1">
                  <w:pPr>
                    <w:jc w:val="center"/>
                    <w:rPr>
                      <w:rFonts w:cs="Times New Roman"/>
                      <w:kern w:val="0"/>
                      <w:sz w:val="21"/>
                      <w:szCs w:val="21"/>
                    </w:rPr>
                  </w:pPr>
                  <w:r>
                    <w:rPr>
                      <w:rFonts w:hint="eastAsia" w:cs="Times New Roman"/>
                      <w:kern w:val="0"/>
                      <w:sz w:val="21"/>
                      <w:szCs w:val="21"/>
                    </w:rPr>
                    <w:t>7</w:t>
                  </w:r>
                </w:p>
              </w:tc>
              <w:tc>
                <w:tcPr>
                  <w:tcW w:w="2676" w:type="dxa"/>
                  <w:vAlign w:val="center"/>
                </w:tcPr>
                <w:p w14:paraId="39258268">
                  <w:pPr>
                    <w:jc w:val="center"/>
                    <w:rPr>
                      <w:rFonts w:cs="Times New Roman"/>
                      <w:kern w:val="0"/>
                      <w:sz w:val="21"/>
                      <w:szCs w:val="21"/>
                    </w:rPr>
                  </w:pPr>
                  <w:r>
                    <w:rPr>
                      <w:rFonts w:hint="eastAsia" w:cs="Times New Roman"/>
                      <w:kern w:val="0"/>
                      <w:sz w:val="21"/>
                      <w:szCs w:val="21"/>
                    </w:rPr>
                    <w:t>80mm高强连锁块</w:t>
                  </w:r>
                </w:p>
              </w:tc>
              <w:tc>
                <w:tcPr>
                  <w:tcW w:w="706" w:type="dxa"/>
                  <w:vAlign w:val="center"/>
                </w:tcPr>
                <w:p w14:paraId="6F089862">
                  <w:pPr>
                    <w:jc w:val="center"/>
                    <w:rPr>
                      <w:rFonts w:cs="Times New Roman"/>
                      <w:kern w:val="0"/>
                      <w:sz w:val="21"/>
                      <w:szCs w:val="21"/>
                    </w:rPr>
                  </w:pPr>
                  <w:r>
                    <w:rPr>
                      <w:rFonts w:hint="eastAsia" w:cs="Times New Roman"/>
                      <w:kern w:val="0"/>
                      <w:sz w:val="21"/>
                      <w:szCs w:val="21"/>
                    </w:rPr>
                    <w:t>m³</w:t>
                  </w:r>
                </w:p>
              </w:tc>
              <w:tc>
                <w:tcPr>
                  <w:tcW w:w="899" w:type="dxa"/>
                  <w:vAlign w:val="center"/>
                </w:tcPr>
                <w:p w14:paraId="37CAE82E">
                  <w:pPr>
                    <w:jc w:val="center"/>
                    <w:rPr>
                      <w:rFonts w:cs="Times New Roman"/>
                      <w:kern w:val="0"/>
                      <w:sz w:val="21"/>
                      <w:szCs w:val="21"/>
                    </w:rPr>
                  </w:pPr>
                  <w:r>
                    <w:rPr>
                      <w:rFonts w:hint="eastAsia" w:cs="Times New Roman"/>
                      <w:kern w:val="0"/>
                      <w:sz w:val="21"/>
                      <w:szCs w:val="21"/>
                    </w:rPr>
                    <w:t>109.30</w:t>
                  </w:r>
                </w:p>
              </w:tc>
              <w:tc>
                <w:tcPr>
                  <w:tcW w:w="2638" w:type="dxa"/>
                  <w:vAlign w:val="center"/>
                </w:tcPr>
                <w:p w14:paraId="7E39FADC">
                  <w:pPr>
                    <w:jc w:val="center"/>
                    <w:rPr>
                      <w:rFonts w:cs="Times New Roman"/>
                      <w:kern w:val="0"/>
                      <w:sz w:val="21"/>
                      <w:szCs w:val="21"/>
                    </w:rPr>
                  </w:pPr>
                  <w:r>
                    <w:rPr>
                      <w:rFonts w:hint="eastAsia" w:cs="Times New Roman"/>
                      <w:kern w:val="0"/>
                      <w:sz w:val="21"/>
                      <w:szCs w:val="21"/>
                    </w:rPr>
                    <w:t>面积1356m</w:t>
                  </w:r>
                  <w:r>
                    <w:rPr>
                      <w:rFonts w:hint="eastAsia" w:cs="Times New Roman"/>
                      <w:kern w:val="0"/>
                      <w:sz w:val="21"/>
                      <w:szCs w:val="21"/>
                      <w:vertAlign w:val="superscript"/>
                    </w:rPr>
                    <w:t>2</w:t>
                  </w:r>
                </w:p>
              </w:tc>
            </w:tr>
            <w:tr w14:paraId="24A67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DA532E5">
                  <w:pPr>
                    <w:jc w:val="center"/>
                    <w:rPr>
                      <w:rFonts w:cs="Times New Roman"/>
                      <w:kern w:val="0"/>
                      <w:sz w:val="21"/>
                      <w:szCs w:val="21"/>
                    </w:rPr>
                  </w:pPr>
                  <w:r>
                    <w:rPr>
                      <w:rFonts w:hint="eastAsia" w:cs="Times New Roman"/>
                      <w:kern w:val="0"/>
                      <w:sz w:val="21"/>
                      <w:szCs w:val="21"/>
                    </w:rPr>
                    <w:t>8</w:t>
                  </w:r>
                </w:p>
              </w:tc>
              <w:tc>
                <w:tcPr>
                  <w:tcW w:w="2676" w:type="dxa"/>
                  <w:vAlign w:val="center"/>
                </w:tcPr>
                <w:p w14:paraId="059E48F9">
                  <w:pPr>
                    <w:jc w:val="center"/>
                    <w:rPr>
                      <w:rFonts w:cs="Times New Roman"/>
                      <w:kern w:val="0"/>
                      <w:sz w:val="21"/>
                      <w:szCs w:val="21"/>
                    </w:rPr>
                  </w:pPr>
                  <w:r>
                    <w:rPr>
                      <w:rFonts w:hint="eastAsia" w:cs="Times New Roman"/>
                      <w:kern w:val="0"/>
                      <w:sz w:val="21"/>
                      <w:szCs w:val="21"/>
                    </w:rPr>
                    <w:t>30mm中粗砂垫层</w:t>
                  </w:r>
                </w:p>
              </w:tc>
              <w:tc>
                <w:tcPr>
                  <w:tcW w:w="706" w:type="dxa"/>
                  <w:vAlign w:val="center"/>
                </w:tcPr>
                <w:p w14:paraId="24621A67">
                  <w:pPr>
                    <w:jc w:val="center"/>
                    <w:rPr>
                      <w:rFonts w:cs="Times New Roman"/>
                      <w:kern w:val="0"/>
                      <w:sz w:val="21"/>
                      <w:szCs w:val="21"/>
                    </w:rPr>
                  </w:pPr>
                  <w:r>
                    <w:rPr>
                      <w:rFonts w:hint="eastAsia" w:cs="Times New Roman"/>
                      <w:kern w:val="0"/>
                      <w:sz w:val="21"/>
                      <w:szCs w:val="21"/>
                    </w:rPr>
                    <w:t>m³</w:t>
                  </w:r>
                </w:p>
              </w:tc>
              <w:tc>
                <w:tcPr>
                  <w:tcW w:w="899" w:type="dxa"/>
                  <w:vAlign w:val="center"/>
                </w:tcPr>
                <w:p w14:paraId="629B9FC2">
                  <w:pPr>
                    <w:jc w:val="center"/>
                    <w:rPr>
                      <w:rFonts w:cs="Times New Roman"/>
                      <w:kern w:val="0"/>
                      <w:sz w:val="21"/>
                      <w:szCs w:val="21"/>
                    </w:rPr>
                  </w:pPr>
                  <w:r>
                    <w:rPr>
                      <w:rFonts w:hint="eastAsia" w:cs="Times New Roman"/>
                      <w:kern w:val="0"/>
                      <w:sz w:val="21"/>
                      <w:szCs w:val="21"/>
                    </w:rPr>
                    <w:t>40.99</w:t>
                  </w:r>
                </w:p>
              </w:tc>
              <w:tc>
                <w:tcPr>
                  <w:tcW w:w="2638" w:type="dxa"/>
                  <w:vAlign w:val="center"/>
                </w:tcPr>
                <w:p w14:paraId="074CB41D">
                  <w:pPr>
                    <w:jc w:val="center"/>
                    <w:rPr>
                      <w:rFonts w:cs="Times New Roman"/>
                      <w:kern w:val="0"/>
                      <w:sz w:val="21"/>
                      <w:szCs w:val="21"/>
                    </w:rPr>
                  </w:pPr>
                  <w:r>
                    <w:rPr>
                      <w:rFonts w:hint="eastAsia" w:cs="Times New Roman"/>
                      <w:kern w:val="0"/>
                      <w:sz w:val="21"/>
                      <w:szCs w:val="21"/>
                    </w:rPr>
                    <w:t>面积1356m</w:t>
                  </w:r>
                  <w:r>
                    <w:rPr>
                      <w:rFonts w:hint="eastAsia" w:cs="Times New Roman"/>
                      <w:kern w:val="0"/>
                      <w:sz w:val="21"/>
                      <w:szCs w:val="21"/>
                      <w:vertAlign w:val="superscript"/>
                    </w:rPr>
                    <w:t>2</w:t>
                  </w:r>
                </w:p>
              </w:tc>
            </w:tr>
            <w:tr w14:paraId="28A66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104CDDC">
                  <w:pPr>
                    <w:jc w:val="center"/>
                    <w:rPr>
                      <w:rFonts w:cs="Times New Roman"/>
                      <w:kern w:val="0"/>
                      <w:sz w:val="21"/>
                      <w:szCs w:val="21"/>
                    </w:rPr>
                  </w:pPr>
                  <w:r>
                    <w:rPr>
                      <w:rFonts w:hint="eastAsia" w:cs="Times New Roman"/>
                      <w:kern w:val="0"/>
                      <w:sz w:val="21"/>
                      <w:szCs w:val="21"/>
                    </w:rPr>
                    <w:t>9</w:t>
                  </w:r>
                </w:p>
              </w:tc>
              <w:tc>
                <w:tcPr>
                  <w:tcW w:w="2676" w:type="dxa"/>
                  <w:vAlign w:val="center"/>
                </w:tcPr>
                <w:p w14:paraId="405A53E7">
                  <w:pPr>
                    <w:jc w:val="center"/>
                    <w:rPr>
                      <w:rFonts w:cs="Times New Roman"/>
                      <w:kern w:val="0"/>
                      <w:sz w:val="21"/>
                      <w:szCs w:val="21"/>
                    </w:rPr>
                  </w:pPr>
                  <w:r>
                    <w:rPr>
                      <w:rFonts w:hint="eastAsia" w:cs="Times New Roman"/>
                      <w:kern w:val="0"/>
                      <w:sz w:val="21"/>
                      <w:szCs w:val="21"/>
                    </w:rPr>
                    <w:t>80mm级配碎石(最大粒径≤30mm)</w:t>
                  </w:r>
                </w:p>
              </w:tc>
              <w:tc>
                <w:tcPr>
                  <w:tcW w:w="706" w:type="dxa"/>
                  <w:vAlign w:val="center"/>
                </w:tcPr>
                <w:p w14:paraId="64519CBB">
                  <w:pPr>
                    <w:jc w:val="center"/>
                    <w:rPr>
                      <w:rFonts w:cs="Times New Roman"/>
                      <w:kern w:val="0"/>
                      <w:sz w:val="21"/>
                      <w:szCs w:val="21"/>
                    </w:rPr>
                  </w:pPr>
                  <w:r>
                    <w:rPr>
                      <w:rFonts w:hint="eastAsia" w:cs="Times New Roman"/>
                      <w:kern w:val="0"/>
                      <w:sz w:val="21"/>
                      <w:szCs w:val="21"/>
                    </w:rPr>
                    <w:t>m³</w:t>
                  </w:r>
                </w:p>
              </w:tc>
              <w:tc>
                <w:tcPr>
                  <w:tcW w:w="899" w:type="dxa"/>
                  <w:vAlign w:val="center"/>
                </w:tcPr>
                <w:p w14:paraId="29F6ADA4">
                  <w:pPr>
                    <w:jc w:val="center"/>
                    <w:rPr>
                      <w:rFonts w:cs="Times New Roman"/>
                      <w:kern w:val="0"/>
                      <w:sz w:val="21"/>
                      <w:szCs w:val="21"/>
                    </w:rPr>
                  </w:pPr>
                  <w:r>
                    <w:rPr>
                      <w:rFonts w:hint="eastAsia" w:cs="Times New Roman"/>
                      <w:kern w:val="0"/>
                      <w:sz w:val="21"/>
                      <w:szCs w:val="21"/>
                    </w:rPr>
                    <w:t>109.30</w:t>
                  </w:r>
                </w:p>
              </w:tc>
              <w:tc>
                <w:tcPr>
                  <w:tcW w:w="2638" w:type="dxa"/>
                  <w:vAlign w:val="center"/>
                </w:tcPr>
                <w:p w14:paraId="77704225">
                  <w:pPr>
                    <w:jc w:val="center"/>
                    <w:rPr>
                      <w:rFonts w:cs="Times New Roman"/>
                      <w:kern w:val="0"/>
                      <w:sz w:val="21"/>
                      <w:szCs w:val="21"/>
                    </w:rPr>
                  </w:pPr>
                  <w:r>
                    <w:rPr>
                      <w:rFonts w:hint="eastAsia" w:cs="Times New Roman"/>
                      <w:kern w:val="0"/>
                      <w:sz w:val="21"/>
                      <w:szCs w:val="21"/>
                    </w:rPr>
                    <w:t>面积1356m</w:t>
                  </w:r>
                  <w:r>
                    <w:rPr>
                      <w:rFonts w:hint="eastAsia" w:cs="Times New Roman"/>
                      <w:kern w:val="0"/>
                      <w:sz w:val="21"/>
                      <w:szCs w:val="21"/>
                      <w:vertAlign w:val="superscript"/>
                    </w:rPr>
                    <w:t>2</w:t>
                  </w:r>
                </w:p>
              </w:tc>
            </w:tr>
            <w:tr w14:paraId="49F23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5A9EB65">
                  <w:pPr>
                    <w:jc w:val="center"/>
                    <w:rPr>
                      <w:rFonts w:cs="Times New Roman"/>
                      <w:kern w:val="0"/>
                      <w:sz w:val="21"/>
                      <w:szCs w:val="21"/>
                    </w:rPr>
                  </w:pPr>
                  <w:r>
                    <w:rPr>
                      <w:rFonts w:hint="eastAsia" w:cs="Times New Roman"/>
                      <w:kern w:val="0"/>
                      <w:sz w:val="21"/>
                      <w:szCs w:val="21"/>
                    </w:rPr>
                    <w:t>10</w:t>
                  </w:r>
                </w:p>
              </w:tc>
              <w:tc>
                <w:tcPr>
                  <w:tcW w:w="2676" w:type="dxa"/>
                  <w:vAlign w:val="center"/>
                </w:tcPr>
                <w:p w14:paraId="22B864C0">
                  <w:pPr>
                    <w:jc w:val="center"/>
                    <w:rPr>
                      <w:rFonts w:cs="Times New Roman"/>
                      <w:kern w:val="0"/>
                      <w:sz w:val="21"/>
                      <w:szCs w:val="21"/>
                    </w:rPr>
                  </w:pPr>
                  <w:r>
                    <w:rPr>
                      <w:rFonts w:hint="eastAsia" w:cs="Times New Roman"/>
                      <w:kern w:val="0"/>
                      <w:sz w:val="21"/>
                      <w:szCs w:val="21"/>
                    </w:rPr>
                    <w:t>120mm级配碎石(最大粒径≤50mm)</w:t>
                  </w:r>
                </w:p>
              </w:tc>
              <w:tc>
                <w:tcPr>
                  <w:tcW w:w="706" w:type="dxa"/>
                  <w:vAlign w:val="center"/>
                </w:tcPr>
                <w:p w14:paraId="16FDD22D">
                  <w:pPr>
                    <w:jc w:val="center"/>
                    <w:rPr>
                      <w:rFonts w:cs="Times New Roman"/>
                      <w:kern w:val="0"/>
                      <w:sz w:val="21"/>
                      <w:szCs w:val="21"/>
                    </w:rPr>
                  </w:pPr>
                  <w:r>
                    <w:rPr>
                      <w:rFonts w:hint="eastAsia" w:cs="Times New Roman"/>
                      <w:kern w:val="0"/>
                      <w:sz w:val="21"/>
                      <w:szCs w:val="21"/>
                    </w:rPr>
                    <w:t>m³</w:t>
                  </w:r>
                </w:p>
              </w:tc>
              <w:tc>
                <w:tcPr>
                  <w:tcW w:w="899" w:type="dxa"/>
                  <w:vAlign w:val="center"/>
                </w:tcPr>
                <w:p w14:paraId="2274B335">
                  <w:pPr>
                    <w:jc w:val="center"/>
                    <w:rPr>
                      <w:rFonts w:cs="Times New Roman"/>
                      <w:kern w:val="0"/>
                      <w:sz w:val="21"/>
                      <w:szCs w:val="21"/>
                    </w:rPr>
                  </w:pPr>
                  <w:r>
                    <w:rPr>
                      <w:rFonts w:hint="eastAsia" w:cs="Times New Roman"/>
                      <w:kern w:val="0"/>
                      <w:sz w:val="21"/>
                      <w:szCs w:val="21"/>
                    </w:rPr>
                    <w:t>163.94</w:t>
                  </w:r>
                </w:p>
              </w:tc>
              <w:tc>
                <w:tcPr>
                  <w:tcW w:w="2638" w:type="dxa"/>
                  <w:vAlign w:val="center"/>
                </w:tcPr>
                <w:p w14:paraId="720BCE32">
                  <w:pPr>
                    <w:jc w:val="center"/>
                    <w:rPr>
                      <w:rFonts w:cs="Times New Roman"/>
                      <w:kern w:val="0"/>
                      <w:sz w:val="21"/>
                      <w:szCs w:val="21"/>
                    </w:rPr>
                  </w:pPr>
                  <w:r>
                    <w:rPr>
                      <w:rFonts w:hint="eastAsia" w:cs="Times New Roman"/>
                      <w:kern w:val="0"/>
                      <w:sz w:val="21"/>
                      <w:szCs w:val="21"/>
                    </w:rPr>
                    <w:t>面积1356m</w:t>
                  </w:r>
                  <w:r>
                    <w:rPr>
                      <w:rFonts w:hint="eastAsia" w:cs="Times New Roman"/>
                      <w:kern w:val="0"/>
                      <w:sz w:val="21"/>
                      <w:szCs w:val="21"/>
                      <w:vertAlign w:val="superscript"/>
                    </w:rPr>
                    <w:t>2</w:t>
                  </w:r>
                </w:p>
              </w:tc>
            </w:tr>
            <w:tr w14:paraId="66D4C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6EEF748">
                  <w:pPr>
                    <w:jc w:val="center"/>
                    <w:rPr>
                      <w:rFonts w:cs="Times New Roman"/>
                      <w:kern w:val="0"/>
                      <w:sz w:val="21"/>
                      <w:szCs w:val="21"/>
                    </w:rPr>
                  </w:pPr>
                  <w:r>
                    <w:rPr>
                      <w:rFonts w:hint="eastAsia" w:cs="Times New Roman"/>
                      <w:kern w:val="0"/>
                      <w:sz w:val="21"/>
                      <w:szCs w:val="21"/>
                    </w:rPr>
                    <w:t>11</w:t>
                  </w:r>
                </w:p>
              </w:tc>
              <w:tc>
                <w:tcPr>
                  <w:tcW w:w="2676" w:type="dxa"/>
                  <w:vAlign w:val="center"/>
                </w:tcPr>
                <w:p w14:paraId="389158B4">
                  <w:pPr>
                    <w:jc w:val="center"/>
                    <w:rPr>
                      <w:rFonts w:cs="Times New Roman"/>
                      <w:kern w:val="0"/>
                      <w:sz w:val="21"/>
                      <w:szCs w:val="21"/>
                    </w:rPr>
                  </w:pPr>
                  <w:r>
                    <w:rPr>
                      <w:rFonts w:hint="eastAsia" w:cs="Times New Roman"/>
                      <w:kern w:val="0"/>
                      <w:sz w:val="21"/>
                      <w:szCs w:val="21"/>
                    </w:rPr>
                    <w:t>路缘石</w:t>
                  </w:r>
                </w:p>
              </w:tc>
              <w:tc>
                <w:tcPr>
                  <w:tcW w:w="706" w:type="dxa"/>
                  <w:vAlign w:val="center"/>
                </w:tcPr>
                <w:p w14:paraId="3B04B92C">
                  <w:pPr>
                    <w:jc w:val="center"/>
                    <w:rPr>
                      <w:rFonts w:cs="Times New Roman"/>
                      <w:kern w:val="0"/>
                      <w:sz w:val="21"/>
                      <w:szCs w:val="21"/>
                    </w:rPr>
                  </w:pPr>
                  <w:r>
                    <w:rPr>
                      <w:rFonts w:hint="eastAsia" w:cs="Times New Roman"/>
                      <w:kern w:val="0"/>
                      <w:sz w:val="21"/>
                      <w:szCs w:val="21"/>
                    </w:rPr>
                    <w:t>m³</w:t>
                  </w:r>
                </w:p>
              </w:tc>
              <w:tc>
                <w:tcPr>
                  <w:tcW w:w="899" w:type="dxa"/>
                  <w:vAlign w:val="center"/>
                </w:tcPr>
                <w:p w14:paraId="3F40A746">
                  <w:pPr>
                    <w:jc w:val="center"/>
                    <w:rPr>
                      <w:rFonts w:cs="Times New Roman"/>
                      <w:kern w:val="0"/>
                      <w:sz w:val="21"/>
                      <w:szCs w:val="21"/>
                    </w:rPr>
                  </w:pPr>
                  <w:r>
                    <w:rPr>
                      <w:rFonts w:hint="eastAsia" w:cs="Times New Roman"/>
                      <w:kern w:val="0"/>
                      <w:sz w:val="21"/>
                      <w:szCs w:val="21"/>
                    </w:rPr>
                    <w:t>15.53</w:t>
                  </w:r>
                </w:p>
              </w:tc>
              <w:tc>
                <w:tcPr>
                  <w:tcW w:w="2638" w:type="dxa"/>
                  <w:vAlign w:val="center"/>
                </w:tcPr>
                <w:p w14:paraId="2E5DFD8D">
                  <w:pPr>
                    <w:jc w:val="center"/>
                    <w:rPr>
                      <w:rFonts w:cs="Times New Roman"/>
                      <w:kern w:val="0"/>
                      <w:sz w:val="21"/>
                      <w:szCs w:val="21"/>
                    </w:rPr>
                  </w:pPr>
                  <w:r>
                    <w:rPr>
                      <w:rFonts w:hint="eastAsia" w:cs="Times New Roman"/>
                      <w:kern w:val="0"/>
                      <w:sz w:val="21"/>
                      <w:szCs w:val="21"/>
                    </w:rPr>
                    <w:t>103.5m</w:t>
                  </w:r>
                </w:p>
              </w:tc>
            </w:tr>
            <w:tr w14:paraId="5E55C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F34DCA2">
                  <w:pPr>
                    <w:jc w:val="center"/>
                    <w:rPr>
                      <w:rFonts w:cs="Times New Roman"/>
                      <w:kern w:val="0"/>
                      <w:sz w:val="21"/>
                      <w:szCs w:val="21"/>
                    </w:rPr>
                  </w:pPr>
                  <w:r>
                    <w:rPr>
                      <w:rFonts w:hint="eastAsia" w:cs="Times New Roman"/>
                      <w:kern w:val="0"/>
                      <w:sz w:val="21"/>
                      <w:szCs w:val="21"/>
                    </w:rPr>
                    <w:t>12</w:t>
                  </w:r>
                </w:p>
              </w:tc>
              <w:tc>
                <w:tcPr>
                  <w:tcW w:w="2676" w:type="dxa"/>
                  <w:vAlign w:val="center"/>
                </w:tcPr>
                <w:p w14:paraId="7A00F649">
                  <w:pPr>
                    <w:jc w:val="center"/>
                    <w:rPr>
                      <w:rFonts w:cs="Times New Roman"/>
                      <w:kern w:val="0"/>
                      <w:sz w:val="21"/>
                      <w:szCs w:val="21"/>
                    </w:rPr>
                  </w:pPr>
                  <w:r>
                    <w:rPr>
                      <w:rFonts w:hint="eastAsia" w:cs="Times New Roman"/>
                      <w:kern w:val="0"/>
                      <w:sz w:val="21"/>
                      <w:szCs w:val="21"/>
                    </w:rPr>
                    <w:t>10~100kg抛石基床</w:t>
                  </w:r>
                </w:p>
              </w:tc>
              <w:tc>
                <w:tcPr>
                  <w:tcW w:w="706" w:type="dxa"/>
                  <w:vAlign w:val="center"/>
                </w:tcPr>
                <w:p w14:paraId="11F53AA5">
                  <w:pPr>
                    <w:jc w:val="center"/>
                    <w:rPr>
                      <w:rFonts w:cs="Times New Roman"/>
                      <w:kern w:val="0"/>
                      <w:sz w:val="21"/>
                      <w:szCs w:val="21"/>
                    </w:rPr>
                  </w:pPr>
                  <w:r>
                    <w:rPr>
                      <w:rFonts w:hint="eastAsia" w:cs="Times New Roman"/>
                      <w:kern w:val="0"/>
                      <w:sz w:val="21"/>
                      <w:szCs w:val="21"/>
                    </w:rPr>
                    <w:t>m³</w:t>
                  </w:r>
                </w:p>
              </w:tc>
              <w:tc>
                <w:tcPr>
                  <w:tcW w:w="899" w:type="dxa"/>
                  <w:vAlign w:val="center"/>
                </w:tcPr>
                <w:p w14:paraId="07D7839E">
                  <w:pPr>
                    <w:jc w:val="center"/>
                    <w:rPr>
                      <w:rFonts w:cs="Times New Roman"/>
                      <w:kern w:val="0"/>
                      <w:sz w:val="21"/>
                      <w:szCs w:val="21"/>
                    </w:rPr>
                  </w:pPr>
                  <w:r>
                    <w:rPr>
                      <w:rFonts w:hint="eastAsia" w:cs="Times New Roman"/>
                      <w:kern w:val="0"/>
                      <w:sz w:val="21"/>
                      <w:szCs w:val="21"/>
                    </w:rPr>
                    <w:t>460.38</w:t>
                  </w:r>
                </w:p>
              </w:tc>
              <w:tc>
                <w:tcPr>
                  <w:tcW w:w="2638" w:type="dxa"/>
                  <w:vAlign w:val="center"/>
                </w:tcPr>
                <w:p w14:paraId="71E0F64C">
                  <w:pPr>
                    <w:jc w:val="center"/>
                    <w:rPr>
                      <w:rFonts w:cs="Times New Roman"/>
                      <w:kern w:val="0"/>
                      <w:sz w:val="21"/>
                      <w:szCs w:val="21"/>
                    </w:rPr>
                  </w:pPr>
                </w:p>
              </w:tc>
            </w:tr>
            <w:tr w14:paraId="27CFE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291425B">
                  <w:pPr>
                    <w:jc w:val="center"/>
                    <w:rPr>
                      <w:rFonts w:cs="Times New Roman"/>
                      <w:kern w:val="0"/>
                      <w:sz w:val="21"/>
                      <w:szCs w:val="21"/>
                    </w:rPr>
                  </w:pPr>
                  <w:r>
                    <w:rPr>
                      <w:rFonts w:hint="eastAsia" w:cs="Times New Roman"/>
                      <w:kern w:val="0"/>
                      <w:sz w:val="21"/>
                      <w:szCs w:val="21"/>
                    </w:rPr>
                    <w:t>13</w:t>
                  </w:r>
                </w:p>
              </w:tc>
              <w:tc>
                <w:tcPr>
                  <w:tcW w:w="2676" w:type="dxa"/>
                  <w:vAlign w:val="center"/>
                </w:tcPr>
                <w:p w14:paraId="19AB4E4A">
                  <w:pPr>
                    <w:jc w:val="center"/>
                    <w:rPr>
                      <w:rFonts w:cs="Times New Roman"/>
                      <w:kern w:val="0"/>
                      <w:sz w:val="21"/>
                      <w:szCs w:val="21"/>
                    </w:rPr>
                  </w:pPr>
                  <w:r>
                    <w:rPr>
                      <w:rFonts w:hint="eastAsia" w:cs="Times New Roman"/>
                      <w:kern w:val="0"/>
                      <w:sz w:val="21"/>
                      <w:szCs w:val="21"/>
                    </w:rPr>
                    <w:t>60~100kg块石护底</w:t>
                  </w:r>
                </w:p>
              </w:tc>
              <w:tc>
                <w:tcPr>
                  <w:tcW w:w="706" w:type="dxa"/>
                  <w:vAlign w:val="center"/>
                </w:tcPr>
                <w:p w14:paraId="5BE72D52">
                  <w:pPr>
                    <w:jc w:val="center"/>
                    <w:rPr>
                      <w:rFonts w:cs="Times New Roman"/>
                      <w:kern w:val="0"/>
                      <w:sz w:val="21"/>
                      <w:szCs w:val="21"/>
                    </w:rPr>
                  </w:pPr>
                  <w:r>
                    <w:rPr>
                      <w:rFonts w:hint="eastAsia" w:cs="Times New Roman"/>
                      <w:kern w:val="0"/>
                      <w:sz w:val="21"/>
                      <w:szCs w:val="21"/>
                    </w:rPr>
                    <w:t>m³</w:t>
                  </w:r>
                </w:p>
              </w:tc>
              <w:tc>
                <w:tcPr>
                  <w:tcW w:w="899" w:type="dxa"/>
                  <w:vAlign w:val="center"/>
                </w:tcPr>
                <w:p w14:paraId="4EC29BB9">
                  <w:pPr>
                    <w:jc w:val="center"/>
                    <w:rPr>
                      <w:rFonts w:cs="Times New Roman"/>
                      <w:kern w:val="0"/>
                      <w:sz w:val="21"/>
                      <w:szCs w:val="21"/>
                    </w:rPr>
                  </w:pPr>
                  <w:r>
                    <w:rPr>
                      <w:rFonts w:hint="eastAsia" w:cs="Times New Roman"/>
                      <w:kern w:val="0"/>
                      <w:sz w:val="21"/>
                      <w:szCs w:val="21"/>
                    </w:rPr>
                    <w:t>247.56</w:t>
                  </w:r>
                </w:p>
              </w:tc>
              <w:tc>
                <w:tcPr>
                  <w:tcW w:w="2638" w:type="dxa"/>
                  <w:vAlign w:val="center"/>
                </w:tcPr>
                <w:p w14:paraId="1ADCE87E">
                  <w:pPr>
                    <w:jc w:val="center"/>
                    <w:rPr>
                      <w:rFonts w:cs="Times New Roman"/>
                      <w:kern w:val="0"/>
                      <w:sz w:val="21"/>
                      <w:szCs w:val="21"/>
                    </w:rPr>
                  </w:pPr>
                  <w:r>
                    <w:rPr>
                      <w:rFonts w:hint="eastAsia" w:cs="Times New Roman"/>
                      <w:kern w:val="0"/>
                      <w:sz w:val="21"/>
                      <w:szCs w:val="21"/>
                    </w:rPr>
                    <w:t>浇筑水下不分散混凝土</w:t>
                  </w:r>
                </w:p>
              </w:tc>
            </w:tr>
            <w:tr w14:paraId="1D70C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854CF44">
                  <w:pPr>
                    <w:jc w:val="center"/>
                    <w:rPr>
                      <w:rFonts w:cs="Times New Roman"/>
                      <w:kern w:val="0"/>
                      <w:sz w:val="21"/>
                      <w:szCs w:val="21"/>
                    </w:rPr>
                  </w:pPr>
                  <w:r>
                    <w:rPr>
                      <w:rFonts w:hint="eastAsia" w:cs="Times New Roman"/>
                      <w:kern w:val="0"/>
                      <w:sz w:val="21"/>
                      <w:szCs w:val="21"/>
                    </w:rPr>
                    <w:t>14</w:t>
                  </w:r>
                </w:p>
              </w:tc>
              <w:tc>
                <w:tcPr>
                  <w:tcW w:w="2676" w:type="dxa"/>
                  <w:vAlign w:val="center"/>
                </w:tcPr>
                <w:p w14:paraId="68A054FE">
                  <w:pPr>
                    <w:jc w:val="center"/>
                    <w:rPr>
                      <w:rFonts w:cs="Times New Roman"/>
                      <w:kern w:val="0"/>
                      <w:sz w:val="21"/>
                      <w:szCs w:val="21"/>
                    </w:rPr>
                  </w:pPr>
                  <w:r>
                    <w:rPr>
                      <w:rFonts w:hint="eastAsia" w:cs="Times New Roman"/>
                      <w:kern w:val="0"/>
                      <w:sz w:val="21"/>
                      <w:szCs w:val="21"/>
                    </w:rPr>
                    <w:t>护轮槛</w:t>
                  </w:r>
                </w:p>
              </w:tc>
              <w:tc>
                <w:tcPr>
                  <w:tcW w:w="706" w:type="dxa"/>
                  <w:vAlign w:val="center"/>
                </w:tcPr>
                <w:p w14:paraId="69E986B0">
                  <w:pPr>
                    <w:jc w:val="center"/>
                    <w:rPr>
                      <w:rFonts w:cs="Times New Roman"/>
                      <w:kern w:val="0"/>
                      <w:sz w:val="21"/>
                      <w:szCs w:val="21"/>
                    </w:rPr>
                  </w:pPr>
                  <w:r>
                    <w:rPr>
                      <w:rFonts w:hint="eastAsia" w:cs="Times New Roman"/>
                      <w:kern w:val="0"/>
                      <w:sz w:val="21"/>
                      <w:szCs w:val="21"/>
                    </w:rPr>
                    <w:t>m³</w:t>
                  </w:r>
                </w:p>
              </w:tc>
              <w:tc>
                <w:tcPr>
                  <w:tcW w:w="899" w:type="dxa"/>
                  <w:vAlign w:val="center"/>
                </w:tcPr>
                <w:p w14:paraId="3EE0F5CA">
                  <w:pPr>
                    <w:jc w:val="center"/>
                    <w:rPr>
                      <w:rFonts w:cs="Times New Roman"/>
                      <w:kern w:val="0"/>
                      <w:sz w:val="21"/>
                      <w:szCs w:val="21"/>
                    </w:rPr>
                  </w:pPr>
                  <w:r>
                    <w:rPr>
                      <w:rFonts w:hint="eastAsia" w:cs="Times New Roman"/>
                      <w:kern w:val="0"/>
                      <w:sz w:val="21"/>
                      <w:szCs w:val="21"/>
                    </w:rPr>
                    <w:t>12.20</w:t>
                  </w:r>
                </w:p>
              </w:tc>
              <w:tc>
                <w:tcPr>
                  <w:tcW w:w="2638" w:type="dxa"/>
                  <w:vAlign w:val="center"/>
                </w:tcPr>
                <w:p w14:paraId="574216C8">
                  <w:pPr>
                    <w:jc w:val="center"/>
                    <w:rPr>
                      <w:rFonts w:cs="Times New Roman"/>
                      <w:kern w:val="0"/>
                      <w:sz w:val="21"/>
                      <w:szCs w:val="21"/>
                    </w:rPr>
                  </w:pPr>
                </w:p>
              </w:tc>
            </w:tr>
            <w:tr w14:paraId="0CB29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6EBE59E">
                  <w:pPr>
                    <w:jc w:val="center"/>
                    <w:rPr>
                      <w:rFonts w:cs="Times New Roman"/>
                      <w:kern w:val="0"/>
                      <w:sz w:val="21"/>
                      <w:szCs w:val="21"/>
                    </w:rPr>
                  </w:pPr>
                  <w:r>
                    <w:rPr>
                      <w:rFonts w:hint="eastAsia" w:cs="Times New Roman"/>
                      <w:kern w:val="0"/>
                      <w:sz w:val="21"/>
                      <w:szCs w:val="21"/>
                    </w:rPr>
                    <w:t>15</w:t>
                  </w:r>
                </w:p>
              </w:tc>
              <w:tc>
                <w:tcPr>
                  <w:tcW w:w="2676" w:type="dxa"/>
                  <w:vAlign w:val="center"/>
                </w:tcPr>
                <w:p w14:paraId="12D4B9F7">
                  <w:pPr>
                    <w:jc w:val="center"/>
                    <w:rPr>
                      <w:rFonts w:cs="Times New Roman"/>
                      <w:kern w:val="0"/>
                      <w:sz w:val="21"/>
                      <w:szCs w:val="21"/>
                    </w:rPr>
                  </w:pPr>
                  <w:r>
                    <w:rPr>
                      <w:rFonts w:hint="eastAsia" w:cs="Times New Roman"/>
                      <w:kern w:val="0"/>
                      <w:sz w:val="21"/>
                      <w:szCs w:val="21"/>
                    </w:rPr>
                    <w:t>150KN系船柱</w:t>
                  </w:r>
                </w:p>
              </w:tc>
              <w:tc>
                <w:tcPr>
                  <w:tcW w:w="706" w:type="dxa"/>
                  <w:vAlign w:val="center"/>
                </w:tcPr>
                <w:p w14:paraId="05EEEADD">
                  <w:pPr>
                    <w:jc w:val="center"/>
                    <w:rPr>
                      <w:rFonts w:cs="Times New Roman"/>
                      <w:kern w:val="0"/>
                      <w:sz w:val="21"/>
                      <w:szCs w:val="21"/>
                    </w:rPr>
                  </w:pPr>
                  <w:r>
                    <w:rPr>
                      <w:rFonts w:hint="eastAsia" w:cs="Times New Roman"/>
                      <w:kern w:val="0"/>
                      <w:sz w:val="21"/>
                      <w:szCs w:val="21"/>
                    </w:rPr>
                    <w:t>个</w:t>
                  </w:r>
                </w:p>
              </w:tc>
              <w:tc>
                <w:tcPr>
                  <w:tcW w:w="899" w:type="dxa"/>
                  <w:vAlign w:val="center"/>
                </w:tcPr>
                <w:p w14:paraId="39B4C141">
                  <w:pPr>
                    <w:jc w:val="center"/>
                    <w:rPr>
                      <w:rFonts w:cs="Times New Roman"/>
                      <w:kern w:val="0"/>
                      <w:sz w:val="21"/>
                      <w:szCs w:val="21"/>
                    </w:rPr>
                  </w:pPr>
                  <w:r>
                    <w:rPr>
                      <w:rFonts w:hint="eastAsia" w:cs="Times New Roman"/>
                      <w:kern w:val="0"/>
                      <w:sz w:val="21"/>
                      <w:szCs w:val="21"/>
                    </w:rPr>
                    <w:t>10</w:t>
                  </w:r>
                </w:p>
              </w:tc>
              <w:tc>
                <w:tcPr>
                  <w:tcW w:w="2638" w:type="dxa"/>
                  <w:vAlign w:val="center"/>
                </w:tcPr>
                <w:p w14:paraId="6666B174">
                  <w:pPr>
                    <w:jc w:val="center"/>
                    <w:rPr>
                      <w:rFonts w:cs="Times New Roman"/>
                      <w:kern w:val="0"/>
                      <w:sz w:val="21"/>
                      <w:szCs w:val="21"/>
                    </w:rPr>
                  </w:pPr>
                </w:p>
              </w:tc>
            </w:tr>
            <w:tr w14:paraId="2B448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6B43976">
                  <w:pPr>
                    <w:jc w:val="center"/>
                    <w:rPr>
                      <w:rFonts w:cs="Times New Roman"/>
                      <w:kern w:val="0"/>
                      <w:sz w:val="21"/>
                      <w:szCs w:val="21"/>
                    </w:rPr>
                  </w:pPr>
                  <w:r>
                    <w:rPr>
                      <w:rFonts w:hint="eastAsia" w:cs="Times New Roman"/>
                      <w:kern w:val="0"/>
                      <w:sz w:val="21"/>
                      <w:szCs w:val="21"/>
                    </w:rPr>
                    <w:t>16</w:t>
                  </w:r>
                </w:p>
              </w:tc>
              <w:tc>
                <w:tcPr>
                  <w:tcW w:w="2676" w:type="dxa"/>
                  <w:vAlign w:val="center"/>
                </w:tcPr>
                <w:p w14:paraId="7B0D5E4C">
                  <w:pPr>
                    <w:jc w:val="center"/>
                    <w:rPr>
                      <w:rFonts w:cs="Times New Roman"/>
                      <w:kern w:val="0"/>
                      <w:sz w:val="21"/>
                      <w:szCs w:val="21"/>
                    </w:rPr>
                  </w:pPr>
                  <w:r>
                    <w:rPr>
                      <w:rFonts w:hint="eastAsia" w:cs="Times New Roman"/>
                      <w:kern w:val="0"/>
                      <w:sz w:val="21"/>
                      <w:szCs w:val="21"/>
                    </w:rPr>
                    <w:t>系船柱块体</w:t>
                  </w:r>
                </w:p>
              </w:tc>
              <w:tc>
                <w:tcPr>
                  <w:tcW w:w="706" w:type="dxa"/>
                  <w:vAlign w:val="center"/>
                </w:tcPr>
                <w:p w14:paraId="4AE78252">
                  <w:pPr>
                    <w:jc w:val="center"/>
                    <w:rPr>
                      <w:rFonts w:cs="Times New Roman"/>
                      <w:kern w:val="0"/>
                      <w:sz w:val="21"/>
                      <w:szCs w:val="21"/>
                    </w:rPr>
                  </w:pPr>
                  <w:r>
                    <w:rPr>
                      <w:rFonts w:hint="eastAsia" w:cs="Times New Roman"/>
                      <w:kern w:val="0"/>
                      <w:sz w:val="21"/>
                      <w:szCs w:val="21"/>
                    </w:rPr>
                    <w:t>m³</w:t>
                  </w:r>
                </w:p>
              </w:tc>
              <w:tc>
                <w:tcPr>
                  <w:tcW w:w="899" w:type="dxa"/>
                  <w:vAlign w:val="center"/>
                </w:tcPr>
                <w:p w14:paraId="2E7F4F3E">
                  <w:pPr>
                    <w:jc w:val="center"/>
                    <w:rPr>
                      <w:rFonts w:cs="Times New Roman"/>
                      <w:kern w:val="0"/>
                      <w:sz w:val="21"/>
                      <w:szCs w:val="21"/>
                    </w:rPr>
                  </w:pPr>
                  <w:r>
                    <w:rPr>
                      <w:rFonts w:hint="eastAsia" w:cs="Times New Roman"/>
                      <w:kern w:val="0"/>
                      <w:sz w:val="21"/>
                      <w:szCs w:val="21"/>
                    </w:rPr>
                    <w:t>5.76</w:t>
                  </w:r>
                </w:p>
              </w:tc>
              <w:tc>
                <w:tcPr>
                  <w:tcW w:w="2638" w:type="dxa"/>
                  <w:vAlign w:val="center"/>
                </w:tcPr>
                <w:p w14:paraId="650FD3FD">
                  <w:pPr>
                    <w:jc w:val="center"/>
                    <w:rPr>
                      <w:rFonts w:cs="Times New Roman"/>
                      <w:kern w:val="0"/>
                      <w:sz w:val="21"/>
                      <w:szCs w:val="21"/>
                    </w:rPr>
                  </w:pPr>
                </w:p>
              </w:tc>
            </w:tr>
            <w:tr w14:paraId="64812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3EA57095">
                  <w:pPr>
                    <w:jc w:val="center"/>
                    <w:rPr>
                      <w:rFonts w:cs="Times New Roman"/>
                      <w:kern w:val="0"/>
                      <w:sz w:val="21"/>
                      <w:szCs w:val="21"/>
                    </w:rPr>
                  </w:pPr>
                  <w:r>
                    <w:rPr>
                      <w:rFonts w:hint="eastAsia" w:cs="Times New Roman"/>
                      <w:kern w:val="0"/>
                      <w:sz w:val="21"/>
                      <w:szCs w:val="21"/>
                    </w:rPr>
                    <w:t>17</w:t>
                  </w:r>
                </w:p>
              </w:tc>
              <w:tc>
                <w:tcPr>
                  <w:tcW w:w="2676" w:type="dxa"/>
                  <w:vAlign w:val="center"/>
                </w:tcPr>
                <w:p w14:paraId="6BDCDDF7">
                  <w:pPr>
                    <w:jc w:val="center"/>
                    <w:rPr>
                      <w:rFonts w:cs="Times New Roman"/>
                      <w:kern w:val="0"/>
                      <w:sz w:val="21"/>
                      <w:szCs w:val="21"/>
                    </w:rPr>
                  </w:pPr>
                  <w:r>
                    <w:rPr>
                      <w:rFonts w:hint="eastAsia" w:cs="Times New Roman"/>
                      <w:kern w:val="0"/>
                      <w:sz w:val="21"/>
                      <w:szCs w:val="21"/>
                    </w:rPr>
                    <w:t>系船环</w:t>
                  </w:r>
                </w:p>
              </w:tc>
              <w:tc>
                <w:tcPr>
                  <w:tcW w:w="706" w:type="dxa"/>
                  <w:vAlign w:val="center"/>
                </w:tcPr>
                <w:p w14:paraId="133C44C5">
                  <w:pPr>
                    <w:jc w:val="center"/>
                    <w:rPr>
                      <w:rFonts w:cs="Times New Roman"/>
                      <w:kern w:val="0"/>
                      <w:sz w:val="21"/>
                      <w:szCs w:val="21"/>
                    </w:rPr>
                  </w:pPr>
                  <w:r>
                    <w:rPr>
                      <w:rFonts w:hint="eastAsia" w:cs="Times New Roman"/>
                      <w:kern w:val="0"/>
                      <w:sz w:val="21"/>
                      <w:szCs w:val="21"/>
                    </w:rPr>
                    <w:t>个</w:t>
                  </w:r>
                </w:p>
              </w:tc>
              <w:tc>
                <w:tcPr>
                  <w:tcW w:w="899" w:type="dxa"/>
                  <w:vAlign w:val="center"/>
                </w:tcPr>
                <w:p w14:paraId="0A26ECBF">
                  <w:pPr>
                    <w:jc w:val="center"/>
                    <w:rPr>
                      <w:rFonts w:cs="Times New Roman"/>
                      <w:kern w:val="0"/>
                      <w:sz w:val="21"/>
                      <w:szCs w:val="21"/>
                    </w:rPr>
                  </w:pPr>
                  <w:r>
                    <w:rPr>
                      <w:rFonts w:hint="eastAsia" w:cs="Times New Roman"/>
                      <w:kern w:val="0"/>
                      <w:sz w:val="21"/>
                      <w:szCs w:val="21"/>
                    </w:rPr>
                    <w:t>15</w:t>
                  </w:r>
                </w:p>
              </w:tc>
              <w:tc>
                <w:tcPr>
                  <w:tcW w:w="2638" w:type="dxa"/>
                  <w:vAlign w:val="center"/>
                </w:tcPr>
                <w:p w14:paraId="12551130">
                  <w:pPr>
                    <w:jc w:val="center"/>
                    <w:rPr>
                      <w:rFonts w:cs="Times New Roman"/>
                      <w:kern w:val="0"/>
                      <w:sz w:val="21"/>
                      <w:szCs w:val="21"/>
                    </w:rPr>
                  </w:pPr>
                </w:p>
              </w:tc>
            </w:tr>
            <w:tr w14:paraId="4CAD4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1B286926">
                  <w:pPr>
                    <w:jc w:val="center"/>
                    <w:rPr>
                      <w:rFonts w:cs="Times New Roman"/>
                      <w:kern w:val="0"/>
                      <w:sz w:val="21"/>
                      <w:szCs w:val="21"/>
                    </w:rPr>
                  </w:pPr>
                  <w:r>
                    <w:rPr>
                      <w:rFonts w:hint="eastAsia" w:cs="Times New Roman"/>
                      <w:kern w:val="0"/>
                      <w:sz w:val="21"/>
                      <w:szCs w:val="21"/>
                    </w:rPr>
                    <w:t>18</w:t>
                  </w:r>
                </w:p>
              </w:tc>
              <w:tc>
                <w:tcPr>
                  <w:tcW w:w="2676" w:type="dxa"/>
                  <w:vAlign w:val="center"/>
                </w:tcPr>
                <w:p w14:paraId="78569152">
                  <w:pPr>
                    <w:jc w:val="center"/>
                    <w:rPr>
                      <w:rFonts w:cs="Times New Roman"/>
                      <w:kern w:val="0"/>
                      <w:sz w:val="21"/>
                      <w:szCs w:val="21"/>
                    </w:rPr>
                  </w:pPr>
                  <w:r>
                    <w:rPr>
                      <w:rFonts w:hint="eastAsia" w:cs="Times New Roman"/>
                      <w:kern w:val="0"/>
                      <w:sz w:val="21"/>
                      <w:szCs w:val="21"/>
                    </w:rPr>
                    <w:t>橡胶护舷1</w:t>
                  </w:r>
                </w:p>
              </w:tc>
              <w:tc>
                <w:tcPr>
                  <w:tcW w:w="706" w:type="dxa"/>
                  <w:vAlign w:val="center"/>
                </w:tcPr>
                <w:p w14:paraId="2C11F1AC">
                  <w:pPr>
                    <w:jc w:val="center"/>
                    <w:rPr>
                      <w:rFonts w:cs="Times New Roman"/>
                      <w:kern w:val="0"/>
                      <w:sz w:val="21"/>
                      <w:szCs w:val="21"/>
                    </w:rPr>
                  </w:pPr>
                  <w:r>
                    <w:rPr>
                      <w:rFonts w:hint="eastAsia" w:cs="Times New Roman"/>
                      <w:kern w:val="0"/>
                      <w:sz w:val="21"/>
                      <w:szCs w:val="21"/>
                    </w:rPr>
                    <w:t>个</w:t>
                  </w:r>
                </w:p>
              </w:tc>
              <w:tc>
                <w:tcPr>
                  <w:tcW w:w="899" w:type="dxa"/>
                  <w:vAlign w:val="center"/>
                </w:tcPr>
                <w:p w14:paraId="47712921">
                  <w:pPr>
                    <w:jc w:val="center"/>
                    <w:rPr>
                      <w:rFonts w:cs="Times New Roman"/>
                      <w:kern w:val="0"/>
                      <w:sz w:val="21"/>
                      <w:szCs w:val="21"/>
                    </w:rPr>
                  </w:pPr>
                  <w:r>
                    <w:rPr>
                      <w:rFonts w:hint="eastAsia" w:cs="Times New Roman"/>
                      <w:kern w:val="0"/>
                      <w:sz w:val="21"/>
                      <w:szCs w:val="21"/>
                    </w:rPr>
                    <w:t>15</w:t>
                  </w:r>
                </w:p>
              </w:tc>
              <w:tc>
                <w:tcPr>
                  <w:tcW w:w="2638" w:type="dxa"/>
                  <w:vAlign w:val="center"/>
                </w:tcPr>
                <w:p w14:paraId="5B43A211">
                  <w:pPr>
                    <w:jc w:val="center"/>
                    <w:rPr>
                      <w:rFonts w:cs="Times New Roman"/>
                      <w:kern w:val="0"/>
                      <w:sz w:val="21"/>
                      <w:szCs w:val="21"/>
                    </w:rPr>
                  </w:pPr>
                  <w:r>
                    <w:rPr>
                      <w:rFonts w:hint="eastAsia" w:cs="Times New Roman"/>
                      <w:kern w:val="0"/>
                      <w:sz w:val="21"/>
                      <w:szCs w:val="21"/>
                    </w:rPr>
                    <w:t>D300×300×1000-3Z</w:t>
                  </w:r>
                </w:p>
              </w:tc>
            </w:tr>
            <w:tr w14:paraId="4DB15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7070394">
                  <w:pPr>
                    <w:jc w:val="center"/>
                    <w:rPr>
                      <w:rFonts w:cs="Times New Roman"/>
                      <w:kern w:val="0"/>
                      <w:sz w:val="21"/>
                      <w:szCs w:val="21"/>
                    </w:rPr>
                  </w:pPr>
                  <w:r>
                    <w:rPr>
                      <w:rFonts w:hint="eastAsia" w:cs="Times New Roman"/>
                      <w:kern w:val="0"/>
                      <w:sz w:val="21"/>
                      <w:szCs w:val="21"/>
                    </w:rPr>
                    <w:t>19</w:t>
                  </w:r>
                </w:p>
              </w:tc>
              <w:tc>
                <w:tcPr>
                  <w:tcW w:w="2676" w:type="dxa"/>
                  <w:vAlign w:val="center"/>
                </w:tcPr>
                <w:p w14:paraId="43213289">
                  <w:pPr>
                    <w:jc w:val="center"/>
                    <w:rPr>
                      <w:rFonts w:cs="Times New Roman"/>
                      <w:kern w:val="0"/>
                      <w:sz w:val="21"/>
                      <w:szCs w:val="21"/>
                    </w:rPr>
                  </w:pPr>
                  <w:r>
                    <w:rPr>
                      <w:rFonts w:hint="eastAsia" w:cs="Times New Roman"/>
                      <w:kern w:val="0"/>
                      <w:sz w:val="21"/>
                      <w:szCs w:val="21"/>
                    </w:rPr>
                    <w:t>橡胶护舷2</w:t>
                  </w:r>
                </w:p>
              </w:tc>
              <w:tc>
                <w:tcPr>
                  <w:tcW w:w="706" w:type="dxa"/>
                  <w:vAlign w:val="center"/>
                </w:tcPr>
                <w:p w14:paraId="6B9C8F94">
                  <w:pPr>
                    <w:jc w:val="center"/>
                    <w:rPr>
                      <w:rFonts w:cs="Times New Roman"/>
                      <w:kern w:val="0"/>
                      <w:sz w:val="21"/>
                      <w:szCs w:val="21"/>
                    </w:rPr>
                  </w:pPr>
                  <w:r>
                    <w:rPr>
                      <w:rFonts w:hint="eastAsia" w:cs="Times New Roman"/>
                      <w:kern w:val="0"/>
                      <w:sz w:val="21"/>
                      <w:szCs w:val="21"/>
                    </w:rPr>
                    <w:t>个</w:t>
                  </w:r>
                </w:p>
              </w:tc>
              <w:tc>
                <w:tcPr>
                  <w:tcW w:w="899" w:type="dxa"/>
                  <w:vAlign w:val="center"/>
                </w:tcPr>
                <w:p w14:paraId="703D0A7D">
                  <w:pPr>
                    <w:jc w:val="center"/>
                    <w:rPr>
                      <w:rFonts w:cs="Times New Roman"/>
                      <w:kern w:val="0"/>
                      <w:sz w:val="21"/>
                      <w:szCs w:val="21"/>
                    </w:rPr>
                  </w:pPr>
                  <w:r>
                    <w:rPr>
                      <w:rFonts w:hint="eastAsia" w:cs="Times New Roman"/>
                      <w:kern w:val="0"/>
                      <w:sz w:val="21"/>
                      <w:szCs w:val="21"/>
                    </w:rPr>
                    <w:t>45</w:t>
                  </w:r>
                </w:p>
              </w:tc>
              <w:tc>
                <w:tcPr>
                  <w:tcW w:w="2638" w:type="dxa"/>
                  <w:vAlign w:val="center"/>
                </w:tcPr>
                <w:p w14:paraId="70C842A3">
                  <w:pPr>
                    <w:jc w:val="center"/>
                    <w:rPr>
                      <w:rFonts w:cs="Times New Roman"/>
                      <w:kern w:val="0"/>
                      <w:sz w:val="21"/>
                      <w:szCs w:val="21"/>
                    </w:rPr>
                  </w:pPr>
                  <w:r>
                    <w:rPr>
                      <w:rFonts w:hint="eastAsia" w:cs="Times New Roman"/>
                      <w:kern w:val="0"/>
                      <w:sz w:val="21"/>
                      <w:szCs w:val="21"/>
                    </w:rPr>
                    <w:t>D300×300×1500-3Z</w:t>
                  </w:r>
                </w:p>
              </w:tc>
            </w:tr>
            <w:tr w14:paraId="65FED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E216660">
                  <w:pPr>
                    <w:jc w:val="center"/>
                    <w:rPr>
                      <w:rFonts w:cs="Times New Roman"/>
                      <w:kern w:val="0"/>
                      <w:sz w:val="21"/>
                      <w:szCs w:val="21"/>
                    </w:rPr>
                  </w:pPr>
                  <w:r>
                    <w:rPr>
                      <w:rFonts w:hint="eastAsia" w:cs="Times New Roman"/>
                      <w:kern w:val="0"/>
                      <w:sz w:val="21"/>
                      <w:szCs w:val="21"/>
                    </w:rPr>
                    <w:t>20</w:t>
                  </w:r>
                </w:p>
              </w:tc>
              <w:tc>
                <w:tcPr>
                  <w:tcW w:w="2676" w:type="dxa"/>
                  <w:vAlign w:val="center"/>
                </w:tcPr>
                <w:p w14:paraId="72614504">
                  <w:pPr>
                    <w:jc w:val="center"/>
                    <w:rPr>
                      <w:rFonts w:cs="Times New Roman"/>
                      <w:kern w:val="0"/>
                      <w:sz w:val="21"/>
                      <w:szCs w:val="21"/>
                    </w:rPr>
                  </w:pPr>
                  <w:r>
                    <w:rPr>
                      <w:rFonts w:hint="eastAsia" w:cs="Times New Roman"/>
                      <w:kern w:val="0"/>
                      <w:sz w:val="21"/>
                      <w:szCs w:val="21"/>
                    </w:rPr>
                    <w:t>橡胶护舷3</w:t>
                  </w:r>
                </w:p>
              </w:tc>
              <w:tc>
                <w:tcPr>
                  <w:tcW w:w="706" w:type="dxa"/>
                  <w:vAlign w:val="center"/>
                </w:tcPr>
                <w:p w14:paraId="18A1A9FC">
                  <w:pPr>
                    <w:jc w:val="center"/>
                    <w:rPr>
                      <w:rFonts w:cs="Times New Roman"/>
                      <w:kern w:val="0"/>
                      <w:sz w:val="21"/>
                      <w:szCs w:val="21"/>
                    </w:rPr>
                  </w:pPr>
                  <w:r>
                    <w:rPr>
                      <w:rFonts w:hint="eastAsia" w:cs="Times New Roman"/>
                      <w:kern w:val="0"/>
                      <w:sz w:val="21"/>
                      <w:szCs w:val="21"/>
                    </w:rPr>
                    <w:t>个</w:t>
                  </w:r>
                </w:p>
              </w:tc>
              <w:tc>
                <w:tcPr>
                  <w:tcW w:w="899" w:type="dxa"/>
                  <w:vAlign w:val="center"/>
                </w:tcPr>
                <w:p w14:paraId="0D02E205">
                  <w:pPr>
                    <w:jc w:val="center"/>
                    <w:rPr>
                      <w:rFonts w:cs="Times New Roman"/>
                      <w:kern w:val="0"/>
                      <w:sz w:val="21"/>
                      <w:szCs w:val="21"/>
                    </w:rPr>
                  </w:pPr>
                  <w:r>
                    <w:rPr>
                      <w:rFonts w:hint="eastAsia" w:cs="Times New Roman"/>
                      <w:kern w:val="0"/>
                      <w:sz w:val="21"/>
                      <w:szCs w:val="21"/>
                    </w:rPr>
                    <w:t>3</w:t>
                  </w:r>
                </w:p>
              </w:tc>
              <w:tc>
                <w:tcPr>
                  <w:tcW w:w="2638" w:type="dxa"/>
                  <w:vAlign w:val="center"/>
                </w:tcPr>
                <w:p w14:paraId="42A59981">
                  <w:pPr>
                    <w:jc w:val="center"/>
                    <w:rPr>
                      <w:rFonts w:cs="Times New Roman"/>
                      <w:kern w:val="0"/>
                      <w:sz w:val="21"/>
                      <w:szCs w:val="21"/>
                    </w:rPr>
                  </w:pPr>
                  <w:r>
                    <w:rPr>
                      <w:rFonts w:hint="eastAsia" w:cs="Times New Roman"/>
                      <w:kern w:val="0"/>
                      <w:sz w:val="21"/>
                      <w:szCs w:val="21"/>
                    </w:rPr>
                    <w:t>D300包角护舷</w:t>
                  </w:r>
                </w:p>
              </w:tc>
            </w:tr>
            <w:tr w14:paraId="7B331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D20622B">
                  <w:pPr>
                    <w:jc w:val="center"/>
                    <w:rPr>
                      <w:rFonts w:cs="Times New Roman"/>
                      <w:kern w:val="0"/>
                      <w:sz w:val="21"/>
                      <w:szCs w:val="21"/>
                    </w:rPr>
                  </w:pPr>
                  <w:r>
                    <w:rPr>
                      <w:rFonts w:hint="eastAsia" w:cs="Times New Roman"/>
                      <w:kern w:val="0"/>
                      <w:sz w:val="21"/>
                      <w:szCs w:val="21"/>
                    </w:rPr>
                    <w:t>21</w:t>
                  </w:r>
                </w:p>
              </w:tc>
              <w:tc>
                <w:tcPr>
                  <w:tcW w:w="2676" w:type="dxa"/>
                  <w:vAlign w:val="center"/>
                </w:tcPr>
                <w:p w14:paraId="5E6309A6">
                  <w:pPr>
                    <w:jc w:val="center"/>
                    <w:rPr>
                      <w:rFonts w:cs="Times New Roman"/>
                      <w:kern w:val="0"/>
                      <w:sz w:val="21"/>
                      <w:szCs w:val="21"/>
                    </w:rPr>
                  </w:pPr>
                  <w:r>
                    <w:rPr>
                      <w:rFonts w:hint="eastAsia" w:cs="Times New Roman"/>
                      <w:kern w:val="0"/>
                      <w:sz w:val="21"/>
                      <w:szCs w:val="21"/>
                    </w:rPr>
                    <w:t>开挖量</w:t>
                  </w:r>
                </w:p>
              </w:tc>
              <w:tc>
                <w:tcPr>
                  <w:tcW w:w="706" w:type="dxa"/>
                  <w:vAlign w:val="center"/>
                </w:tcPr>
                <w:p w14:paraId="1876133A">
                  <w:pPr>
                    <w:jc w:val="center"/>
                    <w:rPr>
                      <w:rFonts w:cs="Times New Roman"/>
                      <w:kern w:val="0"/>
                      <w:sz w:val="21"/>
                      <w:szCs w:val="21"/>
                    </w:rPr>
                  </w:pPr>
                  <w:r>
                    <w:rPr>
                      <w:rFonts w:hint="eastAsia" w:cs="Times New Roman"/>
                      <w:kern w:val="0"/>
                      <w:sz w:val="21"/>
                      <w:szCs w:val="21"/>
                    </w:rPr>
                    <w:t>m³</w:t>
                  </w:r>
                </w:p>
              </w:tc>
              <w:tc>
                <w:tcPr>
                  <w:tcW w:w="899" w:type="dxa"/>
                  <w:vAlign w:val="center"/>
                </w:tcPr>
                <w:p w14:paraId="04CC5D75">
                  <w:pPr>
                    <w:jc w:val="center"/>
                    <w:rPr>
                      <w:rFonts w:cs="Times New Roman"/>
                      <w:kern w:val="0"/>
                      <w:sz w:val="21"/>
                      <w:szCs w:val="21"/>
                    </w:rPr>
                  </w:pPr>
                  <w:r>
                    <w:rPr>
                      <w:rFonts w:hint="eastAsia" w:cs="Times New Roman"/>
                      <w:kern w:val="0"/>
                      <w:sz w:val="21"/>
                      <w:szCs w:val="21"/>
                    </w:rPr>
                    <w:t>2737.36</w:t>
                  </w:r>
                </w:p>
              </w:tc>
              <w:tc>
                <w:tcPr>
                  <w:tcW w:w="2638" w:type="dxa"/>
                  <w:vAlign w:val="center"/>
                </w:tcPr>
                <w:p w14:paraId="2F2A0CA0">
                  <w:pPr>
                    <w:jc w:val="center"/>
                    <w:rPr>
                      <w:rFonts w:cs="Times New Roman"/>
                      <w:kern w:val="0"/>
                      <w:sz w:val="21"/>
                      <w:szCs w:val="21"/>
                    </w:rPr>
                  </w:pPr>
                </w:p>
              </w:tc>
            </w:tr>
            <w:tr w14:paraId="0340E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FF957F0">
                  <w:pPr>
                    <w:jc w:val="center"/>
                    <w:rPr>
                      <w:rFonts w:cs="Times New Roman"/>
                      <w:kern w:val="0"/>
                      <w:sz w:val="21"/>
                      <w:szCs w:val="21"/>
                    </w:rPr>
                  </w:pPr>
                  <w:r>
                    <w:rPr>
                      <w:rFonts w:hint="eastAsia" w:cs="Times New Roman"/>
                      <w:kern w:val="0"/>
                      <w:sz w:val="21"/>
                      <w:szCs w:val="21"/>
                    </w:rPr>
                    <w:t>22</w:t>
                  </w:r>
                </w:p>
              </w:tc>
              <w:tc>
                <w:tcPr>
                  <w:tcW w:w="2676" w:type="dxa"/>
                  <w:vAlign w:val="center"/>
                </w:tcPr>
                <w:p w14:paraId="0BAF5241">
                  <w:pPr>
                    <w:jc w:val="center"/>
                    <w:rPr>
                      <w:rFonts w:cs="Times New Roman"/>
                      <w:kern w:val="0"/>
                      <w:sz w:val="21"/>
                      <w:szCs w:val="21"/>
                    </w:rPr>
                  </w:pPr>
                  <w:r>
                    <w:rPr>
                      <w:rFonts w:hint="eastAsia" w:cs="Times New Roman"/>
                      <w:kern w:val="0"/>
                      <w:sz w:val="21"/>
                      <w:szCs w:val="21"/>
                    </w:rPr>
                    <w:t>栏杆</w:t>
                  </w:r>
                </w:p>
              </w:tc>
              <w:tc>
                <w:tcPr>
                  <w:tcW w:w="706" w:type="dxa"/>
                  <w:vAlign w:val="center"/>
                </w:tcPr>
                <w:p w14:paraId="5FF346B4">
                  <w:pPr>
                    <w:jc w:val="center"/>
                    <w:rPr>
                      <w:rFonts w:cs="Times New Roman"/>
                      <w:kern w:val="0"/>
                      <w:sz w:val="21"/>
                      <w:szCs w:val="21"/>
                    </w:rPr>
                  </w:pPr>
                  <w:r>
                    <w:rPr>
                      <w:rFonts w:hint="eastAsia" w:cs="Times New Roman"/>
                      <w:kern w:val="0"/>
                      <w:sz w:val="21"/>
                      <w:szCs w:val="21"/>
                    </w:rPr>
                    <w:t>m</w:t>
                  </w:r>
                </w:p>
              </w:tc>
              <w:tc>
                <w:tcPr>
                  <w:tcW w:w="899" w:type="dxa"/>
                  <w:vAlign w:val="center"/>
                </w:tcPr>
                <w:p w14:paraId="12EC3EFC">
                  <w:pPr>
                    <w:jc w:val="center"/>
                    <w:rPr>
                      <w:rFonts w:cs="Times New Roman"/>
                      <w:kern w:val="0"/>
                      <w:sz w:val="21"/>
                      <w:szCs w:val="21"/>
                    </w:rPr>
                  </w:pPr>
                  <w:r>
                    <w:rPr>
                      <w:rFonts w:hint="eastAsia" w:cs="Times New Roman"/>
                      <w:kern w:val="0"/>
                      <w:sz w:val="21"/>
                      <w:szCs w:val="21"/>
                    </w:rPr>
                    <w:t>135.50</w:t>
                  </w:r>
                </w:p>
              </w:tc>
              <w:tc>
                <w:tcPr>
                  <w:tcW w:w="2638" w:type="dxa"/>
                  <w:vAlign w:val="center"/>
                </w:tcPr>
                <w:p w14:paraId="0C3909FD">
                  <w:pPr>
                    <w:jc w:val="center"/>
                    <w:rPr>
                      <w:rFonts w:cs="Times New Roman"/>
                      <w:kern w:val="0"/>
                      <w:sz w:val="21"/>
                      <w:szCs w:val="21"/>
                    </w:rPr>
                  </w:pPr>
                </w:p>
              </w:tc>
            </w:tr>
            <w:tr w14:paraId="63F1C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EE6543A">
                  <w:pPr>
                    <w:jc w:val="center"/>
                    <w:rPr>
                      <w:rFonts w:cs="Times New Roman"/>
                      <w:kern w:val="0"/>
                      <w:sz w:val="21"/>
                      <w:szCs w:val="21"/>
                    </w:rPr>
                  </w:pPr>
                  <w:r>
                    <w:rPr>
                      <w:rFonts w:hint="eastAsia" w:cs="Times New Roman"/>
                      <w:kern w:val="0"/>
                      <w:sz w:val="21"/>
                      <w:szCs w:val="21"/>
                    </w:rPr>
                    <w:t>23</w:t>
                  </w:r>
                </w:p>
              </w:tc>
              <w:tc>
                <w:tcPr>
                  <w:tcW w:w="2676" w:type="dxa"/>
                  <w:vAlign w:val="center"/>
                </w:tcPr>
                <w:p w14:paraId="453A1102">
                  <w:pPr>
                    <w:jc w:val="center"/>
                    <w:rPr>
                      <w:rFonts w:cs="Times New Roman"/>
                      <w:kern w:val="0"/>
                      <w:sz w:val="21"/>
                      <w:szCs w:val="21"/>
                    </w:rPr>
                  </w:pPr>
                  <w:r>
                    <w:rPr>
                      <w:rFonts w:hint="eastAsia" w:cs="Times New Roman"/>
                      <w:kern w:val="0"/>
                      <w:sz w:val="21"/>
                      <w:szCs w:val="21"/>
                    </w:rPr>
                    <w:t>护边角钢</w:t>
                  </w:r>
                </w:p>
              </w:tc>
              <w:tc>
                <w:tcPr>
                  <w:tcW w:w="706" w:type="dxa"/>
                  <w:vAlign w:val="center"/>
                </w:tcPr>
                <w:p w14:paraId="5FAB4EB2">
                  <w:pPr>
                    <w:jc w:val="center"/>
                    <w:rPr>
                      <w:rFonts w:cs="Times New Roman"/>
                      <w:kern w:val="0"/>
                      <w:sz w:val="21"/>
                      <w:szCs w:val="21"/>
                    </w:rPr>
                  </w:pPr>
                  <w:r>
                    <w:rPr>
                      <w:rFonts w:hint="eastAsia" w:cs="Times New Roman"/>
                      <w:kern w:val="0"/>
                      <w:sz w:val="21"/>
                      <w:szCs w:val="21"/>
                    </w:rPr>
                    <w:t>m</w:t>
                  </w:r>
                </w:p>
              </w:tc>
              <w:tc>
                <w:tcPr>
                  <w:tcW w:w="899" w:type="dxa"/>
                  <w:vAlign w:val="center"/>
                </w:tcPr>
                <w:p w14:paraId="49F6DBC1">
                  <w:pPr>
                    <w:jc w:val="center"/>
                    <w:rPr>
                      <w:rFonts w:cs="Times New Roman"/>
                      <w:kern w:val="0"/>
                      <w:sz w:val="21"/>
                      <w:szCs w:val="21"/>
                    </w:rPr>
                  </w:pPr>
                  <w:r>
                    <w:rPr>
                      <w:rFonts w:hint="eastAsia" w:cs="Times New Roman"/>
                      <w:kern w:val="0"/>
                      <w:sz w:val="21"/>
                      <w:szCs w:val="21"/>
                    </w:rPr>
                    <w:t>5</w:t>
                  </w:r>
                </w:p>
              </w:tc>
              <w:tc>
                <w:tcPr>
                  <w:tcW w:w="2638" w:type="dxa"/>
                  <w:vAlign w:val="center"/>
                </w:tcPr>
                <w:p w14:paraId="1E5953D5">
                  <w:pPr>
                    <w:jc w:val="center"/>
                    <w:rPr>
                      <w:rFonts w:cs="Times New Roman"/>
                      <w:kern w:val="0"/>
                      <w:sz w:val="21"/>
                      <w:szCs w:val="21"/>
                    </w:rPr>
                  </w:pPr>
                  <w:r>
                    <w:rPr>
                      <w:rFonts w:hint="eastAsia" w:cs="Times New Roman"/>
                      <w:kern w:val="0"/>
                      <w:sz w:val="21"/>
                      <w:szCs w:val="21"/>
                    </w:rPr>
                    <w:t>63×6</w:t>
                  </w:r>
                </w:p>
              </w:tc>
            </w:tr>
            <w:tr w14:paraId="31CAE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27" w:type="dxa"/>
                  <w:gridSpan w:val="5"/>
                  <w:vAlign w:val="center"/>
                </w:tcPr>
                <w:p w14:paraId="0F75B5C4">
                  <w:pPr>
                    <w:jc w:val="center"/>
                    <w:rPr>
                      <w:rFonts w:cs="Times New Roman"/>
                      <w:b/>
                      <w:bCs/>
                      <w:kern w:val="0"/>
                      <w:sz w:val="21"/>
                      <w:szCs w:val="21"/>
                    </w:rPr>
                  </w:pPr>
                  <w:r>
                    <w:rPr>
                      <w:rFonts w:hint="eastAsia" w:cs="Times New Roman"/>
                      <w:b/>
                      <w:bCs/>
                      <w:kern w:val="0"/>
                      <w:sz w:val="21"/>
                      <w:szCs w:val="21"/>
                    </w:rPr>
                    <w:t>南侧直立式护岸工程量表</w:t>
                  </w:r>
                </w:p>
              </w:tc>
            </w:tr>
            <w:tr w14:paraId="21558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F1803DF">
                  <w:pPr>
                    <w:jc w:val="center"/>
                    <w:rPr>
                      <w:rFonts w:cs="Times New Roman"/>
                      <w:kern w:val="0"/>
                      <w:sz w:val="21"/>
                      <w:szCs w:val="21"/>
                    </w:rPr>
                  </w:pPr>
                  <w:r>
                    <w:rPr>
                      <w:rFonts w:hint="eastAsia" w:cs="Times New Roman"/>
                      <w:kern w:val="0"/>
                      <w:sz w:val="21"/>
                      <w:szCs w:val="21"/>
                    </w:rPr>
                    <w:t>1</w:t>
                  </w:r>
                </w:p>
              </w:tc>
              <w:tc>
                <w:tcPr>
                  <w:tcW w:w="2676" w:type="dxa"/>
                  <w:vAlign w:val="center"/>
                </w:tcPr>
                <w:p w14:paraId="67594FC9">
                  <w:pPr>
                    <w:jc w:val="center"/>
                    <w:rPr>
                      <w:rFonts w:cs="Times New Roman"/>
                      <w:kern w:val="0"/>
                      <w:sz w:val="21"/>
                      <w:szCs w:val="21"/>
                    </w:rPr>
                  </w:pPr>
                  <w:r>
                    <w:rPr>
                      <w:rFonts w:hint="eastAsia" w:cs="Times New Roman"/>
                      <w:kern w:val="0"/>
                      <w:sz w:val="21"/>
                      <w:szCs w:val="21"/>
                    </w:rPr>
                    <w:t>现浇混凝土胸墙</w:t>
                  </w:r>
                </w:p>
              </w:tc>
              <w:tc>
                <w:tcPr>
                  <w:tcW w:w="706" w:type="dxa"/>
                  <w:vAlign w:val="center"/>
                </w:tcPr>
                <w:p w14:paraId="6856C0B0">
                  <w:pPr>
                    <w:jc w:val="center"/>
                    <w:rPr>
                      <w:rFonts w:cs="Times New Roman"/>
                      <w:kern w:val="0"/>
                      <w:sz w:val="21"/>
                      <w:szCs w:val="21"/>
                    </w:rPr>
                  </w:pPr>
                  <w:r>
                    <w:rPr>
                      <w:rFonts w:hint="eastAsia" w:cs="Times New Roman"/>
                      <w:kern w:val="0"/>
                      <w:sz w:val="21"/>
                      <w:szCs w:val="21"/>
                    </w:rPr>
                    <w:t>m³</w:t>
                  </w:r>
                </w:p>
              </w:tc>
              <w:tc>
                <w:tcPr>
                  <w:tcW w:w="899" w:type="dxa"/>
                  <w:vAlign w:val="center"/>
                </w:tcPr>
                <w:p w14:paraId="632B04A4">
                  <w:pPr>
                    <w:jc w:val="center"/>
                    <w:rPr>
                      <w:rFonts w:cs="Times New Roman"/>
                      <w:kern w:val="0"/>
                      <w:sz w:val="21"/>
                      <w:szCs w:val="21"/>
                    </w:rPr>
                  </w:pPr>
                  <w:r>
                    <w:rPr>
                      <w:rFonts w:hint="eastAsia" w:cs="Times New Roman"/>
                      <w:kern w:val="0"/>
                      <w:sz w:val="21"/>
                      <w:szCs w:val="21"/>
                    </w:rPr>
                    <w:t>555.00</w:t>
                  </w:r>
                </w:p>
              </w:tc>
              <w:tc>
                <w:tcPr>
                  <w:tcW w:w="2638" w:type="dxa"/>
                  <w:vAlign w:val="center"/>
                </w:tcPr>
                <w:p w14:paraId="045DE637">
                  <w:pPr>
                    <w:jc w:val="center"/>
                    <w:rPr>
                      <w:rFonts w:cs="Times New Roman"/>
                      <w:kern w:val="0"/>
                      <w:sz w:val="21"/>
                      <w:szCs w:val="21"/>
                    </w:rPr>
                  </w:pPr>
                  <w:r>
                    <w:rPr>
                      <w:rFonts w:hint="eastAsia" w:cs="Times New Roman"/>
                      <w:kern w:val="0"/>
                      <w:sz w:val="21"/>
                      <w:szCs w:val="21"/>
                    </w:rPr>
                    <w:t>C30F300</w:t>
                  </w:r>
                </w:p>
              </w:tc>
            </w:tr>
            <w:tr w14:paraId="677D8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restart"/>
                  <w:vAlign w:val="center"/>
                </w:tcPr>
                <w:p w14:paraId="419EE26F">
                  <w:pPr>
                    <w:jc w:val="center"/>
                    <w:rPr>
                      <w:rFonts w:cs="Times New Roman"/>
                      <w:kern w:val="0"/>
                      <w:sz w:val="21"/>
                      <w:szCs w:val="21"/>
                    </w:rPr>
                  </w:pPr>
                  <w:r>
                    <w:rPr>
                      <w:rFonts w:hint="eastAsia" w:cs="Times New Roman"/>
                      <w:kern w:val="0"/>
                      <w:sz w:val="21"/>
                      <w:szCs w:val="21"/>
                    </w:rPr>
                    <w:t>2</w:t>
                  </w:r>
                </w:p>
              </w:tc>
              <w:tc>
                <w:tcPr>
                  <w:tcW w:w="2676" w:type="dxa"/>
                  <w:vAlign w:val="center"/>
                </w:tcPr>
                <w:p w14:paraId="0761810A">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429FFF66">
                  <w:pPr>
                    <w:jc w:val="center"/>
                    <w:rPr>
                      <w:rFonts w:cs="Times New Roman"/>
                      <w:kern w:val="0"/>
                      <w:sz w:val="21"/>
                      <w:szCs w:val="21"/>
                    </w:rPr>
                  </w:pPr>
                  <w:r>
                    <w:rPr>
                      <w:rFonts w:hint="eastAsia" w:cs="Times New Roman"/>
                      <w:kern w:val="0"/>
                      <w:sz w:val="21"/>
                      <w:szCs w:val="21"/>
                    </w:rPr>
                    <w:t>个</w:t>
                  </w:r>
                </w:p>
              </w:tc>
              <w:tc>
                <w:tcPr>
                  <w:tcW w:w="899" w:type="dxa"/>
                  <w:vAlign w:val="center"/>
                </w:tcPr>
                <w:p w14:paraId="0F15D0B0">
                  <w:pPr>
                    <w:jc w:val="center"/>
                    <w:rPr>
                      <w:rFonts w:cs="Times New Roman"/>
                      <w:kern w:val="0"/>
                      <w:sz w:val="21"/>
                      <w:szCs w:val="21"/>
                    </w:rPr>
                  </w:pPr>
                  <w:r>
                    <w:rPr>
                      <w:rFonts w:hint="eastAsia" w:cs="Times New Roman"/>
                      <w:kern w:val="0"/>
                      <w:sz w:val="21"/>
                      <w:szCs w:val="21"/>
                    </w:rPr>
                    <w:t>15</w:t>
                  </w:r>
                </w:p>
              </w:tc>
              <w:tc>
                <w:tcPr>
                  <w:tcW w:w="2638" w:type="dxa"/>
                  <w:vMerge w:val="restart"/>
                  <w:vAlign w:val="center"/>
                </w:tcPr>
                <w:p w14:paraId="52F3A13D">
                  <w:pPr>
                    <w:jc w:val="center"/>
                    <w:rPr>
                      <w:rFonts w:cs="Times New Roman"/>
                      <w:kern w:val="0"/>
                      <w:sz w:val="21"/>
                      <w:szCs w:val="21"/>
                    </w:rPr>
                  </w:pPr>
                  <w:r>
                    <w:rPr>
                      <w:rFonts w:hint="eastAsia" w:cs="Times New Roman"/>
                      <w:kern w:val="0"/>
                      <w:sz w:val="21"/>
                      <w:szCs w:val="21"/>
                    </w:rPr>
                    <w:t>C30F300，4m×3m×1.6m</w:t>
                  </w:r>
                </w:p>
              </w:tc>
            </w:tr>
            <w:tr w14:paraId="71479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0593B456">
                  <w:pPr>
                    <w:jc w:val="center"/>
                    <w:rPr>
                      <w:rFonts w:cs="Times New Roman"/>
                      <w:kern w:val="0"/>
                      <w:sz w:val="21"/>
                      <w:szCs w:val="21"/>
                    </w:rPr>
                  </w:pPr>
                </w:p>
              </w:tc>
              <w:tc>
                <w:tcPr>
                  <w:tcW w:w="2676" w:type="dxa"/>
                  <w:vAlign w:val="center"/>
                </w:tcPr>
                <w:p w14:paraId="0E79F1F4">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7743E5A5">
                  <w:pPr>
                    <w:jc w:val="center"/>
                    <w:rPr>
                      <w:rFonts w:cs="Times New Roman"/>
                      <w:kern w:val="0"/>
                      <w:sz w:val="21"/>
                      <w:szCs w:val="21"/>
                    </w:rPr>
                  </w:pPr>
                  <w:r>
                    <w:rPr>
                      <w:rFonts w:hint="eastAsia" w:cs="Times New Roman"/>
                      <w:kern w:val="0"/>
                      <w:sz w:val="21"/>
                      <w:szCs w:val="21"/>
                    </w:rPr>
                    <w:t>m³</w:t>
                  </w:r>
                </w:p>
              </w:tc>
              <w:tc>
                <w:tcPr>
                  <w:tcW w:w="899" w:type="dxa"/>
                  <w:vAlign w:val="center"/>
                </w:tcPr>
                <w:p w14:paraId="02CDDA24">
                  <w:pPr>
                    <w:jc w:val="center"/>
                    <w:rPr>
                      <w:rFonts w:cs="Times New Roman"/>
                      <w:kern w:val="0"/>
                      <w:sz w:val="21"/>
                      <w:szCs w:val="21"/>
                    </w:rPr>
                  </w:pPr>
                  <w:r>
                    <w:rPr>
                      <w:rFonts w:hint="eastAsia" w:cs="Times New Roman"/>
                      <w:kern w:val="0"/>
                      <w:sz w:val="21"/>
                      <w:szCs w:val="21"/>
                    </w:rPr>
                    <w:t>288.00</w:t>
                  </w:r>
                </w:p>
              </w:tc>
              <w:tc>
                <w:tcPr>
                  <w:tcW w:w="2638" w:type="dxa"/>
                  <w:vMerge w:val="continue"/>
                  <w:vAlign w:val="center"/>
                </w:tcPr>
                <w:p w14:paraId="2E363979">
                  <w:pPr>
                    <w:jc w:val="center"/>
                    <w:rPr>
                      <w:rFonts w:cs="Times New Roman"/>
                      <w:kern w:val="0"/>
                      <w:sz w:val="21"/>
                      <w:szCs w:val="21"/>
                    </w:rPr>
                  </w:pPr>
                </w:p>
              </w:tc>
            </w:tr>
            <w:tr w14:paraId="77970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31536BC">
                  <w:pPr>
                    <w:jc w:val="center"/>
                    <w:rPr>
                      <w:rFonts w:cs="Times New Roman"/>
                      <w:kern w:val="0"/>
                      <w:sz w:val="21"/>
                      <w:szCs w:val="21"/>
                    </w:rPr>
                  </w:pPr>
                </w:p>
              </w:tc>
              <w:tc>
                <w:tcPr>
                  <w:tcW w:w="2676" w:type="dxa"/>
                  <w:vAlign w:val="center"/>
                </w:tcPr>
                <w:p w14:paraId="3FE1A722">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4ED59F37">
                  <w:pPr>
                    <w:jc w:val="center"/>
                    <w:rPr>
                      <w:rFonts w:cs="Times New Roman"/>
                      <w:kern w:val="0"/>
                      <w:sz w:val="21"/>
                      <w:szCs w:val="21"/>
                    </w:rPr>
                  </w:pPr>
                  <w:r>
                    <w:rPr>
                      <w:rFonts w:hint="eastAsia" w:cs="Times New Roman"/>
                      <w:kern w:val="0"/>
                      <w:sz w:val="21"/>
                      <w:szCs w:val="21"/>
                    </w:rPr>
                    <w:t>个</w:t>
                  </w:r>
                </w:p>
              </w:tc>
              <w:tc>
                <w:tcPr>
                  <w:tcW w:w="899" w:type="dxa"/>
                  <w:vAlign w:val="center"/>
                </w:tcPr>
                <w:p w14:paraId="7449CEFA">
                  <w:pPr>
                    <w:jc w:val="center"/>
                    <w:rPr>
                      <w:rFonts w:cs="Times New Roman"/>
                      <w:kern w:val="0"/>
                      <w:sz w:val="21"/>
                      <w:szCs w:val="21"/>
                    </w:rPr>
                  </w:pPr>
                  <w:r>
                    <w:rPr>
                      <w:rFonts w:hint="eastAsia" w:cs="Times New Roman"/>
                      <w:kern w:val="0"/>
                      <w:sz w:val="21"/>
                      <w:szCs w:val="21"/>
                    </w:rPr>
                    <w:t>40</w:t>
                  </w:r>
                </w:p>
              </w:tc>
              <w:tc>
                <w:tcPr>
                  <w:tcW w:w="2638" w:type="dxa"/>
                  <w:vMerge w:val="restart"/>
                  <w:vAlign w:val="center"/>
                </w:tcPr>
                <w:p w14:paraId="4E965065">
                  <w:pPr>
                    <w:jc w:val="center"/>
                    <w:rPr>
                      <w:rFonts w:cs="Times New Roman"/>
                      <w:kern w:val="0"/>
                      <w:sz w:val="21"/>
                      <w:szCs w:val="21"/>
                    </w:rPr>
                  </w:pPr>
                  <w:r>
                    <w:rPr>
                      <w:rFonts w:hint="eastAsia" w:cs="Times New Roman"/>
                      <w:kern w:val="0"/>
                      <w:sz w:val="21"/>
                      <w:szCs w:val="21"/>
                    </w:rPr>
                    <w:t>C30F300，3m×2m×1.6m</w:t>
                  </w:r>
                </w:p>
              </w:tc>
            </w:tr>
            <w:tr w14:paraId="5B30A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958BD73">
                  <w:pPr>
                    <w:jc w:val="center"/>
                    <w:rPr>
                      <w:rFonts w:cs="Times New Roman"/>
                      <w:kern w:val="0"/>
                      <w:sz w:val="21"/>
                      <w:szCs w:val="21"/>
                    </w:rPr>
                  </w:pPr>
                </w:p>
              </w:tc>
              <w:tc>
                <w:tcPr>
                  <w:tcW w:w="2676" w:type="dxa"/>
                  <w:vAlign w:val="center"/>
                </w:tcPr>
                <w:p w14:paraId="0C68E728">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2F789F1B">
                  <w:pPr>
                    <w:jc w:val="center"/>
                    <w:rPr>
                      <w:rFonts w:cs="Times New Roman"/>
                      <w:kern w:val="0"/>
                      <w:sz w:val="21"/>
                      <w:szCs w:val="21"/>
                    </w:rPr>
                  </w:pPr>
                  <w:r>
                    <w:rPr>
                      <w:rFonts w:hint="eastAsia" w:cs="Times New Roman"/>
                      <w:kern w:val="0"/>
                      <w:sz w:val="21"/>
                      <w:szCs w:val="21"/>
                    </w:rPr>
                    <w:t>m³</w:t>
                  </w:r>
                </w:p>
              </w:tc>
              <w:tc>
                <w:tcPr>
                  <w:tcW w:w="899" w:type="dxa"/>
                  <w:vAlign w:val="center"/>
                </w:tcPr>
                <w:p w14:paraId="417CA3C7">
                  <w:pPr>
                    <w:jc w:val="center"/>
                    <w:rPr>
                      <w:rFonts w:cs="Times New Roman"/>
                      <w:kern w:val="0"/>
                      <w:sz w:val="21"/>
                      <w:szCs w:val="21"/>
                    </w:rPr>
                  </w:pPr>
                  <w:r>
                    <w:rPr>
                      <w:rFonts w:hint="eastAsia" w:cs="Times New Roman"/>
                      <w:kern w:val="0"/>
                      <w:sz w:val="21"/>
                      <w:szCs w:val="21"/>
                    </w:rPr>
                    <w:t>384.00</w:t>
                  </w:r>
                </w:p>
              </w:tc>
              <w:tc>
                <w:tcPr>
                  <w:tcW w:w="2638" w:type="dxa"/>
                  <w:vMerge w:val="continue"/>
                  <w:vAlign w:val="center"/>
                </w:tcPr>
                <w:p w14:paraId="65A3E261">
                  <w:pPr>
                    <w:jc w:val="center"/>
                    <w:rPr>
                      <w:rFonts w:cs="Times New Roman"/>
                      <w:kern w:val="0"/>
                      <w:sz w:val="21"/>
                      <w:szCs w:val="21"/>
                    </w:rPr>
                  </w:pPr>
                </w:p>
              </w:tc>
            </w:tr>
            <w:tr w14:paraId="6A223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5E7AEC1C">
                  <w:pPr>
                    <w:jc w:val="center"/>
                    <w:rPr>
                      <w:rFonts w:cs="Times New Roman"/>
                      <w:kern w:val="0"/>
                      <w:sz w:val="21"/>
                      <w:szCs w:val="21"/>
                    </w:rPr>
                  </w:pPr>
                </w:p>
              </w:tc>
              <w:tc>
                <w:tcPr>
                  <w:tcW w:w="2676" w:type="dxa"/>
                  <w:vAlign w:val="center"/>
                </w:tcPr>
                <w:p w14:paraId="2CC0E336">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7ED95DD0">
                  <w:pPr>
                    <w:jc w:val="center"/>
                    <w:rPr>
                      <w:rFonts w:cs="Times New Roman"/>
                      <w:kern w:val="0"/>
                      <w:sz w:val="21"/>
                      <w:szCs w:val="21"/>
                    </w:rPr>
                  </w:pPr>
                  <w:r>
                    <w:rPr>
                      <w:rFonts w:hint="eastAsia" w:cs="Times New Roman"/>
                      <w:kern w:val="0"/>
                      <w:sz w:val="21"/>
                      <w:szCs w:val="21"/>
                    </w:rPr>
                    <w:t>个</w:t>
                  </w:r>
                </w:p>
              </w:tc>
              <w:tc>
                <w:tcPr>
                  <w:tcW w:w="899" w:type="dxa"/>
                  <w:vAlign w:val="center"/>
                </w:tcPr>
                <w:p w14:paraId="73F0F48A">
                  <w:pPr>
                    <w:jc w:val="center"/>
                    <w:rPr>
                      <w:rFonts w:cs="Times New Roman"/>
                      <w:kern w:val="0"/>
                      <w:sz w:val="21"/>
                      <w:szCs w:val="21"/>
                    </w:rPr>
                  </w:pPr>
                  <w:r>
                    <w:rPr>
                      <w:rFonts w:hint="eastAsia" w:cs="Times New Roman"/>
                      <w:kern w:val="0"/>
                      <w:sz w:val="21"/>
                      <w:szCs w:val="21"/>
                    </w:rPr>
                    <w:t>15</w:t>
                  </w:r>
                </w:p>
              </w:tc>
              <w:tc>
                <w:tcPr>
                  <w:tcW w:w="2638" w:type="dxa"/>
                  <w:vMerge w:val="restart"/>
                  <w:vAlign w:val="center"/>
                </w:tcPr>
                <w:p w14:paraId="7DE23542">
                  <w:pPr>
                    <w:jc w:val="center"/>
                    <w:rPr>
                      <w:rFonts w:cs="Times New Roman"/>
                      <w:kern w:val="0"/>
                      <w:sz w:val="21"/>
                      <w:szCs w:val="21"/>
                    </w:rPr>
                  </w:pPr>
                  <w:r>
                    <w:rPr>
                      <w:rFonts w:hint="eastAsia" w:cs="Times New Roman"/>
                      <w:kern w:val="0"/>
                      <w:sz w:val="21"/>
                      <w:szCs w:val="21"/>
                    </w:rPr>
                    <w:t>C30F300，4m×2m×1.6m</w:t>
                  </w:r>
                </w:p>
              </w:tc>
            </w:tr>
            <w:tr w14:paraId="4AC14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3E8CF3F">
                  <w:pPr>
                    <w:jc w:val="center"/>
                    <w:rPr>
                      <w:rFonts w:cs="Times New Roman"/>
                      <w:kern w:val="0"/>
                      <w:sz w:val="21"/>
                      <w:szCs w:val="21"/>
                    </w:rPr>
                  </w:pPr>
                </w:p>
              </w:tc>
              <w:tc>
                <w:tcPr>
                  <w:tcW w:w="2676" w:type="dxa"/>
                  <w:vAlign w:val="center"/>
                </w:tcPr>
                <w:p w14:paraId="7563904E">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07A3FA2C">
                  <w:pPr>
                    <w:jc w:val="center"/>
                    <w:rPr>
                      <w:rFonts w:cs="Times New Roman"/>
                      <w:kern w:val="0"/>
                      <w:sz w:val="21"/>
                      <w:szCs w:val="21"/>
                    </w:rPr>
                  </w:pPr>
                  <w:r>
                    <w:rPr>
                      <w:rFonts w:hint="eastAsia" w:cs="Times New Roman"/>
                      <w:kern w:val="0"/>
                      <w:sz w:val="21"/>
                      <w:szCs w:val="21"/>
                    </w:rPr>
                    <w:t>m³</w:t>
                  </w:r>
                </w:p>
              </w:tc>
              <w:tc>
                <w:tcPr>
                  <w:tcW w:w="899" w:type="dxa"/>
                  <w:vAlign w:val="center"/>
                </w:tcPr>
                <w:p w14:paraId="38C12AF3">
                  <w:pPr>
                    <w:jc w:val="center"/>
                    <w:rPr>
                      <w:rFonts w:cs="Times New Roman"/>
                      <w:kern w:val="0"/>
                      <w:sz w:val="21"/>
                      <w:szCs w:val="21"/>
                    </w:rPr>
                  </w:pPr>
                  <w:r>
                    <w:rPr>
                      <w:rFonts w:hint="eastAsia" w:cs="Times New Roman"/>
                      <w:kern w:val="0"/>
                      <w:sz w:val="21"/>
                      <w:szCs w:val="21"/>
                    </w:rPr>
                    <w:t>192.00</w:t>
                  </w:r>
                </w:p>
              </w:tc>
              <w:tc>
                <w:tcPr>
                  <w:tcW w:w="2638" w:type="dxa"/>
                  <w:vMerge w:val="continue"/>
                  <w:vAlign w:val="center"/>
                </w:tcPr>
                <w:p w14:paraId="65997242">
                  <w:pPr>
                    <w:jc w:val="center"/>
                    <w:rPr>
                      <w:rFonts w:cs="Times New Roman"/>
                      <w:kern w:val="0"/>
                      <w:sz w:val="21"/>
                      <w:szCs w:val="21"/>
                    </w:rPr>
                  </w:pPr>
                </w:p>
              </w:tc>
            </w:tr>
            <w:tr w14:paraId="16A69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CFDBF86">
                  <w:pPr>
                    <w:jc w:val="center"/>
                    <w:rPr>
                      <w:rFonts w:cs="Times New Roman"/>
                      <w:kern w:val="0"/>
                      <w:sz w:val="21"/>
                      <w:szCs w:val="21"/>
                    </w:rPr>
                  </w:pPr>
                  <w:r>
                    <w:rPr>
                      <w:rFonts w:hint="eastAsia" w:cs="Times New Roman"/>
                      <w:kern w:val="0"/>
                      <w:sz w:val="21"/>
                      <w:szCs w:val="21"/>
                    </w:rPr>
                    <w:t>3</w:t>
                  </w:r>
                </w:p>
              </w:tc>
              <w:tc>
                <w:tcPr>
                  <w:tcW w:w="2676" w:type="dxa"/>
                  <w:vAlign w:val="center"/>
                </w:tcPr>
                <w:p w14:paraId="6DA9442E">
                  <w:pPr>
                    <w:jc w:val="center"/>
                    <w:rPr>
                      <w:rFonts w:cs="Times New Roman"/>
                      <w:kern w:val="0"/>
                      <w:sz w:val="21"/>
                      <w:szCs w:val="21"/>
                    </w:rPr>
                  </w:pPr>
                  <w:r>
                    <w:rPr>
                      <w:rFonts w:hint="eastAsia" w:cs="Times New Roman"/>
                      <w:kern w:val="0"/>
                      <w:sz w:val="21"/>
                      <w:szCs w:val="21"/>
                    </w:rPr>
                    <w:t>10~100kg抛石棱体</w:t>
                  </w:r>
                </w:p>
              </w:tc>
              <w:tc>
                <w:tcPr>
                  <w:tcW w:w="706" w:type="dxa"/>
                  <w:vAlign w:val="center"/>
                </w:tcPr>
                <w:p w14:paraId="11A98403">
                  <w:pPr>
                    <w:jc w:val="center"/>
                    <w:rPr>
                      <w:rFonts w:cs="Times New Roman"/>
                      <w:kern w:val="0"/>
                      <w:sz w:val="21"/>
                      <w:szCs w:val="21"/>
                    </w:rPr>
                  </w:pPr>
                  <w:r>
                    <w:rPr>
                      <w:rFonts w:hint="eastAsia" w:cs="Times New Roman"/>
                      <w:kern w:val="0"/>
                      <w:sz w:val="21"/>
                      <w:szCs w:val="21"/>
                    </w:rPr>
                    <w:t>m³</w:t>
                  </w:r>
                </w:p>
              </w:tc>
              <w:tc>
                <w:tcPr>
                  <w:tcW w:w="899" w:type="dxa"/>
                  <w:vAlign w:val="center"/>
                </w:tcPr>
                <w:p w14:paraId="2F3A1EC3">
                  <w:pPr>
                    <w:jc w:val="center"/>
                    <w:rPr>
                      <w:rFonts w:cs="Times New Roman"/>
                      <w:kern w:val="0"/>
                      <w:sz w:val="21"/>
                      <w:szCs w:val="21"/>
                    </w:rPr>
                  </w:pPr>
                  <w:r>
                    <w:rPr>
                      <w:rFonts w:hint="eastAsia" w:cs="Times New Roman"/>
                      <w:kern w:val="0"/>
                      <w:sz w:val="21"/>
                      <w:szCs w:val="21"/>
                    </w:rPr>
                    <w:t>1487.80</w:t>
                  </w:r>
                </w:p>
              </w:tc>
              <w:tc>
                <w:tcPr>
                  <w:tcW w:w="2638" w:type="dxa"/>
                  <w:vAlign w:val="center"/>
                </w:tcPr>
                <w:p w14:paraId="63BAF71B">
                  <w:pPr>
                    <w:jc w:val="center"/>
                    <w:rPr>
                      <w:rFonts w:cs="Times New Roman"/>
                      <w:kern w:val="0"/>
                      <w:sz w:val="21"/>
                      <w:szCs w:val="21"/>
                    </w:rPr>
                  </w:pPr>
                  <w:r>
                    <w:rPr>
                      <w:rFonts w:hint="eastAsia" w:cs="Times New Roman"/>
                      <w:kern w:val="0"/>
                      <w:sz w:val="21"/>
                      <w:szCs w:val="21"/>
                    </w:rPr>
                    <w:t>未考虑沉降量</w:t>
                  </w:r>
                </w:p>
              </w:tc>
            </w:tr>
            <w:tr w14:paraId="194D6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A9EEB43">
                  <w:pPr>
                    <w:jc w:val="center"/>
                    <w:rPr>
                      <w:rFonts w:cs="Times New Roman"/>
                      <w:kern w:val="0"/>
                      <w:sz w:val="21"/>
                      <w:szCs w:val="21"/>
                    </w:rPr>
                  </w:pPr>
                  <w:r>
                    <w:rPr>
                      <w:rFonts w:hint="eastAsia" w:cs="Times New Roman"/>
                      <w:kern w:val="0"/>
                      <w:sz w:val="21"/>
                      <w:szCs w:val="21"/>
                    </w:rPr>
                    <w:t>4</w:t>
                  </w:r>
                </w:p>
              </w:tc>
              <w:tc>
                <w:tcPr>
                  <w:tcW w:w="2676" w:type="dxa"/>
                  <w:vAlign w:val="center"/>
                </w:tcPr>
                <w:p w14:paraId="4DB443C7">
                  <w:pPr>
                    <w:jc w:val="center"/>
                    <w:rPr>
                      <w:rFonts w:cs="Times New Roman"/>
                      <w:kern w:val="0"/>
                      <w:sz w:val="21"/>
                      <w:szCs w:val="21"/>
                    </w:rPr>
                  </w:pPr>
                  <w:r>
                    <w:rPr>
                      <w:rFonts w:hint="eastAsia" w:cs="Times New Roman"/>
                      <w:kern w:val="0"/>
                      <w:sz w:val="21"/>
                      <w:szCs w:val="21"/>
                    </w:rPr>
                    <w:t>500mm二片石垫层</w:t>
                  </w:r>
                </w:p>
              </w:tc>
              <w:tc>
                <w:tcPr>
                  <w:tcW w:w="706" w:type="dxa"/>
                  <w:vAlign w:val="center"/>
                </w:tcPr>
                <w:p w14:paraId="17990C5A">
                  <w:pPr>
                    <w:jc w:val="center"/>
                    <w:rPr>
                      <w:rFonts w:cs="Times New Roman"/>
                      <w:kern w:val="0"/>
                      <w:sz w:val="21"/>
                      <w:szCs w:val="21"/>
                    </w:rPr>
                  </w:pPr>
                  <w:r>
                    <w:rPr>
                      <w:rFonts w:hint="eastAsia" w:cs="Times New Roman"/>
                      <w:kern w:val="0"/>
                      <w:sz w:val="21"/>
                      <w:szCs w:val="21"/>
                    </w:rPr>
                    <w:t>m³</w:t>
                  </w:r>
                </w:p>
              </w:tc>
              <w:tc>
                <w:tcPr>
                  <w:tcW w:w="899" w:type="dxa"/>
                  <w:vAlign w:val="center"/>
                </w:tcPr>
                <w:p w14:paraId="657B911D">
                  <w:pPr>
                    <w:jc w:val="center"/>
                    <w:rPr>
                      <w:rFonts w:cs="Times New Roman"/>
                      <w:kern w:val="0"/>
                      <w:sz w:val="21"/>
                      <w:szCs w:val="21"/>
                    </w:rPr>
                  </w:pPr>
                  <w:r>
                    <w:rPr>
                      <w:rFonts w:hint="eastAsia" w:cs="Times New Roman"/>
                      <w:kern w:val="0"/>
                      <w:sz w:val="21"/>
                      <w:szCs w:val="21"/>
                    </w:rPr>
                    <w:t>488.40</w:t>
                  </w:r>
                </w:p>
              </w:tc>
              <w:tc>
                <w:tcPr>
                  <w:tcW w:w="2638" w:type="dxa"/>
                  <w:vAlign w:val="center"/>
                </w:tcPr>
                <w:p w14:paraId="507AFD1F">
                  <w:pPr>
                    <w:jc w:val="center"/>
                    <w:rPr>
                      <w:rFonts w:cs="Times New Roman"/>
                      <w:kern w:val="0"/>
                      <w:sz w:val="21"/>
                      <w:szCs w:val="21"/>
                    </w:rPr>
                  </w:pPr>
                </w:p>
              </w:tc>
            </w:tr>
            <w:tr w14:paraId="70F5A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6424AC0">
                  <w:pPr>
                    <w:jc w:val="center"/>
                    <w:rPr>
                      <w:rFonts w:cs="Times New Roman"/>
                      <w:kern w:val="0"/>
                      <w:sz w:val="21"/>
                      <w:szCs w:val="21"/>
                    </w:rPr>
                  </w:pPr>
                  <w:r>
                    <w:rPr>
                      <w:rFonts w:hint="eastAsia" w:cs="Times New Roman"/>
                      <w:kern w:val="0"/>
                      <w:sz w:val="21"/>
                      <w:szCs w:val="21"/>
                    </w:rPr>
                    <w:t>5</w:t>
                  </w:r>
                </w:p>
              </w:tc>
              <w:tc>
                <w:tcPr>
                  <w:tcW w:w="2676" w:type="dxa"/>
                  <w:vAlign w:val="center"/>
                </w:tcPr>
                <w:p w14:paraId="483A9D89">
                  <w:pPr>
                    <w:jc w:val="center"/>
                    <w:rPr>
                      <w:rFonts w:cs="Times New Roman"/>
                      <w:kern w:val="0"/>
                      <w:sz w:val="21"/>
                      <w:szCs w:val="21"/>
                    </w:rPr>
                  </w:pPr>
                  <w:r>
                    <w:rPr>
                      <w:rFonts w:hint="eastAsia" w:cs="Times New Roman"/>
                      <w:kern w:val="0"/>
                      <w:sz w:val="21"/>
                      <w:szCs w:val="21"/>
                    </w:rPr>
                    <w:t>600mm碎石垫层</w:t>
                  </w:r>
                </w:p>
              </w:tc>
              <w:tc>
                <w:tcPr>
                  <w:tcW w:w="706" w:type="dxa"/>
                  <w:vAlign w:val="center"/>
                </w:tcPr>
                <w:p w14:paraId="0BBA7F4B">
                  <w:pPr>
                    <w:jc w:val="center"/>
                    <w:rPr>
                      <w:rFonts w:cs="Times New Roman"/>
                      <w:kern w:val="0"/>
                      <w:sz w:val="21"/>
                      <w:szCs w:val="21"/>
                    </w:rPr>
                  </w:pPr>
                  <w:r>
                    <w:rPr>
                      <w:rFonts w:hint="eastAsia" w:cs="Times New Roman"/>
                      <w:kern w:val="0"/>
                      <w:sz w:val="21"/>
                      <w:szCs w:val="21"/>
                    </w:rPr>
                    <w:t>m³</w:t>
                  </w:r>
                </w:p>
              </w:tc>
              <w:tc>
                <w:tcPr>
                  <w:tcW w:w="899" w:type="dxa"/>
                  <w:vAlign w:val="center"/>
                </w:tcPr>
                <w:p w14:paraId="0CB210A7">
                  <w:pPr>
                    <w:jc w:val="center"/>
                    <w:rPr>
                      <w:rFonts w:cs="Times New Roman"/>
                      <w:kern w:val="0"/>
                      <w:sz w:val="21"/>
                      <w:szCs w:val="21"/>
                    </w:rPr>
                  </w:pPr>
                  <w:r>
                    <w:rPr>
                      <w:rFonts w:hint="eastAsia" w:cs="Times New Roman"/>
                      <w:kern w:val="0"/>
                      <w:sz w:val="21"/>
                      <w:szCs w:val="21"/>
                    </w:rPr>
                    <w:t>680.40</w:t>
                  </w:r>
                </w:p>
              </w:tc>
              <w:tc>
                <w:tcPr>
                  <w:tcW w:w="2638" w:type="dxa"/>
                  <w:vAlign w:val="center"/>
                </w:tcPr>
                <w:p w14:paraId="2635972F">
                  <w:pPr>
                    <w:jc w:val="center"/>
                    <w:rPr>
                      <w:rFonts w:cs="Times New Roman"/>
                      <w:kern w:val="0"/>
                      <w:sz w:val="21"/>
                      <w:szCs w:val="21"/>
                    </w:rPr>
                  </w:pPr>
                  <w:r>
                    <w:rPr>
                      <w:rFonts w:hint="eastAsia" w:cs="Times New Roman"/>
                      <w:kern w:val="0"/>
                      <w:sz w:val="21"/>
                      <w:szCs w:val="21"/>
                    </w:rPr>
                    <w:t>粒径5mm~100mm</w:t>
                  </w:r>
                </w:p>
              </w:tc>
            </w:tr>
            <w:tr w14:paraId="21E9F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CBE4D6F">
                  <w:pPr>
                    <w:jc w:val="center"/>
                    <w:rPr>
                      <w:rFonts w:cs="Times New Roman"/>
                      <w:kern w:val="0"/>
                      <w:sz w:val="21"/>
                      <w:szCs w:val="21"/>
                    </w:rPr>
                  </w:pPr>
                  <w:r>
                    <w:rPr>
                      <w:rFonts w:hint="eastAsia" w:cs="Times New Roman"/>
                      <w:kern w:val="0"/>
                      <w:sz w:val="21"/>
                      <w:szCs w:val="21"/>
                    </w:rPr>
                    <w:t>6</w:t>
                  </w:r>
                </w:p>
              </w:tc>
              <w:tc>
                <w:tcPr>
                  <w:tcW w:w="2676" w:type="dxa"/>
                  <w:vAlign w:val="center"/>
                </w:tcPr>
                <w:p w14:paraId="7BAD516B">
                  <w:pPr>
                    <w:jc w:val="center"/>
                    <w:rPr>
                      <w:rFonts w:cs="Times New Roman"/>
                      <w:kern w:val="0"/>
                      <w:sz w:val="21"/>
                      <w:szCs w:val="21"/>
                    </w:rPr>
                  </w:pPr>
                  <w:r>
                    <w:rPr>
                      <w:rFonts w:hint="eastAsia" w:cs="Times New Roman"/>
                      <w:kern w:val="0"/>
                      <w:sz w:val="21"/>
                      <w:szCs w:val="21"/>
                    </w:rPr>
                    <w:t>回填开山石</w:t>
                  </w:r>
                </w:p>
              </w:tc>
              <w:tc>
                <w:tcPr>
                  <w:tcW w:w="706" w:type="dxa"/>
                  <w:vAlign w:val="center"/>
                </w:tcPr>
                <w:p w14:paraId="43197B9E">
                  <w:pPr>
                    <w:jc w:val="center"/>
                    <w:rPr>
                      <w:rFonts w:cs="Times New Roman"/>
                      <w:kern w:val="0"/>
                      <w:sz w:val="21"/>
                      <w:szCs w:val="21"/>
                    </w:rPr>
                  </w:pPr>
                  <w:r>
                    <w:rPr>
                      <w:rFonts w:hint="eastAsia" w:cs="Times New Roman"/>
                      <w:kern w:val="0"/>
                      <w:sz w:val="21"/>
                      <w:szCs w:val="21"/>
                    </w:rPr>
                    <w:t>m³</w:t>
                  </w:r>
                </w:p>
              </w:tc>
              <w:tc>
                <w:tcPr>
                  <w:tcW w:w="899" w:type="dxa"/>
                  <w:vAlign w:val="center"/>
                </w:tcPr>
                <w:p w14:paraId="43A83F14">
                  <w:pPr>
                    <w:jc w:val="center"/>
                    <w:rPr>
                      <w:rFonts w:cs="Times New Roman"/>
                      <w:kern w:val="0"/>
                      <w:sz w:val="21"/>
                      <w:szCs w:val="21"/>
                    </w:rPr>
                  </w:pPr>
                  <w:r>
                    <w:rPr>
                      <w:rFonts w:hint="eastAsia" w:cs="Times New Roman"/>
                      <w:kern w:val="0"/>
                      <w:sz w:val="21"/>
                      <w:szCs w:val="21"/>
                    </w:rPr>
                    <w:t>1426.00</w:t>
                  </w:r>
                </w:p>
              </w:tc>
              <w:tc>
                <w:tcPr>
                  <w:tcW w:w="2638" w:type="dxa"/>
                  <w:vAlign w:val="center"/>
                </w:tcPr>
                <w:p w14:paraId="2888C493">
                  <w:pPr>
                    <w:jc w:val="center"/>
                    <w:rPr>
                      <w:rFonts w:cs="Times New Roman"/>
                      <w:kern w:val="0"/>
                      <w:sz w:val="21"/>
                      <w:szCs w:val="21"/>
                    </w:rPr>
                  </w:pPr>
                  <w:r>
                    <w:rPr>
                      <w:rFonts w:hint="eastAsia" w:cs="Times New Roman"/>
                      <w:kern w:val="0"/>
                      <w:sz w:val="21"/>
                      <w:szCs w:val="21"/>
                    </w:rPr>
                    <w:t>未考虑沉降量</w:t>
                  </w:r>
                </w:p>
              </w:tc>
            </w:tr>
            <w:tr w14:paraId="26A38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D41BCB4">
                  <w:pPr>
                    <w:jc w:val="center"/>
                    <w:rPr>
                      <w:rFonts w:cs="Times New Roman"/>
                      <w:kern w:val="0"/>
                      <w:sz w:val="21"/>
                      <w:szCs w:val="21"/>
                    </w:rPr>
                  </w:pPr>
                  <w:r>
                    <w:rPr>
                      <w:rFonts w:hint="eastAsia" w:cs="Times New Roman"/>
                      <w:kern w:val="0"/>
                      <w:sz w:val="21"/>
                      <w:szCs w:val="21"/>
                    </w:rPr>
                    <w:t>7</w:t>
                  </w:r>
                </w:p>
              </w:tc>
              <w:tc>
                <w:tcPr>
                  <w:tcW w:w="2676" w:type="dxa"/>
                  <w:vAlign w:val="center"/>
                </w:tcPr>
                <w:p w14:paraId="0DF13689">
                  <w:pPr>
                    <w:jc w:val="center"/>
                    <w:rPr>
                      <w:rFonts w:cs="Times New Roman"/>
                      <w:kern w:val="0"/>
                      <w:sz w:val="21"/>
                      <w:szCs w:val="21"/>
                    </w:rPr>
                  </w:pPr>
                  <w:r>
                    <w:rPr>
                      <w:rFonts w:hint="eastAsia" w:cs="Times New Roman"/>
                      <w:kern w:val="0"/>
                      <w:sz w:val="21"/>
                      <w:szCs w:val="21"/>
                    </w:rPr>
                    <w:t>10~60kg抛石基床</w:t>
                  </w:r>
                </w:p>
              </w:tc>
              <w:tc>
                <w:tcPr>
                  <w:tcW w:w="706" w:type="dxa"/>
                  <w:vAlign w:val="center"/>
                </w:tcPr>
                <w:p w14:paraId="79C5E408">
                  <w:pPr>
                    <w:jc w:val="center"/>
                    <w:rPr>
                      <w:rFonts w:cs="Times New Roman"/>
                      <w:kern w:val="0"/>
                      <w:sz w:val="21"/>
                      <w:szCs w:val="21"/>
                    </w:rPr>
                  </w:pPr>
                  <w:r>
                    <w:rPr>
                      <w:rFonts w:hint="eastAsia" w:cs="Times New Roman"/>
                      <w:kern w:val="0"/>
                      <w:sz w:val="21"/>
                      <w:szCs w:val="21"/>
                    </w:rPr>
                    <w:t>m³</w:t>
                  </w:r>
                </w:p>
              </w:tc>
              <w:tc>
                <w:tcPr>
                  <w:tcW w:w="899" w:type="dxa"/>
                  <w:vAlign w:val="center"/>
                </w:tcPr>
                <w:p w14:paraId="37CA04F0">
                  <w:pPr>
                    <w:jc w:val="center"/>
                    <w:rPr>
                      <w:rFonts w:cs="Times New Roman"/>
                      <w:kern w:val="0"/>
                      <w:sz w:val="21"/>
                      <w:szCs w:val="21"/>
                    </w:rPr>
                  </w:pPr>
                  <w:r>
                    <w:rPr>
                      <w:rFonts w:hint="eastAsia" w:cs="Times New Roman"/>
                      <w:kern w:val="0"/>
                      <w:sz w:val="21"/>
                      <w:szCs w:val="21"/>
                    </w:rPr>
                    <w:t>224.75</w:t>
                  </w:r>
                </w:p>
              </w:tc>
              <w:tc>
                <w:tcPr>
                  <w:tcW w:w="2638" w:type="dxa"/>
                  <w:vAlign w:val="center"/>
                </w:tcPr>
                <w:p w14:paraId="5C2C32BE">
                  <w:pPr>
                    <w:jc w:val="center"/>
                    <w:rPr>
                      <w:rFonts w:cs="Times New Roman"/>
                      <w:kern w:val="0"/>
                      <w:sz w:val="21"/>
                      <w:szCs w:val="21"/>
                    </w:rPr>
                  </w:pPr>
                </w:p>
              </w:tc>
            </w:tr>
            <w:tr w14:paraId="500D2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6731E45">
                  <w:pPr>
                    <w:jc w:val="center"/>
                    <w:rPr>
                      <w:rFonts w:cs="Times New Roman"/>
                      <w:kern w:val="0"/>
                      <w:sz w:val="21"/>
                      <w:szCs w:val="21"/>
                    </w:rPr>
                  </w:pPr>
                  <w:r>
                    <w:rPr>
                      <w:rFonts w:hint="eastAsia" w:cs="Times New Roman"/>
                      <w:kern w:val="0"/>
                      <w:sz w:val="21"/>
                      <w:szCs w:val="21"/>
                    </w:rPr>
                    <w:t>8</w:t>
                  </w:r>
                </w:p>
              </w:tc>
              <w:tc>
                <w:tcPr>
                  <w:tcW w:w="2676" w:type="dxa"/>
                  <w:vAlign w:val="center"/>
                </w:tcPr>
                <w:p w14:paraId="795D115C">
                  <w:pPr>
                    <w:jc w:val="center"/>
                    <w:rPr>
                      <w:rFonts w:cs="Times New Roman"/>
                      <w:kern w:val="0"/>
                      <w:sz w:val="21"/>
                      <w:szCs w:val="21"/>
                    </w:rPr>
                  </w:pPr>
                  <w:r>
                    <w:rPr>
                      <w:rFonts w:hint="eastAsia" w:cs="Times New Roman"/>
                      <w:kern w:val="0"/>
                      <w:sz w:val="21"/>
                      <w:szCs w:val="21"/>
                    </w:rPr>
                    <w:t>护轮槛</w:t>
                  </w:r>
                </w:p>
              </w:tc>
              <w:tc>
                <w:tcPr>
                  <w:tcW w:w="706" w:type="dxa"/>
                  <w:vAlign w:val="center"/>
                </w:tcPr>
                <w:p w14:paraId="026FDD87">
                  <w:pPr>
                    <w:jc w:val="center"/>
                    <w:rPr>
                      <w:rFonts w:cs="Times New Roman"/>
                      <w:kern w:val="0"/>
                      <w:sz w:val="21"/>
                      <w:szCs w:val="21"/>
                    </w:rPr>
                  </w:pPr>
                  <w:r>
                    <w:rPr>
                      <w:rFonts w:hint="eastAsia" w:cs="Times New Roman"/>
                      <w:kern w:val="0"/>
                      <w:sz w:val="21"/>
                      <w:szCs w:val="21"/>
                    </w:rPr>
                    <w:t>m³</w:t>
                  </w:r>
                </w:p>
              </w:tc>
              <w:tc>
                <w:tcPr>
                  <w:tcW w:w="899" w:type="dxa"/>
                  <w:vAlign w:val="center"/>
                </w:tcPr>
                <w:p w14:paraId="18923520">
                  <w:pPr>
                    <w:jc w:val="center"/>
                    <w:rPr>
                      <w:rFonts w:cs="Times New Roman"/>
                      <w:kern w:val="0"/>
                      <w:sz w:val="21"/>
                      <w:szCs w:val="21"/>
                    </w:rPr>
                  </w:pPr>
                  <w:r>
                    <w:rPr>
                      <w:rFonts w:hint="eastAsia" w:cs="Times New Roman"/>
                      <w:kern w:val="0"/>
                      <w:sz w:val="21"/>
                      <w:szCs w:val="21"/>
                    </w:rPr>
                    <w:t>5.40</w:t>
                  </w:r>
                </w:p>
              </w:tc>
              <w:tc>
                <w:tcPr>
                  <w:tcW w:w="2638" w:type="dxa"/>
                  <w:vAlign w:val="center"/>
                </w:tcPr>
                <w:p w14:paraId="3C0CBF21">
                  <w:pPr>
                    <w:jc w:val="center"/>
                    <w:rPr>
                      <w:rFonts w:cs="Times New Roman"/>
                      <w:kern w:val="0"/>
                      <w:sz w:val="21"/>
                      <w:szCs w:val="21"/>
                    </w:rPr>
                  </w:pPr>
                </w:p>
              </w:tc>
            </w:tr>
            <w:tr w14:paraId="04D92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75A9CF5">
                  <w:pPr>
                    <w:jc w:val="center"/>
                    <w:rPr>
                      <w:rFonts w:cs="Times New Roman"/>
                      <w:kern w:val="0"/>
                      <w:sz w:val="21"/>
                      <w:szCs w:val="21"/>
                    </w:rPr>
                  </w:pPr>
                  <w:r>
                    <w:rPr>
                      <w:rFonts w:hint="eastAsia" w:cs="Times New Roman"/>
                      <w:kern w:val="0"/>
                      <w:sz w:val="21"/>
                      <w:szCs w:val="21"/>
                    </w:rPr>
                    <w:t>9</w:t>
                  </w:r>
                </w:p>
              </w:tc>
              <w:tc>
                <w:tcPr>
                  <w:tcW w:w="2676" w:type="dxa"/>
                  <w:vAlign w:val="center"/>
                </w:tcPr>
                <w:p w14:paraId="2A4438F3">
                  <w:pPr>
                    <w:jc w:val="center"/>
                    <w:rPr>
                      <w:rFonts w:cs="Times New Roman"/>
                      <w:kern w:val="0"/>
                      <w:sz w:val="21"/>
                      <w:szCs w:val="21"/>
                    </w:rPr>
                  </w:pPr>
                  <w:r>
                    <w:rPr>
                      <w:rFonts w:hint="eastAsia" w:cs="Times New Roman"/>
                      <w:kern w:val="0"/>
                      <w:sz w:val="21"/>
                      <w:szCs w:val="21"/>
                    </w:rPr>
                    <w:t>开挖量</w:t>
                  </w:r>
                </w:p>
              </w:tc>
              <w:tc>
                <w:tcPr>
                  <w:tcW w:w="706" w:type="dxa"/>
                  <w:vAlign w:val="center"/>
                </w:tcPr>
                <w:p w14:paraId="164982DE">
                  <w:pPr>
                    <w:jc w:val="center"/>
                    <w:rPr>
                      <w:rFonts w:cs="Times New Roman"/>
                      <w:kern w:val="0"/>
                      <w:sz w:val="21"/>
                      <w:szCs w:val="21"/>
                    </w:rPr>
                  </w:pPr>
                  <w:r>
                    <w:rPr>
                      <w:rFonts w:hint="eastAsia" w:cs="Times New Roman"/>
                      <w:kern w:val="0"/>
                      <w:sz w:val="21"/>
                      <w:szCs w:val="21"/>
                    </w:rPr>
                    <w:t>m³</w:t>
                  </w:r>
                </w:p>
              </w:tc>
              <w:tc>
                <w:tcPr>
                  <w:tcW w:w="899" w:type="dxa"/>
                  <w:vAlign w:val="center"/>
                </w:tcPr>
                <w:p w14:paraId="1D2E4828">
                  <w:pPr>
                    <w:jc w:val="center"/>
                    <w:rPr>
                      <w:rFonts w:cs="Times New Roman"/>
                      <w:kern w:val="0"/>
                      <w:sz w:val="21"/>
                      <w:szCs w:val="21"/>
                    </w:rPr>
                  </w:pPr>
                  <w:r>
                    <w:rPr>
                      <w:rFonts w:hint="eastAsia" w:cs="Times New Roman"/>
                      <w:kern w:val="0"/>
                      <w:sz w:val="21"/>
                      <w:szCs w:val="21"/>
                    </w:rPr>
                    <w:t>1097.39</w:t>
                  </w:r>
                </w:p>
              </w:tc>
              <w:tc>
                <w:tcPr>
                  <w:tcW w:w="2638" w:type="dxa"/>
                  <w:vAlign w:val="center"/>
                </w:tcPr>
                <w:p w14:paraId="1392E147">
                  <w:pPr>
                    <w:jc w:val="center"/>
                    <w:rPr>
                      <w:rFonts w:cs="Times New Roman"/>
                      <w:kern w:val="0"/>
                      <w:sz w:val="21"/>
                      <w:szCs w:val="21"/>
                    </w:rPr>
                  </w:pPr>
                </w:p>
              </w:tc>
            </w:tr>
            <w:tr w14:paraId="58E42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0A333344">
                  <w:pPr>
                    <w:jc w:val="center"/>
                    <w:rPr>
                      <w:rFonts w:cs="Times New Roman"/>
                      <w:kern w:val="0"/>
                      <w:sz w:val="21"/>
                      <w:szCs w:val="21"/>
                    </w:rPr>
                  </w:pPr>
                  <w:r>
                    <w:rPr>
                      <w:rFonts w:hint="eastAsia" w:cs="Times New Roman"/>
                      <w:kern w:val="0"/>
                      <w:sz w:val="21"/>
                      <w:szCs w:val="21"/>
                    </w:rPr>
                    <w:t>10</w:t>
                  </w:r>
                </w:p>
              </w:tc>
              <w:tc>
                <w:tcPr>
                  <w:tcW w:w="2676" w:type="dxa"/>
                  <w:vAlign w:val="center"/>
                </w:tcPr>
                <w:p w14:paraId="694261D0">
                  <w:pPr>
                    <w:jc w:val="center"/>
                    <w:rPr>
                      <w:rFonts w:cs="Times New Roman"/>
                      <w:kern w:val="0"/>
                      <w:sz w:val="21"/>
                      <w:szCs w:val="21"/>
                    </w:rPr>
                  </w:pPr>
                  <w:r>
                    <w:rPr>
                      <w:rFonts w:hint="eastAsia" w:cs="Times New Roman"/>
                      <w:kern w:val="0"/>
                      <w:sz w:val="21"/>
                      <w:szCs w:val="21"/>
                    </w:rPr>
                    <w:t>栏杆</w:t>
                  </w:r>
                </w:p>
              </w:tc>
              <w:tc>
                <w:tcPr>
                  <w:tcW w:w="706" w:type="dxa"/>
                  <w:vAlign w:val="center"/>
                </w:tcPr>
                <w:p w14:paraId="32AF458D">
                  <w:pPr>
                    <w:jc w:val="center"/>
                    <w:rPr>
                      <w:rFonts w:cs="Times New Roman"/>
                      <w:kern w:val="0"/>
                      <w:sz w:val="21"/>
                      <w:szCs w:val="21"/>
                    </w:rPr>
                  </w:pPr>
                  <w:r>
                    <w:rPr>
                      <w:rFonts w:hint="eastAsia" w:cs="Times New Roman"/>
                      <w:kern w:val="0"/>
                      <w:sz w:val="21"/>
                      <w:szCs w:val="21"/>
                    </w:rPr>
                    <w:t>m</w:t>
                  </w:r>
                </w:p>
              </w:tc>
              <w:tc>
                <w:tcPr>
                  <w:tcW w:w="899" w:type="dxa"/>
                  <w:vAlign w:val="center"/>
                </w:tcPr>
                <w:p w14:paraId="090BF5A9">
                  <w:pPr>
                    <w:jc w:val="center"/>
                    <w:rPr>
                      <w:rFonts w:cs="Times New Roman"/>
                      <w:kern w:val="0"/>
                      <w:sz w:val="21"/>
                      <w:szCs w:val="21"/>
                    </w:rPr>
                  </w:pPr>
                  <w:r>
                    <w:rPr>
                      <w:rFonts w:hint="eastAsia" w:cs="Times New Roman"/>
                      <w:kern w:val="0"/>
                      <w:sz w:val="21"/>
                      <w:szCs w:val="21"/>
                    </w:rPr>
                    <w:t>60</w:t>
                  </w:r>
                </w:p>
              </w:tc>
              <w:tc>
                <w:tcPr>
                  <w:tcW w:w="2638" w:type="dxa"/>
                  <w:vAlign w:val="center"/>
                </w:tcPr>
                <w:p w14:paraId="2ADC1A28">
                  <w:pPr>
                    <w:jc w:val="center"/>
                    <w:rPr>
                      <w:rFonts w:cs="Times New Roman"/>
                      <w:kern w:val="0"/>
                      <w:sz w:val="21"/>
                      <w:szCs w:val="21"/>
                    </w:rPr>
                  </w:pPr>
                </w:p>
              </w:tc>
            </w:tr>
            <w:tr w14:paraId="0CA40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27" w:type="dxa"/>
                  <w:gridSpan w:val="5"/>
                  <w:vAlign w:val="center"/>
                </w:tcPr>
                <w:p w14:paraId="7FA233A4">
                  <w:pPr>
                    <w:jc w:val="center"/>
                    <w:rPr>
                      <w:rFonts w:cs="Times New Roman"/>
                      <w:b/>
                      <w:bCs/>
                      <w:kern w:val="0"/>
                      <w:sz w:val="21"/>
                      <w:szCs w:val="21"/>
                    </w:rPr>
                  </w:pPr>
                  <w:r>
                    <w:rPr>
                      <w:rFonts w:hint="eastAsia" w:cs="Times New Roman"/>
                      <w:b/>
                      <w:bCs/>
                      <w:kern w:val="0"/>
                      <w:sz w:val="21"/>
                      <w:szCs w:val="21"/>
                    </w:rPr>
                    <w:t>北侧斜坡式护岸工程量</w:t>
                  </w:r>
                </w:p>
              </w:tc>
            </w:tr>
            <w:tr w14:paraId="65000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4CEC496">
                  <w:pPr>
                    <w:jc w:val="center"/>
                    <w:rPr>
                      <w:rFonts w:cs="Times New Roman"/>
                      <w:kern w:val="0"/>
                      <w:sz w:val="21"/>
                      <w:szCs w:val="21"/>
                    </w:rPr>
                  </w:pPr>
                  <w:r>
                    <w:rPr>
                      <w:rFonts w:hint="eastAsia" w:cs="Times New Roman"/>
                      <w:kern w:val="0"/>
                      <w:sz w:val="21"/>
                      <w:szCs w:val="21"/>
                    </w:rPr>
                    <w:t>1</w:t>
                  </w:r>
                </w:p>
              </w:tc>
              <w:tc>
                <w:tcPr>
                  <w:tcW w:w="2676" w:type="dxa"/>
                  <w:vAlign w:val="center"/>
                </w:tcPr>
                <w:p w14:paraId="3B589272">
                  <w:pPr>
                    <w:jc w:val="center"/>
                    <w:rPr>
                      <w:rFonts w:cs="Times New Roman"/>
                      <w:kern w:val="0"/>
                      <w:sz w:val="21"/>
                      <w:szCs w:val="21"/>
                    </w:rPr>
                  </w:pPr>
                  <w:r>
                    <w:rPr>
                      <w:rFonts w:hint="eastAsia" w:cs="Times New Roman"/>
                      <w:kern w:val="0"/>
                      <w:sz w:val="21"/>
                      <w:szCs w:val="21"/>
                    </w:rPr>
                    <w:t>C30F300混凝土压顶</w:t>
                  </w:r>
                </w:p>
              </w:tc>
              <w:tc>
                <w:tcPr>
                  <w:tcW w:w="706" w:type="dxa"/>
                  <w:vAlign w:val="center"/>
                </w:tcPr>
                <w:p w14:paraId="4FF7053E">
                  <w:pPr>
                    <w:jc w:val="center"/>
                    <w:rPr>
                      <w:rFonts w:cs="Times New Roman"/>
                      <w:kern w:val="0"/>
                      <w:sz w:val="21"/>
                      <w:szCs w:val="21"/>
                    </w:rPr>
                  </w:pPr>
                  <w:r>
                    <w:rPr>
                      <w:rFonts w:hint="eastAsia" w:cs="Times New Roman"/>
                      <w:kern w:val="0"/>
                      <w:sz w:val="21"/>
                      <w:szCs w:val="21"/>
                    </w:rPr>
                    <w:t>m³</w:t>
                  </w:r>
                </w:p>
              </w:tc>
              <w:tc>
                <w:tcPr>
                  <w:tcW w:w="899" w:type="dxa"/>
                  <w:vAlign w:val="center"/>
                </w:tcPr>
                <w:p w14:paraId="5290EF98">
                  <w:pPr>
                    <w:jc w:val="center"/>
                    <w:rPr>
                      <w:rFonts w:cs="Times New Roman"/>
                      <w:kern w:val="0"/>
                      <w:sz w:val="21"/>
                      <w:szCs w:val="21"/>
                    </w:rPr>
                  </w:pPr>
                  <w:r>
                    <w:rPr>
                      <w:rFonts w:hint="eastAsia" w:cs="Times New Roman"/>
                      <w:kern w:val="0"/>
                      <w:sz w:val="21"/>
                      <w:szCs w:val="21"/>
                    </w:rPr>
                    <w:t>123.92</w:t>
                  </w:r>
                </w:p>
              </w:tc>
              <w:tc>
                <w:tcPr>
                  <w:tcW w:w="2638" w:type="dxa"/>
                  <w:vAlign w:val="center"/>
                </w:tcPr>
                <w:p w14:paraId="1D446C6B">
                  <w:pPr>
                    <w:jc w:val="center"/>
                    <w:rPr>
                      <w:rFonts w:cs="Times New Roman"/>
                      <w:kern w:val="0"/>
                      <w:sz w:val="21"/>
                      <w:szCs w:val="21"/>
                    </w:rPr>
                  </w:pPr>
                </w:p>
              </w:tc>
            </w:tr>
            <w:tr w14:paraId="4670E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4E5D75F">
                  <w:pPr>
                    <w:jc w:val="center"/>
                    <w:rPr>
                      <w:rFonts w:cs="Times New Roman"/>
                      <w:kern w:val="0"/>
                      <w:sz w:val="21"/>
                      <w:szCs w:val="21"/>
                    </w:rPr>
                  </w:pPr>
                  <w:r>
                    <w:rPr>
                      <w:rFonts w:hint="eastAsia" w:cs="Times New Roman"/>
                      <w:kern w:val="0"/>
                      <w:sz w:val="21"/>
                      <w:szCs w:val="21"/>
                    </w:rPr>
                    <w:t>2</w:t>
                  </w:r>
                </w:p>
              </w:tc>
              <w:tc>
                <w:tcPr>
                  <w:tcW w:w="2676" w:type="dxa"/>
                  <w:vAlign w:val="center"/>
                </w:tcPr>
                <w:p w14:paraId="10842AAF">
                  <w:pPr>
                    <w:jc w:val="center"/>
                    <w:rPr>
                      <w:rFonts w:cs="Times New Roman"/>
                      <w:kern w:val="0"/>
                      <w:sz w:val="21"/>
                      <w:szCs w:val="21"/>
                    </w:rPr>
                  </w:pPr>
                  <w:r>
                    <w:rPr>
                      <w:rFonts w:hint="eastAsia" w:cs="Times New Roman"/>
                      <w:kern w:val="0"/>
                      <w:sz w:val="21"/>
                      <w:szCs w:val="21"/>
                    </w:rPr>
                    <w:t>300mm厚干砌块石</w:t>
                  </w:r>
                </w:p>
              </w:tc>
              <w:tc>
                <w:tcPr>
                  <w:tcW w:w="706" w:type="dxa"/>
                  <w:vAlign w:val="center"/>
                </w:tcPr>
                <w:p w14:paraId="396646E1">
                  <w:pPr>
                    <w:jc w:val="center"/>
                    <w:rPr>
                      <w:rFonts w:cs="Times New Roman"/>
                      <w:kern w:val="0"/>
                      <w:sz w:val="21"/>
                      <w:szCs w:val="21"/>
                    </w:rPr>
                  </w:pPr>
                  <w:r>
                    <w:rPr>
                      <w:rFonts w:hint="eastAsia" w:cs="Times New Roman"/>
                      <w:kern w:val="0"/>
                      <w:sz w:val="21"/>
                      <w:szCs w:val="21"/>
                    </w:rPr>
                    <w:t>m³</w:t>
                  </w:r>
                </w:p>
              </w:tc>
              <w:tc>
                <w:tcPr>
                  <w:tcW w:w="899" w:type="dxa"/>
                  <w:vAlign w:val="center"/>
                </w:tcPr>
                <w:p w14:paraId="23B9EE45">
                  <w:pPr>
                    <w:jc w:val="center"/>
                    <w:rPr>
                      <w:rFonts w:cs="Times New Roman"/>
                      <w:kern w:val="0"/>
                      <w:sz w:val="21"/>
                      <w:szCs w:val="21"/>
                    </w:rPr>
                  </w:pPr>
                  <w:r>
                    <w:rPr>
                      <w:rFonts w:hint="eastAsia" w:cs="Times New Roman"/>
                      <w:kern w:val="0"/>
                      <w:sz w:val="21"/>
                      <w:szCs w:val="21"/>
                    </w:rPr>
                    <w:t>500.34</w:t>
                  </w:r>
                </w:p>
              </w:tc>
              <w:tc>
                <w:tcPr>
                  <w:tcW w:w="2638" w:type="dxa"/>
                  <w:vAlign w:val="center"/>
                </w:tcPr>
                <w:p w14:paraId="2EF6A050">
                  <w:pPr>
                    <w:jc w:val="center"/>
                    <w:rPr>
                      <w:rFonts w:cs="Times New Roman"/>
                      <w:kern w:val="0"/>
                      <w:sz w:val="21"/>
                      <w:szCs w:val="21"/>
                    </w:rPr>
                  </w:pPr>
                </w:p>
              </w:tc>
            </w:tr>
            <w:tr w14:paraId="59177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04FC506">
                  <w:pPr>
                    <w:jc w:val="center"/>
                    <w:rPr>
                      <w:rFonts w:cs="Times New Roman"/>
                      <w:kern w:val="0"/>
                      <w:sz w:val="21"/>
                      <w:szCs w:val="21"/>
                    </w:rPr>
                  </w:pPr>
                  <w:r>
                    <w:rPr>
                      <w:rFonts w:hint="eastAsia" w:cs="Times New Roman"/>
                      <w:kern w:val="0"/>
                      <w:sz w:val="21"/>
                      <w:szCs w:val="21"/>
                    </w:rPr>
                    <w:t>3</w:t>
                  </w:r>
                </w:p>
              </w:tc>
              <w:tc>
                <w:tcPr>
                  <w:tcW w:w="2676" w:type="dxa"/>
                  <w:vAlign w:val="center"/>
                </w:tcPr>
                <w:p w14:paraId="2F4631DA">
                  <w:pPr>
                    <w:jc w:val="center"/>
                    <w:rPr>
                      <w:rFonts w:cs="Times New Roman"/>
                      <w:kern w:val="0"/>
                      <w:sz w:val="21"/>
                      <w:szCs w:val="21"/>
                    </w:rPr>
                  </w:pPr>
                  <w:r>
                    <w:rPr>
                      <w:rFonts w:hint="eastAsia" w:cs="Times New Roman"/>
                      <w:kern w:val="0"/>
                      <w:sz w:val="21"/>
                      <w:szCs w:val="21"/>
                    </w:rPr>
                    <w:t>300mm厚碎石垫层</w:t>
                  </w:r>
                </w:p>
              </w:tc>
              <w:tc>
                <w:tcPr>
                  <w:tcW w:w="706" w:type="dxa"/>
                  <w:vAlign w:val="center"/>
                </w:tcPr>
                <w:p w14:paraId="32F3344A">
                  <w:pPr>
                    <w:jc w:val="center"/>
                    <w:rPr>
                      <w:rFonts w:cs="Times New Roman"/>
                      <w:kern w:val="0"/>
                      <w:sz w:val="21"/>
                      <w:szCs w:val="21"/>
                    </w:rPr>
                  </w:pPr>
                  <w:r>
                    <w:rPr>
                      <w:rFonts w:hint="eastAsia" w:cs="Times New Roman"/>
                      <w:kern w:val="0"/>
                      <w:sz w:val="21"/>
                      <w:szCs w:val="21"/>
                    </w:rPr>
                    <w:t>m³</w:t>
                  </w:r>
                </w:p>
              </w:tc>
              <w:tc>
                <w:tcPr>
                  <w:tcW w:w="899" w:type="dxa"/>
                  <w:vAlign w:val="center"/>
                </w:tcPr>
                <w:p w14:paraId="3729C849">
                  <w:pPr>
                    <w:jc w:val="center"/>
                    <w:rPr>
                      <w:rFonts w:cs="Times New Roman"/>
                      <w:kern w:val="0"/>
                      <w:sz w:val="21"/>
                      <w:szCs w:val="21"/>
                    </w:rPr>
                  </w:pPr>
                  <w:r>
                    <w:rPr>
                      <w:rFonts w:hint="eastAsia" w:cs="Times New Roman"/>
                      <w:kern w:val="0"/>
                      <w:sz w:val="21"/>
                      <w:szCs w:val="21"/>
                    </w:rPr>
                    <w:t>523.72</w:t>
                  </w:r>
                </w:p>
              </w:tc>
              <w:tc>
                <w:tcPr>
                  <w:tcW w:w="2638" w:type="dxa"/>
                  <w:vAlign w:val="center"/>
                </w:tcPr>
                <w:p w14:paraId="58F56459">
                  <w:pPr>
                    <w:jc w:val="center"/>
                    <w:rPr>
                      <w:rFonts w:cs="Times New Roman"/>
                      <w:kern w:val="0"/>
                      <w:sz w:val="21"/>
                      <w:szCs w:val="21"/>
                    </w:rPr>
                  </w:pPr>
                </w:p>
              </w:tc>
            </w:tr>
            <w:tr w14:paraId="1F6A6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6B7C5C6C">
                  <w:pPr>
                    <w:jc w:val="center"/>
                    <w:rPr>
                      <w:rFonts w:cs="Times New Roman"/>
                      <w:kern w:val="0"/>
                      <w:sz w:val="21"/>
                      <w:szCs w:val="21"/>
                    </w:rPr>
                  </w:pPr>
                  <w:r>
                    <w:rPr>
                      <w:rFonts w:hint="eastAsia" w:cs="Times New Roman"/>
                      <w:kern w:val="0"/>
                      <w:sz w:val="21"/>
                      <w:szCs w:val="21"/>
                    </w:rPr>
                    <w:t>4</w:t>
                  </w:r>
                </w:p>
              </w:tc>
              <w:tc>
                <w:tcPr>
                  <w:tcW w:w="2676" w:type="dxa"/>
                  <w:vAlign w:val="center"/>
                </w:tcPr>
                <w:p w14:paraId="1CF29BAA">
                  <w:pPr>
                    <w:jc w:val="center"/>
                    <w:rPr>
                      <w:rFonts w:cs="Times New Roman"/>
                      <w:kern w:val="0"/>
                      <w:sz w:val="21"/>
                      <w:szCs w:val="21"/>
                    </w:rPr>
                  </w:pPr>
                  <w:r>
                    <w:rPr>
                      <w:rFonts w:hint="eastAsia" w:cs="Times New Roman"/>
                      <w:kern w:val="0"/>
                      <w:sz w:val="21"/>
                      <w:szCs w:val="21"/>
                    </w:rPr>
                    <w:t>回填开山石</w:t>
                  </w:r>
                </w:p>
              </w:tc>
              <w:tc>
                <w:tcPr>
                  <w:tcW w:w="706" w:type="dxa"/>
                  <w:vAlign w:val="center"/>
                </w:tcPr>
                <w:p w14:paraId="224A8920">
                  <w:pPr>
                    <w:jc w:val="center"/>
                    <w:rPr>
                      <w:rFonts w:cs="Times New Roman"/>
                      <w:kern w:val="0"/>
                      <w:sz w:val="21"/>
                      <w:szCs w:val="21"/>
                    </w:rPr>
                  </w:pPr>
                  <w:r>
                    <w:rPr>
                      <w:rFonts w:hint="eastAsia" w:cs="Times New Roman"/>
                      <w:kern w:val="0"/>
                      <w:sz w:val="21"/>
                      <w:szCs w:val="21"/>
                    </w:rPr>
                    <w:t>m³</w:t>
                  </w:r>
                </w:p>
              </w:tc>
              <w:tc>
                <w:tcPr>
                  <w:tcW w:w="899" w:type="dxa"/>
                  <w:vAlign w:val="center"/>
                </w:tcPr>
                <w:p w14:paraId="207B453A">
                  <w:pPr>
                    <w:jc w:val="center"/>
                    <w:rPr>
                      <w:rFonts w:cs="Times New Roman"/>
                      <w:kern w:val="0"/>
                      <w:sz w:val="21"/>
                      <w:szCs w:val="21"/>
                    </w:rPr>
                  </w:pPr>
                  <w:r>
                    <w:rPr>
                      <w:rFonts w:hint="eastAsia" w:cs="Times New Roman"/>
                      <w:kern w:val="0"/>
                      <w:sz w:val="21"/>
                      <w:szCs w:val="21"/>
                    </w:rPr>
                    <w:t>1770.68</w:t>
                  </w:r>
                </w:p>
              </w:tc>
              <w:tc>
                <w:tcPr>
                  <w:tcW w:w="2638" w:type="dxa"/>
                  <w:vAlign w:val="center"/>
                </w:tcPr>
                <w:p w14:paraId="341B892E">
                  <w:pPr>
                    <w:jc w:val="center"/>
                    <w:rPr>
                      <w:rFonts w:cs="Times New Roman"/>
                      <w:kern w:val="0"/>
                      <w:sz w:val="21"/>
                      <w:szCs w:val="21"/>
                    </w:rPr>
                  </w:pPr>
                </w:p>
              </w:tc>
            </w:tr>
            <w:tr w14:paraId="69A6D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5257A22F">
                  <w:pPr>
                    <w:jc w:val="center"/>
                    <w:rPr>
                      <w:rFonts w:cs="Times New Roman"/>
                      <w:kern w:val="0"/>
                      <w:sz w:val="21"/>
                      <w:szCs w:val="21"/>
                    </w:rPr>
                  </w:pPr>
                  <w:r>
                    <w:rPr>
                      <w:rFonts w:hint="eastAsia" w:cs="Times New Roman"/>
                      <w:kern w:val="0"/>
                      <w:sz w:val="21"/>
                      <w:szCs w:val="21"/>
                    </w:rPr>
                    <w:t>5</w:t>
                  </w:r>
                </w:p>
              </w:tc>
              <w:tc>
                <w:tcPr>
                  <w:tcW w:w="2676" w:type="dxa"/>
                  <w:vAlign w:val="center"/>
                </w:tcPr>
                <w:p w14:paraId="06F5CD4E">
                  <w:pPr>
                    <w:jc w:val="center"/>
                    <w:rPr>
                      <w:rFonts w:cs="Times New Roman"/>
                      <w:kern w:val="0"/>
                      <w:sz w:val="21"/>
                      <w:szCs w:val="21"/>
                    </w:rPr>
                  </w:pPr>
                  <w:r>
                    <w:rPr>
                      <w:rFonts w:hint="eastAsia" w:cs="Times New Roman"/>
                      <w:kern w:val="0"/>
                      <w:sz w:val="21"/>
                      <w:szCs w:val="21"/>
                    </w:rPr>
                    <w:t>300~400kg块石护脚</w:t>
                  </w:r>
                </w:p>
              </w:tc>
              <w:tc>
                <w:tcPr>
                  <w:tcW w:w="706" w:type="dxa"/>
                  <w:vAlign w:val="center"/>
                </w:tcPr>
                <w:p w14:paraId="1ED1CFDA">
                  <w:pPr>
                    <w:jc w:val="center"/>
                    <w:rPr>
                      <w:rFonts w:cs="Times New Roman"/>
                      <w:kern w:val="0"/>
                      <w:sz w:val="21"/>
                      <w:szCs w:val="21"/>
                    </w:rPr>
                  </w:pPr>
                  <w:r>
                    <w:rPr>
                      <w:rFonts w:hint="eastAsia" w:cs="Times New Roman"/>
                      <w:kern w:val="0"/>
                      <w:sz w:val="21"/>
                      <w:szCs w:val="21"/>
                    </w:rPr>
                    <w:t>m³</w:t>
                  </w:r>
                </w:p>
              </w:tc>
              <w:tc>
                <w:tcPr>
                  <w:tcW w:w="899" w:type="dxa"/>
                  <w:vAlign w:val="center"/>
                </w:tcPr>
                <w:p w14:paraId="721F9F9B">
                  <w:pPr>
                    <w:jc w:val="center"/>
                    <w:rPr>
                      <w:rFonts w:cs="Times New Roman"/>
                      <w:kern w:val="0"/>
                      <w:sz w:val="21"/>
                      <w:szCs w:val="21"/>
                    </w:rPr>
                  </w:pPr>
                  <w:r>
                    <w:rPr>
                      <w:rFonts w:hint="eastAsia" w:cs="Times New Roman"/>
                      <w:kern w:val="0"/>
                      <w:sz w:val="21"/>
                      <w:szCs w:val="21"/>
                    </w:rPr>
                    <w:t>168.17</w:t>
                  </w:r>
                </w:p>
              </w:tc>
              <w:tc>
                <w:tcPr>
                  <w:tcW w:w="2638" w:type="dxa"/>
                  <w:vAlign w:val="center"/>
                </w:tcPr>
                <w:p w14:paraId="423AED1A">
                  <w:pPr>
                    <w:jc w:val="center"/>
                    <w:rPr>
                      <w:rFonts w:cs="Times New Roman"/>
                      <w:kern w:val="0"/>
                      <w:sz w:val="21"/>
                      <w:szCs w:val="21"/>
                    </w:rPr>
                  </w:pPr>
                </w:p>
              </w:tc>
            </w:tr>
            <w:tr w14:paraId="4D255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27" w:type="dxa"/>
                  <w:gridSpan w:val="5"/>
                  <w:vAlign w:val="center"/>
                </w:tcPr>
                <w:p w14:paraId="14604AE1">
                  <w:pPr>
                    <w:jc w:val="center"/>
                    <w:rPr>
                      <w:rFonts w:cs="Times New Roman"/>
                      <w:b/>
                      <w:bCs/>
                      <w:kern w:val="0"/>
                      <w:sz w:val="21"/>
                      <w:szCs w:val="21"/>
                    </w:rPr>
                  </w:pPr>
                  <w:r>
                    <w:rPr>
                      <w:rFonts w:hint="eastAsia" w:cs="Times New Roman"/>
                      <w:b/>
                      <w:bCs/>
                      <w:kern w:val="0"/>
                      <w:sz w:val="21"/>
                      <w:szCs w:val="21"/>
                    </w:rPr>
                    <w:t>船台滑道工程量</w:t>
                  </w:r>
                </w:p>
              </w:tc>
            </w:tr>
            <w:tr w14:paraId="745A4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F79E26E">
                  <w:pPr>
                    <w:jc w:val="center"/>
                    <w:rPr>
                      <w:rFonts w:cs="Times New Roman"/>
                      <w:kern w:val="0"/>
                      <w:sz w:val="21"/>
                      <w:szCs w:val="21"/>
                    </w:rPr>
                  </w:pPr>
                  <w:r>
                    <w:rPr>
                      <w:rFonts w:hint="eastAsia" w:cs="Times New Roman"/>
                      <w:kern w:val="0"/>
                      <w:sz w:val="21"/>
                      <w:szCs w:val="21"/>
                    </w:rPr>
                    <w:t>1</w:t>
                  </w:r>
                </w:p>
              </w:tc>
              <w:tc>
                <w:tcPr>
                  <w:tcW w:w="2676" w:type="dxa"/>
                  <w:vAlign w:val="center"/>
                </w:tcPr>
                <w:p w14:paraId="01F0A215">
                  <w:pPr>
                    <w:jc w:val="center"/>
                    <w:rPr>
                      <w:rFonts w:cs="Times New Roman"/>
                      <w:kern w:val="0"/>
                      <w:sz w:val="21"/>
                      <w:szCs w:val="21"/>
                    </w:rPr>
                  </w:pPr>
                  <w:r>
                    <w:rPr>
                      <w:rFonts w:hint="eastAsia" w:cs="Times New Roman"/>
                      <w:kern w:val="0"/>
                      <w:sz w:val="21"/>
                      <w:szCs w:val="21"/>
                    </w:rPr>
                    <w:t>回填卵砾石</w:t>
                  </w:r>
                </w:p>
              </w:tc>
              <w:tc>
                <w:tcPr>
                  <w:tcW w:w="706" w:type="dxa"/>
                  <w:vAlign w:val="center"/>
                </w:tcPr>
                <w:p w14:paraId="0786A685">
                  <w:pPr>
                    <w:jc w:val="center"/>
                    <w:rPr>
                      <w:rFonts w:cs="Times New Roman"/>
                      <w:kern w:val="0"/>
                      <w:sz w:val="21"/>
                      <w:szCs w:val="21"/>
                    </w:rPr>
                  </w:pPr>
                  <w:r>
                    <w:rPr>
                      <w:rFonts w:hint="eastAsia" w:cs="Times New Roman"/>
                      <w:kern w:val="0"/>
                      <w:sz w:val="21"/>
                      <w:szCs w:val="21"/>
                    </w:rPr>
                    <w:t>m³</w:t>
                  </w:r>
                </w:p>
              </w:tc>
              <w:tc>
                <w:tcPr>
                  <w:tcW w:w="899" w:type="dxa"/>
                  <w:vAlign w:val="center"/>
                </w:tcPr>
                <w:p w14:paraId="53AEFA35">
                  <w:pPr>
                    <w:jc w:val="center"/>
                    <w:rPr>
                      <w:rFonts w:cs="Times New Roman"/>
                      <w:kern w:val="0"/>
                      <w:sz w:val="21"/>
                      <w:szCs w:val="21"/>
                    </w:rPr>
                  </w:pPr>
                  <w:r>
                    <w:rPr>
                      <w:rFonts w:hint="eastAsia" w:cs="Times New Roman"/>
                      <w:kern w:val="0"/>
                      <w:sz w:val="21"/>
                      <w:szCs w:val="21"/>
                    </w:rPr>
                    <w:t>2060.50</w:t>
                  </w:r>
                </w:p>
              </w:tc>
              <w:tc>
                <w:tcPr>
                  <w:tcW w:w="2638" w:type="dxa"/>
                  <w:vAlign w:val="center"/>
                </w:tcPr>
                <w:p w14:paraId="7AC1B56F">
                  <w:pPr>
                    <w:jc w:val="center"/>
                    <w:rPr>
                      <w:rFonts w:cs="Times New Roman"/>
                      <w:kern w:val="0"/>
                      <w:sz w:val="21"/>
                      <w:szCs w:val="21"/>
                    </w:rPr>
                  </w:pPr>
                </w:p>
              </w:tc>
            </w:tr>
            <w:tr w14:paraId="34899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DFAFF50">
                  <w:pPr>
                    <w:jc w:val="center"/>
                    <w:rPr>
                      <w:rFonts w:cs="Times New Roman"/>
                      <w:kern w:val="0"/>
                      <w:sz w:val="21"/>
                      <w:szCs w:val="21"/>
                    </w:rPr>
                  </w:pPr>
                  <w:r>
                    <w:rPr>
                      <w:rFonts w:hint="eastAsia" w:cs="Times New Roman"/>
                      <w:kern w:val="0"/>
                      <w:sz w:val="21"/>
                      <w:szCs w:val="21"/>
                    </w:rPr>
                    <w:t>2</w:t>
                  </w:r>
                </w:p>
              </w:tc>
              <w:tc>
                <w:tcPr>
                  <w:tcW w:w="2676" w:type="dxa"/>
                  <w:vAlign w:val="center"/>
                </w:tcPr>
                <w:p w14:paraId="01217689">
                  <w:pPr>
                    <w:jc w:val="center"/>
                    <w:rPr>
                      <w:rFonts w:cs="Times New Roman"/>
                      <w:kern w:val="0"/>
                      <w:sz w:val="21"/>
                      <w:szCs w:val="21"/>
                    </w:rPr>
                  </w:pPr>
                  <w:r>
                    <w:rPr>
                      <w:rFonts w:hint="eastAsia" w:cs="Times New Roman"/>
                      <w:kern w:val="0"/>
                      <w:sz w:val="21"/>
                      <w:szCs w:val="21"/>
                    </w:rPr>
                    <w:t>200mmC30F300混凝土面层</w:t>
                  </w:r>
                </w:p>
              </w:tc>
              <w:tc>
                <w:tcPr>
                  <w:tcW w:w="706" w:type="dxa"/>
                  <w:vAlign w:val="center"/>
                </w:tcPr>
                <w:p w14:paraId="7BCD0A68">
                  <w:pPr>
                    <w:jc w:val="center"/>
                    <w:rPr>
                      <w:rFonts w:cs="Times New Roman"/>
                      <w:kern w:val="0"/>
                      <w:sz w:val="21"/>
                      <w:szCs w:val="21"/>
                    </w:rPr>
                  </w:pPr>
                  <w:r>
                    <w:rPr>
                      <w:rFonts w:hint="eastAsia" w:cs="Times New Roman"/>
                      <w:kern w:val="0"/>
                      <w:sz w:val="21"/>
                      <w:szCs w:val="21"/>
                    </w:rPr>
                    <w:t>m³</w:t>
                  </w:r>
                </w:p>
              </w:tc>
              <w:tc>
                <w:tcPr>
                  <w:tcW w:w="899" w:type="dxa"/>
                  <w:vAlign w:val="center"/>
                </w:tcPr>
                <w:p w14:paraId="0415312C">
                  <w:pPr>
                    <w:jc w:val="center"/>
                    <w:rPr>
                      <w:rFonts w:cs="Times New Roman"/>
                      <w:kern w:val="0"/>
                      <w:sz w:val="21"/>
                      <w:szCs w:val="21"/>
                    </w:rPr>
                  </w:pPr>
                  <w:r>
                    <w:rPr>
                      <w:rFonts w:hint="eastAsia" w:cs="Times New Roman"/>
                      <w:kern w:val="0"/>
                      <w:sz w:val="21"/>
                      <w:szCs w:val="21"/>
                    </w:rPr>
                    <w:t>180.70</w:t>
                  </w:r>
                </w:p>
              </w:tc>
              <w:tc>
                <w:tcPr>
                  <w:tcW w:w="2638" w:type="dxa"/>
                  <w:vAlign w:val="center"/>
                </w:tcPr>
                <w:p w14:paraId="3C0C0787">
                  <w:pPr>
                    <w:jc w:val="center"/>
                    <w:rPr>
                      <w:rFonts w:cs="Times New Roman"/>
                      <w:kern w:val="0"/>
                      <w:sz w:val="21"/>
                      <w:szCs w:val="21"/>
                    </w:rPr>
                  </w:pPr>
                </w:p>
              </w:tc>
            </w:tr>
            <w:tr w14:paraId="6C0E1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FA3F077">
                  <w:pPr>
                    <w:jc w:val="center"/>
                    <w:rPr>
                      <w:rFonts w:cs="Times New Roman"/>
                      <w:kern w:val="0"/>
                      <w:sz w:val="21"/>
                      <w:szCs w:val="21"/>
                    </w:rPr>
                  </w:pPr>
                  <w:r>
                    <w:rPr>
                      <w:rFonts w:hint="eastAsia" w:cs="Times New Roman"/>
                      <w:kern w:val="0"/>
                      <w:sz w:val="21"/>
                      <w:szCs w:val="21"/>
                    </w:rPr>
                    <w:t>3</w:t>
                  </w:r>
                </w:p>
              </w:tc>
              <w:tc>
                <w:tcPr>
                  <w:tcW w:w="2676" w:type="dxa"/>
                  <w:vAlign w:val="center"/>
                </w:tcPr>
                <w:p w14:paraId="2F4CEF68">
                  <w:pPr>
                    <w:jc w:val="center"/>
                    <w:rPr>
                      <w:rFonts w:cs="Times New Roman"/>
                      <w:kern w:val="0"/>
                      <w:sz w:val="21"/>
                      <w:szCs w:val="21"/>
                    </w:rPr>
                  </w:pPr>
                  <w:r>
                    <w:rPr>
                      <w:rFonts w:hint="eastAsia" w:cs="Times New Roman"/>
                      <w:kern w:val="0"/>
                      <w:sz w:val="21"/>
                      <w:szCs w:val="21"/>
                    </w:rPr>
                    <w:t>150mm碎石垫层</w:t>
                  </w:r>
                </w:p>
              </w:tc>
              <w:tc>
                <w:tcPr>
                  <w:tcW w:w="706" w:type="dxa"/>
                  <w:vAlign w:val="center"/>
                </w:tcPr>
                <w:p w14:paraId="35892B05">
                  <w:pPr>
                    <w:jc w:val="center"/>
                    <w:rPr>
                      <w:rFonts w:cs="Times New Roman"/>
                      <w:kern w:val="0"/>
                      <w:sz w:val="21"/>
                      <w:szCs w:val="21"/>
                    </w:rPr>
                  </w:pPr>
                  <w:r>
                    <w:rPr>
                      <w:rFonts w:hint="eastAsia" w:cs="Times New Roman"/>
                      <w:kern w:val="0"/>
                      <w:sz w:val="21"/>
                      <w:szCs w:val="21"/>
                    </w:rPr>
                    <w:t>m³</w:t>
                  </w:r>
                </w:p>
              </w:tc>
              <w:tc>
                <w:tcPr>
                  <w:tcW w:w="899" w:type="dxa"/>
                  <w:vAlign w:val="center"/>
                </w:tcPr>
                <w:p w14:paraId="6A44282B">
                  <w:pPr>
                    <w:jc w:val="center"/>
                    <w:rPr>
                      <w:rFonts w:cs="Times New Roman"/>
                      <w:kern w:val="0"/>
                      <w:sz w:val="21"/>
                      <w:szCs w:val="21"/>
                    </w:rPr>
                  </w:pPr>
                  <w:r>
                    <w:rPr>
                      <w:rFonts w:hint="eastAsia" w:cs="Times New Roman"/>
                      <w:kern w:val="0"/>
                      <w:sz w:val="21"/>
                      <w:szCs w:val="21"/>
                    </w:rPr>
                    <w:t>135.53</w:t>
                  </w:r>
                </w:p>
              </w:tc>
              <w:tc>
                <w:tcPr>
                  <w:tcW w:w="2638" w:type="dxa"/>
                  <w:vAlign w:val="center"/>
                </w:tcPr>
                <w:p w14:paraId="53C5F327">
                  <w:pPr>
                    <w:jc w:val="center"/>
                    <w:rPr>
                      <w:rFonts w:cs="Times New Roman"/>
                      <w:kern w:val="0"/>
                      <w:sz w:val="21"/>
                      <w:szCs w:val="21"/>
                    </w:rPr>
                  </w:pPr>
                </w:p>
              </w:tc>
            </w:tr>
            <w:tr w14:paraId="2DB28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Align w:val="center"/>
                </w:tcPr>
                <w:p w14:paraId="709EFAC2">
                  <w:pPr>
                    <w:jc w:val="center"/>
                    <w:rPr>
                      <w:rFonts w:cs="Times New Roman"/>
                      <w:kern w:val="0"/>
                      <w:sz w:val="21"/>
                      <w:szCs w:val="21"/>
                    </w:rPr>
                  </w:pPr>
                  <w:r>
                    <w:rPr>
                      <w:rFonts w:hint="eastAsia" w:cs="Times New Roman"/>
                      <w:kern w:val="0"/>
                      <w:sz w:val="21"/>
                      <w:szCs w:val="21"/>
                    </w:rPr>
                    <w:t>4</w:t>
                  </w:r>
                </w:p>
              </w:tc>
              <w:tc>
                <w:tcPr>
                  <w:tcW w:w="2676" w:type="dxa"/>
                  <w:vAlign w:val="center"/>
                </w:tcPr>
                <w:p w14:paraId="1E06DD7D">
                  <w:pPr>
                    <w:jc w:val="center"/>
                    <w:rPr>
                      <w:rFonts w:cs="Times New Roman"/>
                      <w:kern w:val="0"/>
                      <w:sz w:val="21"/>
                      <w:szCs w:val="21"/>
                    </w:rPr>
                  </w:pPr>
                  <w:r>
                    <w:rPr>
                      <w:rFonts w:hint="eastAsia" w:cs="Times New Roman"/>
                      <w:kern w:val="0"/>
                      <w:sz w:val="21"/>
                      <w:szCs w:val="21"/>
                    </w:rPr>
                    <w:t>200mm二片石垫层</w:t>
                  </w:r>
                </w:p>
              </w:tc>
              <w:tc>
                <w:tcPr>
                  <w:tcW w:w="706" w:type="dxa"/>
                  <w:vAlign w:val="center"/>
                </w:tcPr>
                <w:p w14:paraId="086BC560">
                  <w:pPr>
                    <w:jc w:val="center"/>
                    <w:rPr>
                      <w:rFonts w:cs="Times New Roman"/>
                      <w:kern w:val="0"/>
                      <w:sz w:val="21"/>
                      <w:szCs w:val="21"/>
                    </w:rPr>
                  </w:pPr>
                  <w:r>
                    <w:rPr>
                      <w:rFonts w:hint="eastAsia" w:cs="Times New Roman"/>
                      <w:kern w:val="0"/>
                      <w:sz w:val="21"/>
                      <w:szCs w:val="21"/>
                    </w:rPr>
                    <w:t>m³</w:t>
                  </w:r>
                </w:p>
              </w:tc>
              <w:tc>
                <w:tcPr>
                  <w:tcW w:w="899" w:type="dxa"/>
                  <w:vAlign w:val="center"/>
                </w:tcPr>
                <w:p w14:paraId="297FB9DC">
                  <w:pPr>
                    <w:jc w:val="center"/>
                    <w:rPr>
                      <w:rFonts w:cs="Times New Roman"/>
                      <w:kern w:val="0"/>
                      <w:sz w:val="21"/>
                      <w:szCs w:val="21"/>
                    </w:rPr>
                  </w:pPr>
                  <w:r>
                    <w:rPr>
                      <w:rFonts w:hint="eastAsia" w:cs="Times New Roman"/>
                      <w:kern w:val="0"/>
                      <w:sz w:val="21"/>
                      <w:szCs w:val="21"/>
                    </w:rPr>
                    <w:t>180.70</w:t>
                  </w:r>
                </w:p>
              </w:tc>
              <w:tc>
                <w:tcPr>
                  <w:tcW w:w="2638" w:type="dxa"/>
                  <w:vAlign w:val="center"/>
                </w:tcPr>
                <w:p w14:paraId="2409F96D">
                  <w:pPr>
                    <w:jc w:val="center"/>
                    <w:rPr>
                      <w:rFonts w:cs="Times New Roman"/>
                      <w:kern w:val="0"/>
                      <w:sz w:val="21"/>
                      <w:szCs w:val="21"/>
                    </w:rPr>
                  </w:pPr>
                </w:p>
              </w:tc>
            </w:tr>
            <w:tr w14:paraId="72A08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8" w:type="dxa"/>
                  <w:vMerge w:val="restart"/>
                  <w:vAlign w:val="center"/>
                </w:tcPr>
                <w:p w14:paraId="5272AC17">
                  <w:pPr>
                    <w:jc w:val="center"/>
                    <w:rPr>
                      <w:rFonts w:cs="Times New Roman"/>
                      <w:kern w:val="0"/>
                      <w:sz w:val="21"/>
                      <w:szCs w:val="21"/>
                    </w:rPr>
                  </w:pPr>
                  <w:r>
                    <w:rPr>
                      <w:rFonts w:hint="eastAsia" w:cs="Times New Roman"/>
                      <w:kern w:val="0"/>
                      <w:sz w:val="21"/>
                      <w:szCs w:val="21"/>
                    </w:rPr>
                    <w:t>5</w:t>
                  </w:r>
                </w:p>
              </w:tc>
              <w:tc>
                <w:tcPr>
                  <w:tcW w:w="2676" w:type="dxa"/>
                  <w:vAlign w:val="center"/>
                </w:tcPr>
                <w:p w14:paraId="1440C50D">
                  <w:pPr>
                    <w:jc w:val="center"/>
                    <w:rPr>
                      <w:rFonts w:cs="Times New Roman"/>
                      <w:kern w:val="0"/>
                      <w:sz w:val="21"/>
                      <w:szCs w:val="21"/>
                    </w:rPr>
                  </w:pPr>
                  <w:r>
                    <w:rPr>
                      <w:rFonts w:hint="eastAsia" w:cs="Times New Roman"/>
                      <w:kern w:val="0"/>
                      <w:sz w:val="21"/>
                      <w:szCs w:val="21"/>
                    </w:rPr>
                    <w:t>预制混凝土镇脚</w:t>
                  </w:r>
                </w:p>
              </w:tc>
              <w:tc>
                <w:tcPr>
                  <w:tcW w:w="706" w:type="dxa"/>
                  <w:vAlign w:val="center"/>
                </w:tcPr>
                <w:p w14:paraId="13D43D45">
                  <w:pPr>
                    <w:jc w:val="center"/>
                    <w:rPr>
                      <w:rFonts w:cs="Times New Roman"/>
                      <w:kern w:val="0"/>
                      <w:sz w:val="21"/>
                      <w:szCs w:val="21"/>
                    </w:rPr>
                  </w:pPr>
                  <w:r>
                    <w:rPr>
                      <w:rFonts w:hint="eastAsia" w:cs="Times New Roman"/>
                      <w:kern w:val="0"/>
                      <w:sz w:val="21"/>
                      <w:szCs w:val="21"/>
                    </w:rPr>
                    <w:t>个</w:t>
                  </w:r>
                </w:p>
              </w:tc>
              <w:tc>
                <w:tcPr>
                  <w:tcW w:w="899" w:type="dxa"/>
                  <w:vAlign w:val="center"/>
                </w:tcPr>
                <w:p w14:paraId="503F46B9">
                  <w:pPr>
                    <w:jc w:val="center"/>
                    <w:rPr>
                      <w:rFonts w:cs="Times New Roman"/>
                      <w:kern w:val="0"/>
                      <w:sz w:val="21"/>
                      <w:szCs w:val="21"/>
                    </w:rPr>
                  </w:pPr>
                  <w:r>
                    <w:rPr>
                      <w:rFonts w:hint="eastAsia" w:cs="Times New Roman"/>
                      <w:kern w:val="0"/>
                      <w:sz w:val="21"/>
                      <w:szCs w:val="21"/>
                    </w:rPr>
                    <w:t>4.00</w:t>
                  </w:r>
                </w:p>
              </w:tc>
              <w:tc>
                <w:tcPr>
                  <w:tcW w:w="2638" w:type="dxa"/>
                  <w:vMerge w:val="restart"/>
                  <w:vAlign w:val="center"/>
                </w:tcPr>
                <w:p w14:paraId="26890C10">
                  <w:pPr>
                    <w:jc w:val="center"/>
                    <w:rPr>
                      <w:rFonts w:cs="Times New Roman"/>
                      <w:kern w:val="0"/>
                      <w:sz w:val="21"/>
                      <w:szCs w:val="21"/>
                    </w:rPr>
                  </w:pPr>
                  <w:r>
                    <w:rPr>
                      <w:rFonts w:hint="eastAsia" w:cs="Times New Roman"/>
                      <w:kern w:val="0"/>
                      <w:sz w:val="21"/>
                      <w:szCs w:val="21"/>
                    </w:rPr>
                    <w:t>C30F300，3.25m×1.5m×1.5m</w:t>
                  </w:r>
                </w:p>
              </w:tc>
            </w:tr>
            <w:tr w14:paraId="52CB6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330D1705">
                  <w:pPr>
                    <w:jc w:val="center"/>
                    <w:rPr>
                      <w:rFonts w:cs="Times New Roman"/>
                      <w:kern w:val="0"/>
                      <w:sz w:val="21"/>
                      <w:szCs w:val="21"/>
                    </w:rPr>
                  </w:pPr>
                </w:p>
              </w:tc>
              <w:tc>
                <w:tcPr>
                  <w:tcW w:w="2676" w:type="dxa"/>
                  <w:vAlign w:val="center"/>
                </w:tcPr>
                <w:p w14:paraId="1838E167">
                  <w:pPr>
                    <w:jc w:val="center"/>
                    <w:rPr>
                      <w:rFonts w:cs="Times New Roman"/>
                      <w:kern w:val="0"/>
                      <w:sz w:val="21"/>
                      <w:szCs w:val="21"/>
                    </w:rPr>
                  </w:pPr>
                  <w:r>
                    <w:rPr>
                      <w:rFonts w:hint="eastAsia" w:cs="Times New Roman"/>
                      <w:kern w:val="0"/>
                      <w:sz w:val="21"/>
                      <w:szCs w:val="21"/>
                    </w:rPr>
                    <w:t>预制混凝土挡块</w:t>
                  </w:r>
                </w:p>
              </w:tc>
              <w:tc>
                <w:tcPr>
                  <w:tcW w:w="706" w:type="dxa"/>
                  <w:vAlign w:val="center"/>
                </w:tcPr>
                <w:p w14:paraId="592BE3F0">
                  <w:pPr>
                    <w:jc w:val="center"/>
                    <w:rPr>
                      <w:rFonts w:cs="Times New Roman"/>
                      <w:kern w:val="0"/>
                      <w:sz w:val="21"/>
                      <w:szCs w:val="21"/>
                    </w:rPr>
                  </w:pPr>
                  <w:r>
                    <w:rPr>
                      <w:rFonts w:hint="eastAsia" w:cs="Times New Roman"/>
                      <w:kern w:val="0"/>
                      <w:sz w:val="21"/>
                      <w:szCs w:val="21"/>
                    </w:rPr>
                    <w:t>m³</w:t>
                  </w:r>
                </w:p>
              </w:tc>
              <w:tc>
                <w:tcPr>
                  <w:tcW w:w="899" w:type="dxa"/>
                  <w:vAlign w:val="center"/>
                </w:tcPr>
                <w:p w14:paraId="03D45EE2">
                  <w:pPr>
                    <w:jc w:val="center"/>
                    <w:rPr>
                      <w:rFonts w:cs="Times New Roman"/>
                      <w:kern w:val="0"/>
                      <w:sz w:val="21"/>
                      <w:szCs w:val="21"/>
                    </w:rPr>
                  </w:pPr>
                  <w:r>
                    <w:rPr>
                      <w:rFonts w:hint="eastAsia" w:cs="Times New Roman"/>
                      <w:kern w:val="0"/>
                      <w:sz w:val="21"/>
                      <w:szCs w:val="21"/>
                    </w:rPr>
                    <w:t>73.13</w:t>
                  </w:r>
                </w:p>
              </w:tc>
              <w:tc>
                <w:tcPr>
                  <w:tcW w:w="2638" w:type="dxa"/>
                  <w:vMerge w:val="continue"/>
                  <w:vAlign w:val="center"/>
                </w:tcPr>
                <w:p w14:paraId="0548BEC6">
                  <w:pPr>
                    <w:jc w:val="center"/>
                    <w:rPr>
                      <w:rFonts w:cs="Times New Roman"/>
                      <w:kern w:val="0"/>
                      <w:sz w:val="21"/>
                      <w:szCs w:val="21"/>
                    </w:rPr>
                  </w:pPr>
                </w:p>
              </w:tc>
            </w:tr>
            <w:tr w14:paraId="5F75C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D6EC12A">
                  <w:pPr>
                    <w:jc w:val="center"/>
                    <w:rPr>
                      <w:rFonts w:cs="Times New Roman"/>
                      <w:kern w:val="0"/>
                      <w:sz w:val="21"/>
                      <w:szCs w:val="21"/>
                    </w:rPr>
                  </w:pPr>
                  <w:r>
                    <w:rPr>
                      <w:rFonts w:hint="eastAsia" w:cs="Times New Roman"/>
                      <w:kern w:val="0"/>
                      <w:sz w:val="21"/>
                      <w:szCs w:val="21"/>
                    </w:rPr>
                    <w:t>6</w:t>
                  </w:r>
                </w:p>
              </w:tc>
              <w:tc>
                <w:tcPr>
                  <w:tcW w:w="2676" w:type="dxa"/>
                  <w:vAlign w:val="center"/>
                </w:tcPr>
                <w:p w14:paraId="7CF54517">
                  <w:pPr>
                    <w:jc w:val="center"/>
                    <w:rPr>
                      <w:rFonts w:cs="Times New Roman"/>
                      <w:kern w:val="0"/>
                      <w:sz w:val="21"/>
                      <w:szCs w:val="21"/>
                    </w:rPr>
                  </w:pPr>
                  <w:r>
                    <w:rPr>
                      <w:rFonts w:hint="eastAsia" w:cs="Times New Roman"/>
                      <w:kern w:val="0"/>
                      <w:sz w:val="21"/>
                      <w:szCs w:val="21"/>
                    </w:rPr>
                    <w:t>500mm碎石垫层</w:t>
                  </w:r>
                </w:p>
              </w:tc>
              <w:tc>
                <w:tcPr>
                  <w:tcW w:w="706" w:type="dxa"/>
                  <w:vAlign w:val="center"/>
                </w:tcPr>
                <w:p w14:paraId="68688594">
                  <w:pPr>
                    <w:jc w:val="center"/>
                    <w:rPr>
                      <w:rFonts w:cs="Times New Roman"/>
                      <w:kern w:val="0"/>
                      <w:sz w:val="21"/>
                      <w:szCs w:val="21"/>
                    </w:rPr>
                  </w:pPr>
                  <w:r>
                    <w:rPr>
                      <w:rFonts w:hint="eastAsia" w:cs="Times New Roman"/>
                      <w:kern w:val="0"/>
                      <w:sz w:val="21"/>
                      <w:szCs w:val="21"/>
                    </w:rPr>
                    <w:t>m³</w:t>
                  </w:r>
                </w:p>
              </w:tc>
              <w:tc>
                <w:tcPr>
                  <w:tcW w:w="899" w:type="dxa"/>
                  <w:vAlign w:val="center"/>
                </w:tcPr>
                <w:p w14:paraId="0CD97348">
                  <w:pPr>
                    <w:jc w:val="center"/>
                    <w:rPr>
                      <w:rFonts w:cs="Times New Roman"/>
                      <w:kern w:val="0"/>
                      <w:sz w:val="21"/>
                      <w:szCs w:val="21"/>
                    </w:rPr>
                  </w:pPr>
                  <w:r>
                    <w:rPr>
                      <w:rFonts w:hint="eastAsia" w:cs="Times New Roman"/>
                      <w:kern w:val="0"/>
                      <w:sz w:val="21"/>
                      <w:szCs w:val="21"/>
                    </w:rPr>
                    <w:t>22.50</w:t>
                  </w:r>
                </w:p>
              </w:tc>
              <w:tc>
                <w:tcPr>
                  <w:tcW w:w="2638" w:type="dxa"/>
                  <w:vAlign w:val="center"/>
                </w:tcPr>
                <w:p w14:paraId="0D2855F2">
                  <w:pPr>
                    <w:jc w:val="center"/>
                    <w:rPr>
                      <w:rFonts w:cs="Times New Roman"/>
                      <w:kern w:val="0"/>
                      <w:sz w:val="21"/>
                      <w:szCs w:val="21"/>
                    </w:rPr>
                  </w:pPr>
                </w:p>
              </w:tc>
            </w:tr>
            <w:tr w14:paraId="4872E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restart"/>
                  <w:vAlign w:val="center"/>
                </w:tcPr>
                <w:p w14:paraId="41B05CFC">
                  <w:pPr>
                    <w:jc w:val="center"/>
                    <w:rPr>
                      <w:rFonts w:cs="Times New Roman"/>
                      <w:kern w:val="0"/>
                      <w:sz w:val="21"/>
                      <w:szCs w:val="21"/>
                    </w:rPr>
                  </w:pPr>
                  <w:r>
                    <w:rPr>
                      <w:rFonts w:hint="eastAsia" w:cs="Times New Roman"/>
                      <w:kern w:val="0"/>
                      <w:sz w:val="21"/>
                      <w:szCs w:val="21"/>
                    </w:rPr>
                    <w:t>7</w:t>
                  </w:r>
                </w:p>
              </w:tc>
              <w:tc>
                <w:tcPr>
                  <w:tcW w:w="2676" w:type="dxa"/>
                  <w:vAlign w:val="center"/>
                </w:tcPr>
                <w:p w14:paraId="25EC124E">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6C86FD3F">
                  <w:pPr>
                    <w:jc w:val="center"/>
                    <w:rPr>
                      <w:rFonts w:cs="Times New Roman"/>
                      <w:kern w:val="0"/>
                      <w:sz w:val="21"/>
                      <w:szCs w:val="21"/>
                    </w:rPr>
                  </w:pPr>
                  <w:r>
                    <w:rPr>
                      <w:rFonts w:hint="eastAsia" w:cs="Times New Roman"/>
                      <w:kern w:val="0"/>
                      <w:sz w:val="21"/>
                      <w:szCs w:val="21"/>
                    </w:rPr>
                    <w:t>个</w:t>
                  </w:r>
                </w:p>
              </w:tc>
              <w:tc>
                <w:tcPr>
                  <w:tcW w:w="899" w:type="dxa"/>
                  <w:vAlign w:val="center"/>
                </w:tcPr>
                <w:p w14:paraId="11AE3B99">
                  <w:pPr>
                    <w:jc w:val="center"/>
                    <w:rPr>
                      <w:rFonts w:cs="Times New Roman"/>
                      <w:kern w:val="0"/>
                      <w:sz w:val="21"/>
                      <w:szCs w:val="21"/>
                    </w:rPr>
                  </w:pPr>
                  <w:r>
                    <w:rPr>
                      <w:rFonts w:hint="eastAsia" w:cs="Times New Roman"/>
                      <w:kern w:val="0"/>
                      <w:sz w:val="21"/>
                      <w:szCs w:val="21"/>
                    </w:rPr>
                    <w:t>12</w:t>
                  </w:r>
                </w:p>
              </w:tc>
              <w:tc>
                <w:tcPr>
                  <w:tcW w:w="2638" w:type="dxa"/>
                  <w:vMerge w:val="restart"/>
                  <w:vAlign w:val="center"/>
                </w:tcPr>
                <w:p w14:paraId="64310AA9">
                  <w:pPr>
                    <w:jc w:val="center"/>
                    <w:rPr>
                      <w:rFonts w:cs="Times New Roman"/>
                      <w:kern w:val="0"/>
                      <w:sz w:val="21"/>
                      <w:szCs w:val="21"/>
                    </w:rPr>
                  </w:pPr>
                  <w:r>
                    <w:rPr>
                      <w:rFonts w:hint="eastAsia" w:cs="Times New Roman"/>
                      <w:kern w:val="0"/>
                      <w:sz w:val="21"/>
                      <w:szCs w:val="21"/>
                    </w:rPr>
                    <w:t>C30F300，4m×3m×1.6m</w:t>
                  </w:r>
                </w:p>
              </w:tc>
            </w:tr>
            <w:tr w14:paraId="3F710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75DB74EF">
                  <w:pPr>
                    <w:jc w:val="center"/>
                    <w:rPr>
                      <w:rFonts w:cs="Times New Roman"/>
                      <w:kern w:val="0"/>
                      <w:sz w:val="21"/>
                      <w:szCs w:val="21"/>
                    </w:rPr>
                  </w:pPr>
                </w:p>
              </w:tc>
              <w:tc>
                <w:tcPr>
                  <w:tcW w:w="2676" w:type="dxa"/>
                  <w:vAlign w:val="center"/>
                </w:tcPr>
                <w:p w14:paraId="7F21E656">
                  <w:pPr>
                    <w:jc w:val="center"/>
                    <w:rPr>
                      <w:rFonts w:cs="Times New Roman"/>
                      <w:kern w:val="0"/>
                      <w:sz w:val="21"/>
                      <w:szCs w:val="21"/>
                    </w:rPr>
                  </w:pPr>
                  <w:r>
                    <w:rPr>
                      <w:rFonts w:hint="eastAsia" w:cs="Times New Roman"/>
                      <w:kern w:val="0"/>
                      <w:sz w:val="21"/>
                      <w:szCs w:val="21"/>
                    </w:rPr>
                    <w:t>预制混凝土方块1</w:t>
                  </w:r>
                </w:p>
              </w:tc>
              <w:tc>
                <w:tcPr>
                  <w:tcW w:w="706" w:type="dxa"/>
                  <w:vAlign w:val="center"/>
                </w:tcPr>
                <w:p w14:paraId="528E78A3">
                  <w:pPr>
                    <w:jc w:val="center"/>
                    <w:rPr>
                      <w:rFonts w:cs="Times New Roman"/>
                      <w:kern w:val="0"/>
                      <w:sz w:val="21"/>
                      <w:szCs w:val="21"/>
                    </w:rPr>
                  </w:pPr>
                  <w:r>
                    <w:rPr>
                      <w:rFonts w:hint="eastAsia" w:cs="Times New Roman"/>
                      <w:kern w:val="0"/>
                      <w:sz w:val="21"/>
                      <w:szCs w:val="21"/>
                    </w:rPr>
                    <w:t>m³</w:t>
                  </w:r>
                </w:p>
              </w:tc>
              <w:tc>
                <w:tcPr>
                  <w:tcW w:w="899" w:type="dxa"/>
                  <w:vAlign w:val="center"/>
                </w:tcPr>
                <w:p w14:paraId="3EB6E7BF">
                  <w:pPr>
                    <w:jc w:val="center"/>
                    <w:rPr>
                      <w:rFonts w:cs="Times New Roman"/>
                      <w:kern w:val="0"/>
                      <w:sz w:val="21"/>
                      <w:szCs w:val="21"/>
                    </w:rPr>
                  </w:pPr>
                  <w:r>
                    <w:rPr>
                      <w:rFonts w:hint="eastAsia" w:cs="Times New Roman"/>
                      <w:kern w:val="0"/>
                      <w:sz w:val="21"/>
                      <w:szCs w:val="21"/>
                    </w:rPr>
                    <w:t>230.40</w:t>
                  </w:r>
                </w:p>
              </w:tc>
              <w:tc>
                <w:tcPr>
                  <w:tcW w:w="2638" w:type="dxa"/>
                  <w:vMerge w:val="continue"/>
                  <w:vAlign w:val="center"/>
                </w:tcPr>
                <w:p w14:paraId="09E55EC2">
                  <w:pPr>
                    <w:jc w:val="center"/>
                    <w:rPr>
                      <w:rFonts w:cs="Times New Roman"/>
                      <w:kern w:val="0"/>
                      <w:sz w:val="21"/>
                      <w:szCs w:val="21"/>
                    </w:rPr>
                  </w:pPr>
                </w:p>
              </w:tc>
            </w:tr>
            <w:tr w14:paraId="12172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2A6E2EBF">
                  <w:pPr>
                    <w:jc w:val="center"/>
                    <w:rPr>
                      <w:rFonts w:cs="Times New Roman"/>
                      <w:kern w:val="0"/>
                      <w:sz w:val="21"/>
                      <w:szCs w:val="21"/>
                    </w:rPr>
                  </w:pPr>
                </w:p>
              </w:tc>
              <w:tc>
                <w:tcPr>
                  <w:tcW w:w="2676" w:type="dxa"/>
                  <w:vAlign w:val="center"/>
                </w:tcPr>
                <w:p w14:paraId="60040F28">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16C64D19">
                  <w:pPr>
                    <w:jc w:val="center"/>
                    <w:rPr>
                      <w:rFonts w:cs="Times New Roman"/>
                      <w:kern w:val="0"/>
                      <w:sz w:val="21"/>
                      <w:szCs w:val="21"/>
                    </w:rPr>
                  </w:pPr>
                  <w:r>
                    <w:rPr>
                      <w:rFonts w:hint="eastAsia" w:cs="Times New Roman"/>
                      <w:kern w:val="0"/>
                      <w:sz w:val="21"/>
                      <w:szCs w:val="21"/>
                    </w:rPr>
                    <w:t>个</w:t>
                  </w:r>
                </w:p>
              </w:tc>
              <w:tc>
                <w:tcPr>
                  <w:tcW w:w="899" w:type="dxa"/>
                  <w:vAlign w:val="center"/>
                </w:tcPr>
                <w:p w14:paraId="50886A35">
                  <w:pPr>
                    <w:jc w:val="center"/>
                    <w:rPr>
                      <w:rFonts w:cs="Times New Roman"/>
                      <w:kern w:val="0"/>
                      <w:sz w:val="21"/>
                      <w:szCs w:val="21"/>
                    </w:rPr>
                  </w:pPr>
                  <w:r>
                    <w:rPr>
                      <w:rFonts w:hint="eastAsia" w:cs="Times New Roman"/>
                      <w:kern w:val="0"/>
                      <w:sz w:val="21"/>
                      <w:szCs w:val="21"/>
                    </w:rPr>
                    <w:t>24</w:t>
                  </w:r>
                </w:p>
              </w:tc>
              <w:tc>
                <w:tcPr>
                  <w:tcW w:w="2638" w:type="dxa"/>
                  <w:vMerge w:val="restart"/>
                  <w:vAlign w:val="center"/>
                </w:tcPr>
                <w:p w14:paraId="1C5F60F4">
                  <w:pPr>
                    <w:jc w:val="center"/>
                    <w:rPr>
                      <w:rFonts w:cs="Times New Roman"/>
                      <w:kern w:val="0"/>
                      <w:sz w:val="21"/>
                      <w:szCs w:val="21"/>
                    </w:rPr>
                  </w:pPr>
                  <w:r>
                    <w:rPr>
                      <w:rFonts w:hint="eastAsia" w:cs="Times New Roman"/>
                      <w:kern w:val="0"/>
                      <w:sz w:val="21"/>
                      <w:szCs w:val="21"/>
                    </w:rPr>
                    <w:t>C30F300，4m×2m×1.6m</w:t>
                  </w:r>
                </w:p>
              </w:tc>
            </w:tr>
            <w:tr w14:paraId="4E163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6B278920">
                  <w:pPr>
                    <w:jc w:val="center"/>
                    <w:rPr>
                      <w:rFonts w:cs="Times New Roman"/>
                      <w:kern w:val="0"/>
                      <w:sz w:val="21"/>
                      <w:szCs w:val="21"/>
                    </w:rPr>
                  </w:pPr>
                </w:p>
              </w:tc>
              <w:tc>
                <w:tcPr>
                  <w:tcW w:w="2676" w:type="dxa"/>
                  <w:vAlign w:val="center"/>
                </w:tcPr>
                <w:p w14:paraId="66C47ED8">
                  <w:pPr>
                    <w:jc w:val="center"/>
                    <w:rPr>
                      <w:rFonts w:cs="Times New Roman"/>
                      <w:kern w:val="0"/>
                      <w:sz w:val="21"/>
                      <w:szCs w:val="21"/>
                    </w:rPr>
                  </w:pPr>
                  <w:r>
                    <w:rPr>
                      <w:rFonts w:hint="eastAsia" w:cs="Times New Roman"/>
                      <w:kern w:val="0"/>
                      <w:sz w:val="21"/>
                      <w:szCs w:val="21"/>
                    </w:rPr>
                    <w:t>预制混凝土方块2</w:t>
                  </w:r>
                </w:p>
              </w:tc>
              <w:tc>
                <w:tcPr>
                  <w:tcW w:w="706" w:type="dxa"/>
                  <w:vAlign w:val="center"/>
                </w:tcPr>
                <w:p w14:paraId="1B4305CE">
                  <w:pPr>
                    <w:jc w:val="center"/>
                    <w:rPr>
                      <w:rFonts w:cs="Times New Roman"/>
                      <w:kern w:val="0"/>
                      <w:sz w:val="21"/>
                      <w:szCs w:val="21"/>
                    </w:rPr>
                  </w:pPr>
                  <w:r>
                    <w:rPr>
                      <w:rFonts w:hint="eastAsia" w:cs="Times New Roman"/>
                      <w:kern w:val="0"/>
                      <w:sz w:val="21"/>
                      <w:szCs w:val="21"/>
                    </w:rPr>
                    <w:t>m³</w:t>
                  </w:r>
                </w:p>
              </w:tc>
              <w:tc>
                <w:tcPr>
                  <w:tcW w:w="899" w:type="dxa"/>
                  <w:vAlign w:val="center"/>
                </w:tcPr>
                <w:p w14:paraId="7542616F">
                  <w:pPr>
                    <w:jc w:val="center"/>
                    <w:rPr>
                      <w:rFonts w:cs="Times New Roman"/>
                      <w:kern w:val="0"/>
                      <w:sz w:val="21"/>
                      <w:szCs w:val="21"/>
                    </w:rPr>
                  </w:pPr>
                  <w:r>
                    <w:rPr>
                      <w:rFonts w:hint="eastAsia" w:cs="Times New Roman"/>
                      <w:kern w:val="0"/>
                      <w:sz w:val="21"/>
                      <w:szCs w:val="21"/>
                    </w:rPr>
                    <w:t>307.20</w:t>
                  </w:r>
                </w:p>
              </w:tc>
              <w:tc>
                <w:tcPr>
                  <w:tcW w:w="2638" w:type="dxa"/>
                  <w:vMerge w:val="continue"/>
                  <w:vAlign w:val="center"/>
                </w:tcPr>
                <w:p w14:paraId="0EA0E8F9">
                  <w:pPr>
                    <w:jc w:val="center"/>
                    <w:rPr>
                      <w:rFonts w:cs="Times New Roman"/>
                      <w:kern w:val="0"/>
                      <w:sz w:val="21"/>
                      <w:szCs w:val="21"/>
                    </w:rPr>
                  </w:pPr>
                </w:p>
              </w:tc>
            </w:tr>
            <w:tr w14:paraId="0476F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2A681213">
                  <w:pPr>
                    <w:jc w:val="center"/>
                    <w:rPr>
                      <w:rFonts w:cs="Times New Roman"/>
                      <w:kern w:val="0"/>
                      <w:sz w:val="21"/>
                      <w:szCs w:val="21"/>
                    </w:rPr>
                  </w:pPr>
                </w:p>
              </w:tc>
              <w:tc>
                <w:tcPr>
                  <w:tcW w:w="2676" w:type="dxa"/>
                  <w:vAlign w:val="center"/>
                </w:tcPr>
                <w:p w14:paraId="758A2A3B">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508316A3">
                  <w:pPr>
                    <w:jc w:val="center"/>
                    <w:rPr>
                      <w:rFonts w:cs="Times New Roman"/>
                      <w:kern w:val="0"/>
                      <w:sz w:val="21"/>
                      <w:szCs w:val="21"/>
                    </w:rPr>
                  </w:pPr>
                  <w:r>
                    <w:rPr>
                      <w:rFonts w:hint="eastAsia" w:cs="Times New Roman"/>
                      <w:kern w:val="0"/>
                      <w:sz w:val="21"/>
                      <w:szCs w:val="21"/>
                    </w:rPr>
                    <w:t>个</w:t>
                  </w:r>
                </w:p>
              </w:tc>
              <w:tc>
                <w:tcPr>
                  <w:tcW w:w="899" w:type="dxa"/>
                  <w:vAlign w:val="center"/>
                </w:tcPr>
                <w:p w14:paraId="50085922">
                  <w:pPr>
                    <w:jc w:val="center"/>
                    <w:rPr>
                      <w:rFonts w:cs="Times New Roman"/>
                      <w:kern w:val="0"/>
                      <w:sz w:val="21"/>
                      <w:szCs w:val="21"/>
                    </w:rPr>
                  </w:pPr>
                  <w:r>
                    <w:rPr>
                      <w:rFonts w:hint="eastAsia" w:cs="Times New Roman"/>
                      <w:kern w:val="0"/>
                      <w:sz w:val="21"/>
                      <w:szCs w:val="21"/>
                    </w:rPr>
                    <w:t>2</w:t>
                  </w:r>
                </w:p>
              </w:tc>
              <w:tc>
                <w:tcPr>
                  <w:tcW w:w="2638" w:type="dxa"/>
                  <w:vMerge w:val="restart"/>
                  <w:vAlign w:val="center"/>
                </w:tcPr>
                <w:p w14:paraId="6B505919">
                  <w:pPr>
                    <w:jc w:val="center"/>
                    <w:rPr>
                      <w:rFonts w:cs="Times New Roman"/>
                      <w:kern w:val="0"/>
                      <w:sz w:val="21"/>
                      <w:szCs w:val="21"/>
                    </w:rPr>
                  </w:pPr>
                  <w:r>
                    <w:rPr>
                      <w:rFonts w:hint="eastAsia" w:cs="Times New Roman"/>
                      <w:kern w:val="0"/>
                      <w:sz w:val="21"/>
                      <w:szCs w:val="21"/>
                    </w:rPr>
                    <w:t>C30F300，3m×3m×1.6m</w:t>
                  </w:r>
                </w:p>
              </w:tc>
            </w:tr>
            <w:tr w14:paraId="019F4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10712C14">
                  <w:pPr>
                    <w:jc w:val="center"/>
                    <w:rPr>
                      <w:rFonts w:cs="Times New Roman"/>
                      <w:kern w:val="0"/>
                      <w:sz w:val="21"/>
                      <w:szCs w:val="21"/>
                    </w:rPr>
                  </w:pPr>
                </w:p>
              </w:tc>
              <w:tc>
                <w:tcPr>
                  <w:tcW w:w="2676" w:type="dxa"/>
                  <w:vAlign w:val="center"/>
                </w:tcPr>
                <w:p w14:paraId="60B4C225">
                  <w:pPr>
                    <w:jc w:val="center"/>
                    <w:rPr>
                      <w:rFonts w:cs="Times New Roman"/>
                      <w:kern w:val="0"/>
                      <w:sz w:val="21"/>
                      <w:szCs w:val="21"/>
                    </w:rPr>
                  </w:pPr>
                  <w:r>
                    <w:rPr>
                      <w:rFonts w:hint="eastAsia" w:cs="Times New Roman"/>
                      <w:kern w:val="0"/>
                      <w:sz w:val="21"/>
                      <w:szCs w:val="21"/>
                    </w:rPr>
                    <w:t>预制混凝土方块3</w:t>
                  </w:r>
                </w:p>
              </w:tc>
              <w:tc>
                <w:tcPr>
                  <w:tcW w:w="706" w:type="dxa"/>
                  <w:vAlign w:val="center"/>
                </w:tcPr>
                <w:p w14:paraId="1188FF34">
                  <w:pPr>
                    <w:jc w:val="center"/>
                    <w:rPr>
                      <w:rFonts w:cs="Times New Roman"/>
                      <w:kern w:val="0"/>
                      <w:sz w:val="21"/>
                      <w:szCs w:val="21"/>
                    </w:rPr>
                  </w:pPr>
                  <w:r>
                    <w:rPr>
                      <w:rFonts w:hint="eastAsia" w:cs="Times New Roman"/>
                      <w:kern w:val="0"/>
                      <w:sz w:val="21"/>
                      <w:szCs w:val="21"/>
                    </w:rPr>
                    <w:t>m³</w:t>
                  </w:r>
                </w:p>
              </w:tc>
              <w:tc>
                <w:tcPr>
                  <w:tcW w:w="899" w:type="dxa"/>
                  <w:vAlign w:val="center"/>
                </w:tcPr>
                <w:p w14:paraId="4FB327BC">
                  <w:pPr>
                    <w:jc w:val="center"/>
                    <w:rPr>
                      <w:rFonts w:cs="Times New Roman"/>
                      <w:kern w:val="0"/>
                      <w:sz w:val="21"/>
                      <w:szCs w:val="21"/>
                    </w:rPr>
                  </w:pPr>
                  <w:r>
                    <w:rPr>
                      <w:rFonts w:hint="eastAsia" w:cs="Times New Roman"/>
                      <w:kern w:val="0"/>
                      <w:sz w:val="21"/>
                      <w:szCs w:val="21"/>
                    </w:rPr>
                    <w:t>28.8</w:t>
                  </w:r>
                </w:p>
              </w:tc>
              <w:tc>
                <w:tcPr>
                  <w:tcW w:w="2638" w:type="dxa"/>
                  <w:vMerge w:val="continue"/>
                  <w:vAlign w:val="center"/>
                </w:tcPr>
                <w:p w14:paraId="270839D4">
                  <w:pPr>
                    <w:jc w:val="center"/>
                    <w:rPr>
                      <w:rFonts w:cs="Times New Roman"/>
                      <w:kern w:val="0"/>
                      <w:sz w:val="21"/>
                      <w:szCs w:val="21"/>
                    </w:rPr>
                  </w:pPr>
                </w:p>
              </w:tc>
            </w:tr>
            <w:tr w14:paraId="165DE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360B0B71">
                  <w:pPr>
                    <w:jc w:val="center"/>
                    <w:rPr>
                      <w:rFonts w:cs="Times New Roman"/>
                      <w:kern w:val="0"/>
                      <w:sz w:val="21"/>
                      <w:szCs w:val="21"/>
                    </w:rPr>
                  </w:pPr>
                </w:p>
              </w:tc>
              <w:tc>
                <w:tcPr>
                  <w:tcW w:w="2676" w:type="dxa"/>
                  <w:vAlign w:val="center"/>
                </w:tcPr>
                <w:p w14:paraId="60C2BE99">
                  <w:pPr>
                    <w:jc w:val="center"/>
                    <w:rPr>
                      <w:rFonts w:cs="Times New Roman"/>
                      <w:kern w:val="0"/>
                      <w:sz w:val="21"/>
                      <w:szCs w:val="21"/>
                    </w:rPr>
                  </w:pPr>
                  <w:r>
                    <w:rPr>
                      <w:rFonts w:hint="eastAsia" w:cs="Times New Roman"/>
                      <w:kern w:val="0"/>
                      <w:sz w:val="21"/>
                      <w:szCs w:val="21"/>
                    </w:rPr>
                    <w:t>预制混凝土方块4</w:t>
                  </w:r>
                </w:p>
              </w:tc>
              <w:tc>
                <w:tcPr>
                  <w:tcW w:w="706" w:type="dxa"/>
                  <w:vAlign w:val="center"/>
                </w:tcPr>
                <w:p w14:paraId="2A16D78A">
                  <w:pPr>
                    <w:jc w:val="center"/>
                    <w:rPr>
                      <w:rFonts w:cs="Times New Roman"/>
                      <w:kern w:val="0"/>
                      <w:sz w:val="21"/>
                      <w:szCs w:val="21"/>
                    </w:rPr>
                  </w:pPr>
                  <w:r>
                    <w:rPr>
                      <w:rFonts w:hint="eastAsia" w:cs="Times New Roman"/>
                      <w:kern w:val="0"/>
                      <w:sz w:val="21"/>
                      <w:szCs w:val="21"/>
                    </w:rPr>
                    <w:t>个</w:t>
                  </w:r>
                </w:p>
              </w:tc>
              <w:tc>
                <w:tcPr>
                  <w:tcW w:w="899" w:type="dxa"/>
                  <w:vAlign w:val="center"/>
                </w:tcPr>
                <w:p w14:paraId="49578872">
                  <w:pPr>
                    <w:jc w:val="center"/>
                    <w:rPr>
                      <w:rFonts w:cs="Times New Roman"/>
                      <w:kern w:val="0"/>
                      <w:sz w:val="21"/>
                      <w:szCs w:val="21"/>
                    </w:rPr>
                  </w:pPr>
                  <w:r>
                    <w:rPr>
                      <w:rFonts w:hint="eastAsia" w:cs="Times New Roman"/>
                      <w:kern w:val="0"/>
                      <w:sz w:val="21"/>
                      <w:szCs w:val="21"/>
                    </w:rPr>
                    <w:t>8</w:t>
                  </w:r>
                </w:p>
              </w:tc>
              <w:tc>
                <w:tcPr>
                  <w:tcW w:w="2638" w:type="dxa"/>
                  <w:vMerge w:val="restart"/>
                  <w:vAlign w:val="center"/>
                </w:tcPr>
                <w:p w14:paraId="3E1A69E9">
                  <w:pPr>
                    <w:jc w:val="center"/>
                    <w:rPr>
                      <w:rFonts w:cs="Times New Roman"/>
                      <w:kern w:val="0"/>
                      <w:sz w:val="21"/>
                      <w:szCs w:val="21"/>
                    </w:rPr>
                  </w:pPr>
                  <w:r>
                    <w:rPr>
                      <w:rFonts w:hint="eastAsia" w:cs="Times New Roman"/>
                      <w:kern w:val="0"/>
                      <w:sz w:val="21"/>
                      <w:szCs w:val="21"/>
                    </w:rPr>
                    <w:t>C30F300，3m×2m×1.6m</w:t>
                  </w:r>
                </w:p>
              </w:tc>
            </w:tr>
            <w:tr w14:paraId="3FB02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Merge w:val="continue"/>
                  <w:vAlign w:val="center"/>
                </w:tcPr>
                <w:p w14:paraId="1F45A7FC">
                  <w:pPr>
                    <w:jc w:val="center"/>
                    <w:rPr>
                      <w:rFonts w:cs="Times New Roman"/>
                      <w:kern w:val="0"/>
                      <w:sz w:val="21"/>
                      <w:szCs w:val="21"/>
                    </w:rPr>
                  </w:pPr>
                </w:p>
              </w:tc>
              <w:tc>
                <w:tcPr>
                  <w:tcW w:w="2676" w:type="dxa"/>
                  <w:vAlign w:val="center"/>
                </w:tcPr>
                <w:p w14:paraId="4E4A3953">
                  <w:pPr>
                    <w:jc w:val="center"/>
                    <w:rPr>
                      <w:rFonts w:cs="Times New Roman"/>
                      <w:kern w:val="0"/>
                      <w:sz w:val="21"/>
                      <w:szCs w:val="21"/>
                    </w:rPr>
                  </w:pPr>
                  <w:r>
                    <w:rPr>
                      <w:rFonts w:hint="eastAsia" w:cs="Times New Roman"/>
                      <w:kern w:val="0"/>
                      <w:sz w:val="21"/>
                      <w:szCs w:val="21"/>
                    </w:rPr>
                    <w:t>预制混凝土方块4</w:t>
                  </w:r>
                </w:p>
              </w:tc>
              <w:tc>
                <w:tcPr>
                  <w:tcW w:w="706" w:type="dxa"/>
                  <w:vAlign w:val="center"/>
                </w:tcPr>
                <w:p w14:paraId="108609A2">
                  <w:pPr>
                    <w:jc w:val="center"/>
                    <w:rPr>
                      <w:rFonts w:cs="Times New Roman"/>
                      <w:kern w:val="0"/>
                      <w:sz w:val="21"/>
                      <w:szCs w:val="21"/>
                    </w:rPr>
                  </w:pPr>
                  <w:r>
                    <w:rPr>
                      <w:rFonts w:hint="eastAsia" w:cs="Times New Roman"/>
                      <w:kern w:val="0"/>
                      <w:sz w:val="21"/>
                      <w:szCs w:val="21"/>
                    </w:rPr>
                    <w:t>m³</w:t>
                  </w:r>
                </w:p>
              </w:tc>
              <w:tc>
                <w:tcPr>
                  <w:tcW w:w="899" w:type="dxa"/>
                  <w:vAlign w:val="center"/>
                </w:tcPr>
                <w:p w14:paraId="012C5596">
                  <w:pPr>
                    <w:jc w:val="center"/>
                    <w:rPr>
                      <w:rFonts w:cs="Times New Roman"/>
                      <w:kern w:val="0"/>
                      <w:sz w:val="21"/>
                      <w:szCs w:val="21"/>
                    </w:rPr>
                  </w:pPr>
                  <w:r>
                    <w:rPr>
                      <w:rFonts w:hint="eastAsia" w:cs="Times New Roman"/>
                      <w:kern w:val="0"/>
                      <w:sz w:val="21"/>
                      <w:szCs w:val="21"/>
                    </w:rPr>
                    <w:t>76.80</w:t>
                  </w:r>
                </w:p>
              </w:tc>
              <w:tc>
                <w:tcPr>
                  <w:tcW w:w="2638" w:type="dxa"/>
                  <w:vMerge w:val="continue"/>
                  <w:vAlign w:val="center"/>
                </w:tcPr>
                <w:p w14:paraId="1CDC04C8">
                  <w:pPr>
                    <w:jc w:val="center"/>
                    <w:rPr>
                      <w:rFonts w:cs="Times New Roman"/>
                      <w:kern w:val="0"/>
                      <w:sz w:val="21"/>
                      <w:szCs w:val="21"/>
                    </w:rPr>
                  </w:pPr>
                </w:p>
              </w:tc>
            </w:tr>
            <w:tr w14:paraId="3B290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9A086D5">
                  <w:pPr>
                    <w:jc w:val="center"/>
                    <w:rPr>
                      <w:rFonts w:cs="Times New Roman"/>
                      <w:kern w:val="0"/>
                      <w:sz w:val="21"/>
                      <w:szCs w:val="21"/>
                    </w:rPr>
                  </w:pPr>
                  <w:r>
                    <w:rPr>
                      <w:rFonts w:hint="eastAsia" w:cs="Times New Roman"/>
                      <w:kern w:val="0"/>
                      <w:sz w:val="21"/>
                      <w:szCs w:val="21"/>
                    </w:rPr>
                    <w:t>8</w:t>
                  </w:r>
                </w:p>
              </w:tc>
              <w:tc>
                <w:tcPr>
                  <w:tcW w:w="2676" w:type="dxa"/>
                  <w:vAlign w:val="center"/>
                </w:tcPr>
                <w:p w14:paraId="7E61734A">
                  <w:pPr>
                    <w:jc w:val="center"/>
                    <w:rPr>
                      <w:rFonts w:cs="Times New Roman"/>
                      <w:kern w:val="0"/>
                      <w:sz w:val="21"/>
                      <w:szCs w:val="21"/>
                    </w:rPr>
                  </w:pPr>
                  <w:r>
                    <w:rPr>
                      <w:rFonts w:hint="eastAsia" w:cs="Times New Roman"/>
                      <w:kern w:val="0"/>
                      <w:sz w:val="21"/>
                      <w:szCs w:val="21"/>
                    </w:rPr>
                    <w:t>10~60kg抛石基床</w:t>
                  </w:r>
                </w:p>
              </w:tc>
              <w:tc>
                <w:tcPr>
                  <w:tcW w:w="706" w:type="dxa"/>
                  <w:vAlign w:val="center"/>
                </w:tcPr>
                <w:p w14:paraId="7B90DCE2">
                  <w:pPr>
                    <w:jc w:val="center"/>
                    <w:rPr>
                      <w:rFonts w:cs="Times New Roman"/>
                      <w:kern w:val="0"/>
                      <w:sz w:val="21"/>
                      <w:szCs w:val="21"/>
                    </w:rPr>
                  </w:pPr>
                  <w:r>
                    <w:rPr>
                      <w:rFonts w:hint="eastAsia" w:cs="Times New Roman"/>
                      <w:kern w:val="0"/>
                      <w:sz w:val="21"/>
                      <w:szCs w:val="21"/>
                    </w:rPr>
                    <w:t>m³</w:t>
                  </w:r>
                </w:p>
              </w:tc>
              <w:tc>
                <w:tcPr>
                  <w:tcW w:w="899" w:type="dxa"/>
                  <w:vAlign w:val="center"/>
                </w:tcPr>
                <w:p w14:paraId="7F76C5CE">
                  <w:pPr>
                    <w:jc w:val="center"/>
                    <w:rPr>
                      <w:rFonts w:cs="Times New Roman"/>
                      <w:kern w:val="0"/>
                      <w:sz w:val="21"/>
                      <w:szCs w:val="21"/>
                    </w:rPr>
                  </w:pPr>
                  <w:r>
                    <w:rPr>
                      <w:rFonts w:hint="eastAsia" w:cs="Times New Roman"/>
                      <w:kern w:val="0"/>
                      <w:sz w:val="21"/>
                      <w:szCs w:val="21"/>
                    </w:rPr>
                    <w:t>1166.85</w:t>
                  </w:r>
                </w:p>
              </w:tc>
              <w:tc>
                <w:tcPr>
                  <w:tcW w:w="2638" w:type="dxa"/>
                  <w:vAlign w:val="center"/>
                </w:tcPr>
                <w:p w14:paraId="0A8F6BD9">
                  <w:pPr>
                    <w:jc w:val="center"/>
                    <w:rPr>
                      <w:rFonts w:cs="Times New Roman"/>
                      <w:kern w:val="0"/>
                      <w:sz w:val="21"/>
                      <w:szCs w:val="21"/>
                    </w:rPr>
                  </w:pPr>
                </w:p>
              </w:tc>
            </w:tr>
            <w:tr w14:paraId="18109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9F1408F">
                  <w:pPr>
                    <w:jc w:val="center"/>
                    <w:rPr>
                      <w:rFonts w:cs="Times New Roman"/>
                      <w:kern w:val="0"/>
                      <w:sz w:val="21"/>
                      <w:szCs w:val="21"/>
                    </w:rPr>
                  </w:pPr>
                  <w:r>
                    <w:rPr>
                      <w:rFonts w:hint="eastAsia" w:cs="Times New Roman"/>
                      <w:kern w:val="0"/>
                      <w:sz w:val="21"/>
                      <w:szCs w:val="21"/>
                    </w:rPr>
                    <w:t>9</w:t>
                  </w:r>
                </w:p>
              </w:tc>
              <w:tc>
                <w:tcPr>
                  <w:tcW w:w="2676" w:type="dxa"/>
                  <w:vAlign w:val="center"/>
                </w:tcPr>
                <w:p w14:paraId="27467CDA">
                  <w:pPr>
                    <w:jc w:val="center"/>
                    <w:rPr>
                      <w:rFonts w:cs="Times New Roman"/>
                      <w:kern w:val="0"/>
                      <w:sz w:val="21"/>
                      <w:szCs w:val="21"/>
                    </w:rPr>
                  </w:pPr>
                  <w:r>
                    <w:rPr>
                      <w:rFonts w:hint="eastAsia" w:cs="Times New Roman"/>
                      <w:kern w:val="0"/>
                      <w:sz w:val="21"/>
                      <w:szCs w:val="21"/>
                    </w:rPr>
                    <w:t>10~100kg抛石棱体</w:t>
                  </w:r>
                </w:p>
              </w:tc>
              <w:tc>
                <w:tcPr>
                  <w:tcW w:w="706" w:type="dxa"/>
                  <w:vAlign w:val="center"/>
                </w:tcPr>
                <w:p w14:paraId="563074EF">
                  <w:pPr>
                    <w:jc w:val="center"/>
                    <w:rPr>
                      <w:rFonts w:cs="Times New Roman"/>
                      <w:kern w:val="0"/>
                      <w:sz w:val="21"/>
                      <w:szCs w:val="21"/>
                    </w:rPr>
                  </w:pPr>
                  <w:r>
                    <w:rPr>
                      <w:rFonts w:hint="eastAsia" w:cs="Times New Roman"/>
                      <w:kern w:val="0"/>
                      <w:sz w:val="21"/>
                      <w:szCs w:val="21"/>
                    </w:rPr>
                    <w:t>m³</w:t>
                  </w:r>
                </w:p>
              </w:tc>
              <w:tc>
                <w:tcPr>
                  <w:tcW w:w="899" w:type="dxa"/>
                  <w:vAlign w:val="center"/>
                </w:tcPr>
                <w:p w14:paraId="1C02E871">
                  <w:pPr>
                    <w:jc w:val="center"/>
                    <w:rPr>
                      <w:rFonts w:cs="Times New Roman"/>
                      <w:kern w:val="0"/>
                      <w:sz w:val="21"/>
                      <w:szCs w:val="21"/>
                    </w:rPr>
                  </w:pPr>
                  <w:r>
                    <w:rPr>
                      <w:rFonts w:hint="eastAsia" w:cs="Times New Roman"/>
                      <w:kern w:val="0"/>
                      <w:sz w:val="21"/>
                      <w:szCs w:val="21"/>
                    </w:rPr>
                    <w:t>2803.92</w:t>
                  </w:r>
                </w:p>
              </w:tc>
              <w:tc>
                <w:tcPr>
                  <w:tcW w:w="2638" w:type="dxa"/>
                  <w:vAlign w:val="center"/>
                </w:tcPr>
                <w:p w14:paraId="369BF4F1">
                  <w:pPr>
                    <w:jc w:val="center"/>
                    <w:rPr>
                      <w:rFonts w:cs="Times New Roman"/>
                      <w:kern w:val="0"/>
                      <w:sz w:val="21"/>
                      <w:szCs w:val="21"/>
                    </w:rPr>
                  </w:pPr>
                  <w:r>
                    <w:rPr>
                      <w:rFonts w:hint="eastAsia" w:cs="Times New Roman"/>
                      <w:kern w:val="0"/>
                      <w:sz w:val="21"/>
                      <w:szCs w:val="21"/>
                    </w:rPr>
                    <w:t>未考虑沉降量</w:t>
                  </w:r>
                </w:p>
              </w:tc>
            </w:tr>
            <w:tr w14:paraId="7A003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61CF7CB">
                  <w:pPr>
                    <w:jc w:val="center"/>
                    <w:rPr>
                      <w:rFonts w:cs="Times New Roman"/>
                      <w:kern w:val="0"/>
                      <w:sz w:val="21"/>
                      <w:szCs w:val="21"/>
                    </w:rPr>
                  </w:pPr>
                  <w:r>
                    <w:rPr>
                      <w:rFonts w:hint="eastAsia" w:cs="Times New Roman"/>
                      <w:kern w:val="0"/>
                      <w:sz w:val="21"/>
                      <w:szCs w:val="21"/>
                    </w:rPr>
                    <w:t>10</w:t>
                  </w:r>
                </w:p>
              </w:tc>
              <w:tc>
                <w:tcPr>
                  <w:tcW w:w="2676" w:type="dxa"/>
                  <w:vAlign w:val="center"/>
                </w:tcPr>
                <w:p w14:paraId="705AF14C">
                  <w:pPr>
                    <w:jc w:val="center"/>
                    <w:rPr>
                      <w:rFonts w:cs="Times New Roman"/>
                      <w:kern w:val="0"/>
                      <w:sz w:val="21"/>
                      <w:szCs w:val="21"/>
                    </w:rPr>
                  </w:pPr>
                  <w:r>
                    <w:rPr>
                      <w:rFonts w:hint="eastAsia" w:cs="Times New Roman"/>
                      <w:kern w:val="0"/>
                      <w:sz w:val="21"/>
                      <w:szCs w:val="21"/>
                    </w:rPr>
                    <w:t>500mm二片石垫层</w:t>
                  </w:r>
                </w:p>
              </w:tc>
              <w:tc>
                <w:tcPr>
                  <w:tcW w:w="706" w:type="dxa"/>
                  <w:vAlign w:val="center"/>
                </w:tcPr>
                <w:p w14:paraId="6BE7E68B">
                  <w:pPr>
                    <w:jc w:val="center"/>
                    <w:rPr>
                      <w:rFonts w:cs="Times New Roman"/>
                      <w:kern w:val="0"/>
                      <w:sz w:val="21"/>
                      <w:szCs w:val="21"/>
                    </w:rPr>
                  </w:pPr>
                  <w:r>
                    <w:rPr>
                      <w:rFonts w:hint="eastAsia" w:cs="Times New Roman"/>
                      <w:kern w:val="0"/>
                      <w:sz w:val="21"/>
                      <w:szCs w:val="21"/>
                    </w:rPr>
                    <w:t>m³</w:t>
                  </w:r>
                </w:p>
              </w:tc>
              <w:tc>
                <w:tcPr>
                  <w:tcW w:w="899" w:type="dxa"/>
                  <w:vAlign w:val="center"/>
                </w:tcPr>
                <w:p w14:paraId="3A845F1A">
                  <w:pPr>
                    <w:jc w:val="center"/>
                    <w:rPr>
                      <w:rFonts w:cs="Times New Roman"/>
                      <w:kern w:val="0"/>
                      <w:sz w:val="21"/>
                      <w:szCs w:val="21"/>
                    </w:rPr>
                  </w:pPr>
                  <w:r>
                    <w:rPr>
                      <w:rFonts w:hint="eastAsia" w:cs="Times New Roman"/>
                      <w:kern w:val="0"/>
                      <w:sz w:val="21"/>
                      <w:szCs w:val="21"/>
                    </w:rPr>
                    <w:t>1148.10</w:t>
                  </w:r>
                </w:p>
              </w:tc>
              <w:tc>
                <w:tcPr>
                  <w:tcW w:w="2638" w:type="dxa"/>
                  <w:vAlign w:val="center"/>
                </w:tcPr>
                <w:p w14:paraId="034144FC">
                  <w:pPr>
                    <w:jc w:val="center"/>
                    <w:rPr>
                      <w:rFonts w:cs="Times New Roman"/>
                      <w:kern w:val="0"/>
                      <w:sz w:val="21"/>
                      <w:szCs w:val="21"/>
                    </w:rPr>
                  </w:pPr>
                </w:p>
              </w:tc>
            </w:tr>
            <w:tr w14:paraId="1DAB0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BA20C1D">
                  <w:pPr>
                    <w:jc w:val="center"/>
                    <w:rPr>
                      <w:rFonts w:cs="Times New Roman"/>
                      <w:kern w:val="0"/>
                      <w:sz w:val="21"/>
                      <w:szCs w:val="21"/>
                    </w:rPr>
                  </w:pPr>
                  <w:r>
                    <w:rPr>
                      <w:rFonts w:hint="eastAsia" w:cs="Times New Roman"/>
                      <w:kern w:val="0"/>
                      <w:sz w:val="21"/>
                      <w:szCs w:val="21"/>
                    </w:rPr>
                    <w:t>11</w:t>
                  </w:r>
                </w:p>
              </w:tc>
              <w:tc>
                <w:tcPr>
                  <w:tcW w:w="2676" w:type="dxa"/>
                  <w:vAlign w:val="center"/>
                </w:tcPr>
                <w:p w14:paraId="32B770B4">
                  <w:pPr>
                    <w:jc w:val="center"/>
                    <w:rPr>
                      <w:rFonts w:cs="Times New Roman"/>
                      <w:kern w:val="0"/>
                      <w:sz w:val="21"/>
                      <w:szCs w:val="21"/>
                    </w:rPr>
                  </w:pPr>
                  <w:r>
                    <w:rPr>
                      <w:rFonts w:hint="eastAsia" w:cs="Times New Roman"/>
                      <w:kern w:val="0"/>
                      <w:sz w:val="21"/>
                      <w:szCs w:val="21"/>
                    </w:rPr>
                    <w:t>600mm碎石垫层</w:t>
                  </w:r>
                </w:p>
              </w:tc>
              <w:tc>
                <w:tcPr>
                  <w:tcW w:w="706" w:type="dxa"/>
                  <w:vAlign w:val="center"/>
                </w:tcPr>
                <w:p w14:paraId="426B7DC3">
                  <w:pPr>
                    <w:jc w:val="center"/>
                    <w:rPr>
                      <w:rFonts w:cs="Times New Roman"/>
                      <w:kern w:val="0"/>
                      <w:sz w:val="21"/>
                      <w:szCs w:val="21"/>
                    </w:rPr>
                  </w:pPr>
                  <w:r>
                    <w:rPr>
                      <w:rFonts w:hint="eastAsia" w:cs="Times New Roman"/>
                      <w:kern w:val="0"/>
                      <w:sz w:val="21"/>
                      <w:szCs w:val="21"/>
                    </w:rPr>
                    <w:t>m³</w:t>
                  </w:r>
                </w:p>
              </w:tc>
              <w:tc>
                <w:tcPr>
                  <w:tcW w:w="899" w:type="dxa"/>
                  <w:vAlign w:val="center"/>
                </w:tcPr>
                <w:p w14:paraId="30C4698C">
                  <w:pPr>
                    <w:jc w:val="center"/>
                    <w:rPr>
                      <w:rFonts w:cs="Times New Roman"/>
                      <w:kern w:val="0"/>
                      <w:sz w:val="21"/>
                      <w:szCs w:val="21"/>
                    </w:rPr>
                  </w:pPr>
                  <w:r>
                    <w:rPr>
                      <w:rFonts w:hint="eastAsia" w:cs="Times New Roman"/>
                      <w:kern w:val="0"/>
                      <w:sz w:val="21"/>
                      <w:szCs w:val="21"/>
                    </w:rPr>
                    <w:t>1600.74</w:t>
                  </w:r>
                </w:p>
              </w:tc>
              <w:tc>
                <w:tcPr>
                  <w:tcW w:w="2638" w:type="dxa"/>
                  <w:vAlign w:val="center"/>
                </w:tcPr>
                <w:p w14:paraId="7A11F32D">
                  <w:pPr>
                    <w:jc w:val="center"/>
                    <w:rPr>
                      <w:rFonts w:cs="Times New Roman"/>
                      <w:kern w:val="0"/>
                      <w:sz w:val="21"/>
                      <w:szCs w:val="21"/>
                    </w:rPr>
                  </w:pPr>
                  <w:r>
                    <w:rPr>
                      <w:rFonts w:hint="eastAsia" w:cs="Times New Roman"/>
                      <w:kern w:val="0"/>
                      <w:sz w:val="21"/>
                      <w:szCs w:val="21"/>
                    </w:rPr>
                    <w:t>粒径5mm~100mm</w:t>
                  </w:r>
                </w:p>
              </w:tc>
            </w:tr>
            <w:tr w14:paraId="1496F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40A64B0">
                  <w:pPr>
                    <w:jc w:val="center"/>
                    <w:rPr>
                      <w:rFonts w:cs="Times New Roman"/>
                      <w:kern w:val="0"/>
                      <w:sz w:val="21"/>
                      <w:szCs w:val="21"/>
                    </w:rPr>
                  </w:pPr>
                  <w:r>
                    <w:rPr>
                      <w:rFonts w:hint="eastAsia" w:cs="Times New Roman"/>
                      <w:kern w:val="0"/>
                      <w:sz w:val="21"/>
                      <w:szCs w:val="21"/>
                    </w:rPr>
                    <w:t>12</w:t>
                  </w:r>
                </w:p>
              </w:tc>
              <w:tc>
                <w:tcPr>
                  <w:tcW w:w="2676" w:type="dxa"/>
                  <w:vAlign w:val="center"/>
                </w:tcPr>
                <w:p w14:paraId="0DC57DBF">
                  <w:pPr>
                    <w:jc w:val="center"/>
                    <w:rPr>
                      <w:rFonts w:cs="Times New Roman"/>
                      <w:kern w:val="0"/>
                      <w:sz w:val="21"/>
                      <w:szCs w:val="21"/>
                    </w:rPr>
                  </w:pPr>
                  <w:r>
                    <w:rPr>
                      <w:rFonts w:hint="eastAsia" w:cs="Times New Roman"/>
                      <w:kern w:val="0"/>
                      <w:sz w:val="21"/>
                      <w:szCs w:val="21"/>
                    </w:rPr>
                    <w:t>C30护轮槛</w:t>
                  </w:r>
                </w:p>
              </w:tc>
              <w:tc>
                <w:tcPr>
                  <w:tcW w:w="706" w:type="dxa"/>
                  <w:vAlign w:val="center"/>
                </w:tcPr>
                <w:p w14:paraId="6C75B8A3">
                  <w:pPr>
                    <w:jc w:val="center"/>
                    <w:rPr>
                      <w:rFonts w:cs="Times New Roman"/>
                      <w:kern w:val="0"/>
                      <w:sz w:val="21"/>
                      <w:szCs w:val="21"/>
                    </w:rPr>
                  </w:pPr>
                  <w:r>
                    <w:rPr>
                      <w:rFonts w:hint="eastAsia" w:cs="Times New Roman"/>
                      <w:kern w:val="0"/>
                      <w:sz w:val="21"/>
                      <w:szCs w:val="21"/>
                    </w:rPr>
                    <w:t>m³</w:t>
                  </w:r>
                </w:p>
              </w:tc>
              <w:tc>
                <w:tcPr>
                  <w:tcW w:w="899" w:type="dxa"/>
                  <w:vAlign w:val="center"/>
                </w:tcPr>
                <w:p w14:paraId="7B394484">
                  <w:pPr>
                    <w:jc w:val="center"/>
                    <w:rPr>
                      <w:rFonts w:cs="Times New Roman"/>
                      <w:kern w:val="0"/>
                      <w:sz w:val="21"/>
                      <w:szCs w:val="21"/>
                    </w:rPr>
                  </w:pPr>
                  <w:r>
                    <w:rPr>
                      <w:rFonts w:hint="eastAsia" w:cs="Times New Roman"/>
                      <w:kern w:val="0"/>
                      <w:sz w:val="21"/>
                      <w:szCs w:val="21"/>
                    </w:rPr>
                    <w:t>32.43</w:t>
                  </w:r>
                </w:p>
              </w:tc>
              <w:tc>
                <w:tcPr>
                  <w:tcW w:w="2638" w:type="dxa"/>
                  <w:vAlign w:val="center"/>
                </w:tcPr>
                <w:p w14:paraId="5F066D2B">
                  <w:pPr>
                    <w:jc w:val="center"/>
                    <w:rPr>
                      <w:rFonts w:cs="Times New Roman"/>
                      <w:kern w:val="0"/>
                      <w:sz w:val="21"/>
                      <w:szCs w:val="21"/>
                    </w:rPr>
                  </w:pPr>
                </w:p>
              </w:tc>
            </w:tr>
            <w:tr w14:paraId="4234D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7BEAAC6C">
                  <w:pPr>
                    <w:jc w:val="center"/>
                    <w:rPr>
                      <w:rFonts w:cs="Times New Roman"/>
                      <w:kern w:val="0"/>
                      <w:sz w:val="21"/>
                      <w:szCs w:val="21"/>
                    </w:rPr>
                  </w:pPr>
                  <w:r>
                    <w:rPr>
                      <w:rFonts w:hint="eastAsia" w:cs="Times New Roman"/>
                      <w:kern w:val="0"/>
                      <w:sz w:val="21"/>
                      <w:szCs w:val="21"/>
                    </w:rPr>
                    <w:t>13</w:t>
                  </w:r>
                </w:p>
              </w:tc>
              <w:tc>
                <w:tcPr>
                  <w:tcW w:w="2676" w:type="dxa"/>
                  <w:vAlign w:val="center"/>
                </w:tcPr>
                <w:p w14:paraId="74E5964E">
                  <w:pPr>
                    <w:jc w:val="center"/>
                    <w:rPr>
                      <w:rFonts w:cs="Times New Roman"/>
                      <w:kern w:val="0"/>
                      <w:sz w:val="21"/>
                      <w:szCs w:val="21"/>
                    </w:rPr>
                  </w:pPr>
                  <w:r>
                    <w:rPr>
                      <w:rFonts w:hint="eastAsia" w:cs="Times New Roman"/>
                      <w:kern w:val="0"/>
                      <w:sz w:val="21"/>
                      <w:szCs w:val="21"/>
                    </w:rPr>
                    <w:t>开挖量</w:t>
                  </w:r>
                </w:p>
              </w:tc>
              <w:tc>
                <w:tcPr>
                  <w:tcW w:w="706" w:type="dxa"/>
                  <w:vAlign w:val="center"/>
                </w:tcPr>
                <w:p w14:paraId="26C41DE8">
                  <w:pPr>
                    <w:jc w:val="center"/>
                    <w:rPr>
                      <w:rFonts w:cs="Times New Roman"/>
                      <w:kern w:val="0"/>
                      <w:sz w:val="21"/>
                      <w:szCs w:val="21"/>
                    </w:rPr>
                  </w:pPr>
                  <w:r>
                    <w:rPr>
                      <w:rFonts w:hint="eastAsia" w:cs="Times New Roman"/>
                      <w:kern w:val="0"/>
                      <w:sz w:val="21"/>
                      <w:szCs w:val="21"/>
                    </w:rPr>
                    <w:t>m³</w:t>
                  </w:r>
                </w:p>
              </w:tc>
              <w:tc>
                <w:tcPr>
                  <w:tcW w:w="899" w:type="dxa"/>
                  <w:vAlign w:val="center"/>
                </w:tcPr>
                <w:p w14:paraId="4CBC1297">
                  <w:pPr>
                    <w:jc w:val="center"/>
                    <w:rPr>
                      <w:rFonts w:cs="Times New Roman"/>
                      <w:kern w:val="0"/>
                      <w:sz w:val="21"/>
                      <w:szCs w:val="21"/>
                    </w:rPr>
                  </w:pPr>
                  <w:r>
                    <w:rPr>
                      <w:rFonts w:hint="eastAsia" w:cs="Times New Roman"/>
                      <w:kern w:val="0"/>
                      <w:sz w:val="21"/>
                      <w:szCs w:val="21"/>
                    </w:rPr>
                    <w:t>478.79</w:t>
                  </w:r>
                </w:p>
              </w:tc>
              <w:tc>
                <w:tcPr>
                  <w:tcW w:w="2638" w:type="dxa"/>
                  <w:vAlign w:val="center"/>
                </w:tcPr>
                <w:p w14:paraId="6622055E">
                  <w:pPr>
                    <w:jc w:val="center"/>
                    <w:rPr>
                      <w:rFonts w:cs="Times New Roman"/>
                      <w:kern w:val="0"/>
                      <w:sz w:val="21"/>
                      <w:szCs w:val="21"/>
                    </w:rPr>
                  </w:pPr>
                </w:p>
              </w:tc>
            </w:tr>
            <w:tr w14:paraId="20973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3C06E285">
                  <w:pPr>
                    <w:jc w:val="center"/>
                    <w:rPr>
                      <w:rFonts w:cs="Times New Roman"/>
                      <w:kern w:val="0"/>
                      <w:sz w:val="21"/>
                      <w:szCs w:val="21"/>
                    </w:rPr>
                  </w:pPr>
                  <w:r>
                    <w:rPr>
                      <w:rFonts w:hint="eastAsia" w:cs="Times New Roman"/>
                      <w:kern w:val="0"/>
                      <w:sz w:val="21"/>
                      <w:szCs w:val="21"/>
                    </w:rPr>
                    <w:t>14</w:t>
                  </w:r>
                </w:p>
              </w:tc>
              <w:tc>
                <w:tcPr>
                  <w:tcW w:w="2676" w:type="dxa"/>
                  <w:vAlign w:val="center"/>
                </w:tcPr>
                <w:p w14:paraId="6F2CD3EB">
                  <w:pPr>
                    <w:jc w:val="center"/>
                    <w:rPr>
                      <w:rFonts w:cs="Times New Roman"/>
                      <w:kern w:val="0"/>
                      <w:sz w:val="21"/>
                      <w:szCs w:val="21"/>
                    </w:rPr>
                  </w:pPr>
                  <w:r>
                    <w:rPr>
                      <w:rFonts w:hint="eastAsia" w:cs="Times New Roman"/>
                      <w:kern w:val="0"/>
                      <w:sz w:val="21"/>
                      <w:szCs w:val="21"/>
                    </w:rPr>
                    <w:t>栏杆</w:t>
                  </w:r>
                </w:p>
              </w:tc>
              <w:tc>
                <w:tcPr>
                  <w:tcW w:w="706" w:type="dxa"/>
                  <w:vAlign w:val="center"/>
                </w:tcPr>
                <w:p w14:paraId="25CAC2C7">
                  <w:pPr>
                    <w:jc w:val="center"/>
                    <w:rPr>
                      <w:rFonts w:cs="Times New Roman"/>
                      <w:kern w:val="0"/>
                      <w:sz w:val="21"/>
                      <w:szCs w:val="21"/>
                    </w:rPr>
                  </w:pPr>
                  <w:r>
                    <w:rPr>
                      <w:rFonts w:hint="eastAsia" w:cs="Times New Roman"/>
                      <w:kern w:val="0"/>
                      <w:sz w:val="21"/>
                      <w:szCs w:val="21"/>
                    </w:rPr>
                    <w:t>m³</w:t>
                  </w:r>
                </w:p>
              </w:tc>
              <w:tc>
                <w:tcPr>
                  <w:tcW w:w="899" w:type="dxa"/>
                  <w:vAlign w:val="center"/>
                </w:tcPr>
                <w:p w14:paraId="6E9F0F0D">
                  <w:pPr>
                    <w:jc w:val="center"/>
                    <w:rPr>
                      <w:rFonts w:cs="Times New Roman"/>
                      <w:kern w:val="0"/>
                      <w:sz w:val="21"/>
                      <w:szCs w:val="21"/>
                    </w:rPr>
                  </w:pPr>
                  <w:r>
                    <w:rPr>
                      <w:rFonts w:hint="eastAsia" w:cs="Times New Roman"/>
                      <w:kern w:val="0"/>
                      <w:sz w:val="21"/>
                      <w:szCs w:val="21"/>
                    </w:rPr>
                    <w:t>69</w:t>
                  </w:r>
                </w:p>
              </w:tc>
              <w:tc>
                <w:tcPr>
                  <w:tcW w:w="2638" w:type="dxa"/>
                  <w:vAlign w:val="center"/>
                </w:tcPr>
                <w:p w14:paraId="67115FDB">
                  <w:pPr>
                    <w:jc w:val="center"/>
                    <w:rPr>
                      <w:rFonts w:cs="Times New Roman"/>
                      <w:kern w:val="0"/>
                      <w:sz w:val="21"/>
                      <w:szCs w:val="21"/>
                    </w:rPr>
                  </w:pPr>
                </w:p>
              </w:tc>
            </w:tr>
          </w:tbl>
          <w:p w14:paraId="12455F2C">
            <w:pPr>
              <w:spacing w:line="360" w:lineRule="auto"/>
              <w:ind w:firstLine="480" w:firstLineChars="200"/>
            </w:pPr>
          </w:p>
          <w:p w14:paraId="63ED0960">
            <w:pPr>
              <w:spacing w:line="360" w:lineRule="auto"/>
              <w:ind w:firstLine="480" w:firstLineChars="200"/>
            </w:pPr>
            <w:r>
              <w:rPr>
                <w:rFonts w:hint="eastAsia"/>
              </w:rPr>
              <w:t>8、主要生产设施</w:t>
            </w:r>
          </w:p>
          <w:p w14:paraId="2DB598A0">
            <w:pPr>
              <w:spacing w:line="360" w:lineRule="auto"/>
              <w:ind w:firstLine="480" w:firstLineChars="200"/>
            </w:pPr>
            <w:r>
              <w:rPr>
                <w:rFonts w:hint="eastAsia"/>
              </w:rPr>
              <w:t>结合本工程运营期生产工艺，本工程配备的主要设备详见下表：</w:t>
            </w:r>
          </w:p>
          <w:p w14:paraId="5D2770E1">
            <w:pPr>
              <w:spacing w:line="360" w:lineRule="auto"/>
              <w:ind w:firstLine="480" w:firstLineChars="200"/>
            </w:pPr>
          </w:p>
          <w:p w14:paraId="39A754FE">
            <w:pPr>
              <w:spacing w:line="360" w:lineRule="auto"/>
              <w:jc w:val="center"/>
              <w:rPr>
                <w:b/>
                <w:bCs/>
              </w:rPr>
            </w:pPr>
            <w:r>
              <w:rPr>
                <w:rFonts w:hint="eastAsia"/>
                <w:b/>
                <w:bCs/>
              </w:rPr>
              <w:t>表18      主要设备一览表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334"/>
              <w:gridCol w:w="1523"/>
              <w:gridCol w:w="1523"/>
              <w:gridCol w:w="1523"/>
            </w:tblGrid>
            <w:tr w14:paraId="72293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1" w:type="dxa"/>
                  <w:vAlign w:val="center"/>
                </w:tcPr>
                <w:p w14:paraId="399EE5D1">
                  <w:pPr>
                    <w:jc w:val="center"/>
                    <w:rPr>
                      <w:rFonts w:cs="Times New Roman"/>
                      <w:b/>
                      <w:bCs/>
                      <w:kern w:val="0"/>
                      <w:sz w:val="21"/>
                      <w:szCs w:val="21"/>
                    </w:rPr>
                  </w:pPr>
                  <w:r>
                    <w:rPr>
                      <w:rFonts w:hint="eastAsia" w:cs="Times New Roman"/>
                      <w:b/>
                      <w:bCs/>
                      <w:kern w:val="0"/>
                      <w:sz w:val="21"/>
                      <w:szCs w:val="21"/>
                    </w:rPr>
                    <w:t>序号</w:t>
                  </w:r>
                </w:p>
              </w:tc>
              <w:tc>
                <w:tcPr>
                  <w:tcW w:w="2334" w:type="dxa"/>
                  <w:vAlign w:val="center"/>
                </w:tcPr>
                <w:p w14:paraId="1FE356D9">
                  <w:pPr>
                    <w:jc w:val="center"/>
                    <w:rPr>
                      <w:rFonts w:cs="Times New Roman"/>
                      <w:b/>
                      <w:bCs/>
                      <w:kern w:val="0"/>
                      <w:sz w:val="21"/>
                      <w:szCs w:val="21"/>
                    </w:rPr>
                  </w:pPr>
                  <w:r>
                    <w:rPr>
                      <w:rFonts w:hint="eastAsia" w:cs="Times New Roman"/>
                      <w:b/>
                      <w:bCs/>
                      <w:kern w:val="0"/>
                      <w:sz w:val="21"/>
                      <w:szCs w:val="21"/>
                    </w:rPr>
                    <w:t>设备名称</w:t>
                  </w:r>
                </w:p>
              </w:tc>
              <w:tc>
                <w:tcPr>
                  <w:tcW w:w="1523" w:type="dxa"/>
                  <w:vAlign w:val="center"/>
                </w:tcPr>
                <w:p w14:paraId="6F878717">
                  <w:pPr>
                    <w:jc w:val="center"/>
                    <w:rPr>
                      <w:rFonts w:cs="Times New Roman"/>
                      <w:b/>
                      <w:bCs/>
                      <w:kern w:val="0"/>
                      <w:sz w:val="21"/>
                      <w:szCs w:val="21"/>
                    </w:rPr>
                  </w:pPr>
                  <w:r>
                    <w:rPr>
                      <w:rFonts w:hint="eastAsia" w:cs="Times New Roman"/>
                      <w:b/>
                      <w:bCs/>
                      <w:kern w:val="0"/>
                      <w:sz w:val="21"/>
                      <w:szCs w:val="21"/>
                    </w:rPr>
                    <w:t>单位</w:t>
                  </w:r>
                </w:p>
              </w:tc>
              <w:tc>
                <w:tcPr>
                  <w:tcW w:w="1523" w:type="dxa"/>
                  <w:vAlign w:val="center"/>
                </w:tcPr>
                <w:p w14:paraId="3D566967">
                  <w:pPr>
                    <w:jc w:val="center"/>
                    <w:rPr>
                      <w:rFonts w:cs="Times New Roman"/>
                      <w:b/>
                      <w:bCs/>
                      <w:kern w:val="0"/>
                      <w:sz w:val="21"/>
                      <w:szCs w:val="21"/>
                    </w:rPr>
                  </w:pPr>
                  <w:r>
                    <w:rPr>
                      <w:rFonts w:hint="eastAsia" w:cs="Times New Roman"/>
                      <w:b/>
                      <w:bCs/>
                      <w:kern w:val="0"/>
                      <w:sz w:val="21"/>
                      <w:szCs w:val="21"/>
                    </w:rPr>
                    <w:t>数量</w:t>
                  </w:r>
                </w:p>
              </w:tc>
              <w:tc>
                <w:tcPr>
                  <w:tcW w:w="1523" w:type="dxa"/>
                  <w:vAlign w:val="center"/>
                </w:tcPr>
                <w:p w14:paraId="37166B8F">
                  <w:pPr>
                    <w:jc w:val="center"/>
                    <w:rPr>
                      <w:rFonts w:cs="Times New Roman"/>
                      <w:b/>
                      <w:bCs/>
                      <w:kern w:val="0"/>
                      <w:sz w:val="21"/>
                      <w:szCs w:val="21"/>
                    </w:rPr>
                  </w:pPr>
                  <w:r>
                    <w:rPr>
                      <w:rFonts w:hint="eastAsia" w:cs="Times New Roman"/>
                      <w:b/>
                      <w:bCs/>
                      <w:kern w:val="0"/>
                      <w:sz w:val="21"/>
                      <w:szCs w:val="21"/>
                    </w:rPr>
                    <w:t>备注</w:t>
                  </w:r>
                </w:p>
              </w:tc>
            </w:tr>
            <w:tr w14:paraId="763A1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312EF4A2">
                  <w:pPr>
                    <w:jc w:val="center"/>
                    <w:rPr>
                      <w:rFonts w:cs="Times New Roman"/>
                      <w:kern w:val="0"/>
                      <w:sz w:val="21"/>
                      <w:szCs w:val="21"/>
                    </w:rPr>
                  </w:pPr>
                  <w:r>
                    <w:rPr>
                      <w:rFonts w:hint="eastAsia" w:cs="Times New Roman"/>
                      <w:kern w:val="0"/>
                      <w:sz w:val="21"/>
                      <w:szCs w:val="21"/>
                    </w:rPr>
                    <w:t>1</w:t>
                  </w:r>
                </w:p>
              </w:tc>
              <w:tc>
                <w:tcPr>
                  <w:tcW w:w="2334" w:type="dxa"/>
                  <w:vAlign w:val="center"/>
                </w:tcPr>
                <w:p w14:paraId="716BABA9">
                  <w:pPr>
                    <w:jc w:val="center"/>
                    <w:rPr>
                      <w:rFonts w:cs="Times New Roman"/>
                      <w:kern w:val="0"/>
                      <w:sz w:val="21"/>
                      <w:szCs w:val="21"/>
                    </w:rPr>
                  </w:pPr>
                  <w:r>
                    <w:rPr>
                      <w:rFonts w:hint="eastAsia" w:cs="Times New Roman"/>
                      <w:kern w:val="0"/>
                      <w:sz w:val="21"/>
                      <w:szCs w:val="21"/>
                    </w:rPr>
                    <w:t>高承载气囊</w:t>
                  </w:r>
                </w:p>
              </w:tc>
              <w:tc>
                <w:tcPr>
                  <w:tcW w:w="1523" w:type="dxa"/>
                  <w:vAlign w:val="center"/>
                </w:tcPr>
                <w:p w14:paraId="4AA5772B">
                  <w:pPr>
                    <w:jc w:val="center"/>
                    <w:rPr>
                      <w:rFonts w:cs="Times New Roman"/>
                      <w:kern w:val="0"/>
                      <w:sz w:val="21"/>
                      <w:szCs w:val="21"/>
                    </w:rPr>
                  </w:pPr>
                  <w:r>
                    <w:rPr>
                      <w:rFonts w:hint="eastAsia" w:cs="Times New Roman"/>
                      <w:kern w:val="0"/>
                      <w:sz w:val="21"/>
                      <w:szCs w:val="21"/>
                    </w:rPr>
                    <w:t>根</w:t>
                  </w:r>
                </w:p>
              </w:tc>
              <w:tc>
                <w:tcPr>
                  <w:tcW w:w="1523" w:type="dxa"/>
                  <w:vAlign w:val="center"/>
                </w:tcPr>
                <w:p w14:paraId="48D9815D">
                  <w:pPr>
                    <w:jc w:val="center"/>
                    <w:rPr>
                      <w:rFonts w:cs="Times New Roman"/>
                      <w:kern w:val="0"/>
                      <w:sz w:val="21"/>
                      <w:szCs w:val="21"/>
                    </w:rPr>
                  </w:pPr>
                  <w:r>
                    <w:rPr>
                      <w:rFonts w:hint="eastAsia" w:cs="Times New Roman"/>
                      <w:kern w:val="0"/>
                      <w:sz w:val="21"/>
                      <w:szCs w:val="21"/>
                    </w:rPr>
                    <w:t>9（2备）</w:t>
                  </w:r>
                </w:p>
              </w:tc>
              <w:tc>
                <w:tcPr>
                  <w:tcW w:w="1523" w:type="dxa"/>
                  <w:vAlign w:val="center"/>
                </w:tcPr>
                <w:p w14:paraId="5B44B755">
                  <w:pPr>
                    <w:jc w:val="center"/>
                    <w:rPr>
                      <w:rFonts w:cs="Times New Roman"/>
                      <w:kern w:val="0"/>
                      <w:sz w:val="21"/>
                      <w:szCs w:val="21"/>
                    </w:rPr>
                  </w:pPr>
                  <w:r>
                    <w:rPr>
                      <w:rFonts w:hint="eastAsia" w:cs="Times New Roman"/>
                      <w:kern w:val="0"/>
                      <w:sz w:val="21"/>
                      <w:szCs w:val="21"/>
                    </w:rPr>
                    <w:t>单根12m</w:t>
                  </w:r>
                </w:p>
              </w:tc>
            </w:tr>
            <w:tr w14:paraId="3531A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2E75BE1E">
                  <w:pPr>
                    <w:jc w:val="center"/>
                    <w:rPr>
                      <w:rFonts w:cs="Times New Roman"/>
                      <w:kern w:val="0"/>
                      <w:sz w:val="21"/>
                      <w:szCs w:val="21"/>
                    </w:rPr>
                  </w:pPr>
                  <w:r>
                    <w:rPr>
                      <w:rFonts w:hint="eastAsia" w:cs="Times New Roman"/>
                      <w:kern w:val="0"/>
                      <w:sz w:val="21"/>
                      <w:szCs w:val="21"/>
                    </w:rPr>
                    <w:t>2</w:t>
                  </w:r>
                </w:p>
              </w:tc>
              <w:tc>
                <w:tcPr>
                  <w:tcW w:w="2334" w:type="dxa"/>
                  <w:vAlign w:val="center"/>
                </w:tcPr>
                <w:p w14:paraId="760B59F0">
                  <w:pPr>
                    <w:jc w:val="center"/>
                    <w:rPr>
                      <w:rFonts w:cs="Times New Roman"/>
                      <w:kern w:val="0"/>
                      <w:sz w:val="21"/>
                      <w:szCs w:val="21"/>
                    </w:rPr>
                  </w:pPr>
                  <w:r>
                    <w:rPr>
                      <w:rFonts w:hint="eastAsia" w:cs="Times New Roman"/>
                      <w:kern w:val="0"/>
                      <w:sz w:val="21"/>
                      <w:szCs w:val="21"/>
                    </w:rPr>
                    <w:t>15t单滚筒绞车</w:t>
                  </w:r>
                </w:p>
              </w:tc>
              <w:tc>
                <w:tcPr>
                  <w:tcW w:w="1523" w:type="dxa"/>
                  <w:vAlign w:val="center"/>
                </w:tcPr>
                <w:p w14:paraId="2C86529C">
                  <w:pPr>
                    <w:jc w:val="center"/>
                    <w:rPr>
                      <w:rFonts w:cs="Times New Roman"/>
                      <w:kern w:val="0"/>
                      <w:sz w:val="21"/>
                      <w:szCs w:val="21"/>
                    </w:rPr>
                  </w:pPr>
                  <w:r>
                    <w:rPr>
                      <w:rFonts w:hint="eastAsia" w:cs="Times New Roman"/>
                      <w:kern w:val="0"/>
                      <w:sz w:val="21"/>
                      <w:szCs w:val="21"/>
                    </w:rPr>
                    <w:t>台</w:t>
                  </w:r>
                </w:p>
              </w:tc>
              <w:tc>
                <w:tcPr>
                  <w:tcW w:w="1523" w:type="dxa"/>
                  <w:vAlign w:val="center"/>
                </w:tcPr>
                <w:p w14:paraId="381BFF6B">
                  <w:pPr>
                    <w:jc w:val="center"/>
                    <w:rPr>
                      <w:rFonts w:cs="Times New Roman"/>
                      <w:kern w:val="0"/>
                      <w:sz w:val="21"/>
                      <w:szCs w:val="21"/>
                    </w:rPr>
                  </w:pPr>
                  <w:r>
                    <w:rPr>
                      <w:rFonts w:hint="eastAsia" w:cs="Times New Roman"/>
                      <w:kern w:val="0"/>
                      <w:sz w:val="21"/>
                      <w:szCs w:val="21"/>
                    </w:rPr>
                    <w:t>1</w:t>
                  </w:r>
                </w:p>
              </w:tc>
              <w:tc>
                <w:tcPr>
                  <w:tcW w:w="1523" w:type="dxa"/>
                  <w:vAlign w:val="center"/>
                </w:tcPr>
                <w:p w14:paraId="2522700F">
                  <w:pPr>
                    <w:jc w:val="center"/>
                    <w:rPr>
                      <w:rFonts w:cs="Times New Roman"/>
                      <w:kern w:val="0"/>
                      <w:sz w:val="21"/>
                      <w:szCs w:val="21"/>
                    </w:rPr>
                  </w:pPr>
                </w:p>
              </w:tc>
            </w:tr>
            <w:tr w14:paraId="5158F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DF35C5F">
                  <w:pPr>
                    <w:jc w:val="center"/>
                    <w:rPr>
                      <w:rFonts w:cs="Times New Roman"/>
                      <w:kern w:val="0"/>
                      <w:sz w:val="21"/>
                      <w:szCs w:val="21"/>
                    </w:rPr>
                  </w:pPr>
                  <w:r>
                    <w:rPr>
                      <w:rFonts w:hint="eastAsia" w:cs="Times New Roman"/>
                      <w:kern w:val="0"/>
                      <w:sz w:val="21"/>
                      <w:szCs w:val="21"/>
                    </w:rPr>
                    <w:t>3</w:t>
                  </w:r>
                </w:p>
              </w:tc>
              <w:tc>
                <w:tcPr>
                  <w:tcW w:w="2334" w:type="dxa"/>
                  <w:vAlign w:val="center"/>
                </w:tcPr>
                <w:p w14:paraId="0C2B7D8F">
                  <w:pPr>
                    <w:jc w:val="center"/>
                    <w:rPr>
                      <w:rFonts w:cs="Times New Roman"/>
                      <w:kern w:val="0"/>
                      <w:sz w:val="21"/>
                      <w:szCs w:val="21"/>
                    </w:rPr>
                  </w:pPr>
                  <w:r>
                    <w:rPr>
                      <w:rFonts w:hint="eastAsia" w:cs="Times New Roman"/>
                      <w:kern w:val="0"/>
                      <w:sz w:val="21"/>
                      <w:szCs w:val="21"/>
                    </w:rPr>
                    <w:t>10t单滚筒绞车</w:t>
                  </w:r>
                </w:p>
              </w:tc>
              <w:tc>
                <w:tcPr>
                  <w:tcW w:w="1523" w:type="dxa"/>
                  <w:vAlign w:val="center"/>
                </w:tcPr>
                <w:p w14:paraId="7B7C90A4">
                  <w:pPr>
                    <w:jc w:val="center"/>
                    <w:rPr>
                      <w:rFonts w:cs="Times New Roman"/>
                      <w:kern w:val="0"/>
                      <w:sz w:val="21"/>
                      <w:szCs w:val="21"/>
                    </w:rPr>
                  </w:pPr>
                  <w:r>
                    <w:rPr>
                      <w:rFonts w:hint="eastAsia" w:cs="Times New Roman"/>
                      <w:kern w:val="0"/>
                      <w:sz w:val="21"/>
                      <w:szCs w:val="21"/>
                    </w:rPr>
                    <w:t>台</w:t>
                  </w:r>
                </w:p>
              </w:tc>
              <w:tc>
                <w:tcPr>
                  <w:tcW w:w="1523" w:type="dxa"/>
                  <w:vAlign w:val="center"/>
                </w:tcPr>
                <w:p w14:paraId="74C5DE88">
                  <w:pPr>
                    <w:jc w:val="center"/>
                    <w:rPr>
                      <w:rFonts w:cs="Times New Roman"/>
                      <w:kern w:val="0"/>
                      <w:sz w:val="21"/>
                      <w:szCs w:val="21"/>
                    </w:rPr>
                  </w:pPr>
                  <w:r>
                    <w:rPr>
                      <w:rFonts w:hint="eastAsia" w:cs="Times New Roman"/>
                      <w:kern w:val="0"/>
                      <w:sz w:val="21"/>
                      <w:szCs w:val="21"/>
                    </w:rPr>
                    <w:t>1</w:t>
                  </w:r>
                </w:p>
              </w:tc>
              <w:tc>
                <w:tcPr>
                  <w:tcW w:w="1523" w:type="dxa"/>
                  <w:vAlign w:val="center"/>
                </w:tcPr>
                <w:p w14:paraId="65F70A74">
                  <w:pPr>
                    <w:jc w:val="center"/>
                    <w:rPr>
                      <w:rFonts w:cs="Times New Roman"/>
                      <w:kern w:val="0"/>
                      <w:sz w:val="21"/>
                      <w:szCs w:val="21"/>
                    </w:rPr>
                  </w:pPr>
                </w:p>
              </w:tc>
            </w:tr>
            <w:tr w14:paraId="5BF55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5D424A13">
                  <w:pPr>
                    <w:jc w:val="center"/>
                    <w:rPr>
                      <w:rFonts w:cs="Times New Roman"/>
                      <w:kern w:val="0"/>
                      <w:sz w:val="21"/>
                      <w:szCs w:val="21"/>
                    </w:rPr>
                  </w:pPr>
                  <w:r>
                    <w:rPr>
                      <w:rFonts w:hint="eastAsia" w:cs="Times New Roman"/>
                      <w:kern w:val="0"/>
                      <w:sz w:val="21"/>
                      <w:szCs w:val="21"/>
                    </w:rPr>
                    <w:t>4</w:t>
                  </w:r>
                </w:p>
              </w:tc>
              <w:tc>
                <w:tcPr>
                  <w:tcW w:w="2334" w:type="dxa"/>
                  <w:vAlign w:val="center"/>
                </w:tcPr>
                <w:p w14:paraId="5320933E">
                  <w:pPr>
                    <w:jc w:val="center"/>
                    <w:rPr>
                      <w:rFonts w:cs="Times New Roman"/>
                      <w:kern w:val="0"/>
                      <w:sz w:val="21"/>
                      <w:szCs w:val="21"/>
                    </w:rPr>
                  </w:pPr>
                  <w:r>
                    <w:rPr>
                      <w:rFonts w:hint="eastAsia" w:cs="Times New Roman"/>
                      <w:kern w:val="0"/>
                      <w:sz w:val="21"/>
                      <w:szCs w:val="21"/>
                    </w:rPr>
                    <w:t>3t人工绞盘</w:t>
                  </w:r>
                </w:p>
              </w:tc>
              <w:tc>
                <w:tcPr>
                  <w:tcW w:w="1523" w:type="dxa"/>
                  <w:vAlign w:val="center"/>
                </w:tcPr>
                <w:p w14:paraId="23BD9149">
                  <w:pPr>
                    <w:jc w:val="center"/>
                    <w:rPr>
                      <w:rFonts w:cs="Times New Roman"/>
                      <w:kern w:val="0"/>
                      <w:sz w:val="21"/>
                      <w:szCs w:val="21"/>
                    </w:rPr>
                  </w:pPr>
                  <w:r>
                    <w:rPr>
                      <w:rFonts w:hint="eastAsia" w:cs="Times New Roman"/>
                      <w:kern w:val="0"/>
                      <w:sz w:val="21"/>
                      <w:szCs w:val="21"/>
                    </w:rPr>
                    <w:t>台</w:t>
                  </w:r>
                </w:p>
              </w:tc>
              <w:tc>
                <w:tcPr>
                  <w:tcW w:w="1523" w:type="dxa"/>
                  <w:vAlign w:val="center"/>
                </w:tcPr>
                <w:p w14:paraId="3A7B563E">
                  <w:pPr>
                    <w:jc w:val="center"/>
                    <w:rPr>
                      <w:rFonts w:cs="Times New Roman"/>
                      <w:kern w:val="0"/>
                      <w:sz w:val="21"/>
                      <w:szCs w:val="21"/>
                    </w:rPr>
                  </w:pPr>
                  <w:r>
                    <w:rPr>
                      <w:rFonts w:hint="eastAsia" w:cs="Times New Roman"/>
                      <w:kern w:val="0"/>
                      <w:sz w:val="21"/>
                      <w:szCs w:val="21"/>
                    </w:rPr>
                    <w:t>2</w:t>
                  </w:r>
                </w:p>
              </w:tc>
              <w:tc>
                <w:tcPr>
                  <w:tcW w:w="1523" w:type="dxa"/>
                  <w:vAlign w:val="center"/>
                </w:tcPr>
                <w:p w14:paraId="28A84F42">
                  <w:pPr>
                    <w:jc w:val="center"/>
                    <w:rPr>
                      <w:rFonts w:cs="Times New Roman"/>
                      <w:kern w:val="0"/>
                      <w:sz w:val="21"/>
                      <w:szCs w:val="21"/>
                    </w:rPr>
                  </w:pPr>
                </w:p>
              </w:tc>
            </w:tr>
            <w:tr w14:paraId="784A0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1" w:type="dxa"/>
                  <w:vAlign w:val="center"/>
                </w:tcPr>
                <w:p w14:paraId="6EE7F6C6">
                  <w:pPr>
                    <w:jc w:val="center"/>
                    <w:rPr>
                      <w:rFonts w:cs="Times New Roman"/>
                      <w:kern w:val="0"/>
                      <w:sz w:val="21"/>
                      <w:szCs w:val="21"/>
                    </w:rPr>
                  </w:pPr>
                  <w:r>
                    <w:rPr>
                      <w:rFonts w:hint="eastAsia" w:cs="Times New Roman"/>
                      <w:kern w:val="0"/>
                      <w:sz w:val="21"/>
                      <w:szCs w:val="21"/>
                    </w:rPr>
                    <w:t>5</w:t>
                  </w:r>
                </w:p>
              </w:tc>
              <w:tc>
                <w:tcPr>
                  <w:tcW w:w="2334" w:type="dxa"/>
                  <w:vAlign w:val="center"/>
                </w:tcPr>
                <w:p w14:paraId="53F2EBB6">
                  <w:pPr>
                    <w:jc w:val="center"/>
                    <w:rPr>
                      <w:rFonts w:cs="Times New Roman"/>
                      <w:kern w:val="0"/>
                      <w:sz w:val="21"/>
                      <w:szCs w:val="21"/>
                    </w:rPr>
                  </w:pPr>
                  <w:r>
                    <w:rPr>
                      <w:rFonts w:hint="eastAsia" w:cs="Times New Roman"/>
                      <w:kern w:val="0"/>
                      <w:sz w:val="21"/>
                      <w:szCs w:val="21"/>
                    </w:rPr>
                    <w:t>船艇拖架车</w:t>
                  </w:r>
                </w:p>
              </w:tc>
              <w:tc>
                <w:tcPr>
                  <w:tcW w:w="1523" w:type="dxa"/>
                  <w:vAlign w:val="center"/>
                </w:tcPr>
                <w:p w14:paraId="2949809B">
                  <w:pPr>
                    <w:jc w:val="center"/>
                    <w:rPr>
                      <w:rFonts w:cs="Times New Roman"/>
                      <w:kern w:val="0"/>
                      <w:sz w:val="21"/>
                      <w:szCs w:val="21"/>
                    </w:rPr>
                  </w:pPr>
                  <w:r>
                    <w:rPr>
                      <w:rFonts w:hint="eastAsia" w:cs="Times New Roman"/>
                      <w:kern w:val="0"/>
                      <w:sz w:val="21"/>
                      <w:szCs w:val="21"/>
                    </w:rPr>
                    <w:t>台</w:t>
                  </w:r>
                </w:p>
              </w:tc>
              <w:tc>
                <w:tcPr>
                  <w:tcW w:w="1523" w:type="dxa"/>
                  <w:vAlign w:val="center"/>
                </w:tcPr>
                <w:p w14:paraId="03D78BD6">
                  <w:pPr>
                    <w:jc w:val="center"/>
                    <w:rPr>
                      <w:rFonts w:cs="Times New Roman"/>
                      <w:kern w:val="0"/>
                      <w:sz w:val="21"/>
                      <w:szCs w:val="21"/>
                    </w:rPr>
                  </w:pPr>
                  <w:r>
                    <w:rPr>
                      <w:rFonts w:hint="eastAsia" w:cs="Times New Roman"/>
                      <w:kern w:val="0"/>
                      <w:sz w:val="21"/>
                      <w:szCs w:val="21"/>
                    </w:rPr>
                    <w:t>3</w:t>
                  </w:r>
                </w:p>
              </w:tc>
              <w:tc>
                <w:tcPr>
                  <w:tcW w:w="1523" w:type="dxa"/>
                  <w:vAlign w:val="center"/>
                </w:tcPr>
                <w:p w14:paraId="7F1C35D4">
                  <w:pPr>
                    <w:jc w:val="center"/>
                    <w:rPr>
                      <w:rFonts w:cs="Times New Roman"/>
                      <w:kern w:val="0"/>
                      <w:sz w:val="21"/>
                      <w:szCs w:val="21"/>
                    </w:rPr>
                  </w:pPr>
                  <w:r>
                    <w:rPr>
                      <w:rFonts w:hint="eastAsia" w:cs="Times New Roman"/>
                      <w:kern w:val="0"/>
                      <w:sz w:val="21"/>
                      <w:szCs w:val="21"/>
                    </w:rPr>
                    <w:t>10~20m</w:t>
                  </w:r>
                </w:p>
              </w:tc>
            </w:tr>
            <w:tr w14:paraId="5FFAB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A5C09FC">
                  <w:pPr>
                    <w:jc w:val="center"/>
                    <w:rPr>
                      <w:rFonts w:cs="Times New Roman"/>
                      <w:kern w:val="0"/>
                      <w:sz w:val="21"/>
                      <w:szCs w:val="21"/>
                    </w:rPr>
                  </w:pPr>
                  <w:r>
                    <w:rPr>
                      <w:rFonts w:hint="eastAsia" w:cs="Times New Roman"/>
                      <w:kern w:val="0"/>
                      <w:sz w:val="21"/>
                      <w:szCs w:val="21"/>
                    </w:rPr>
                    <w:t>6</w:t>
                  </w:r>
                </w:p>
              </w:tc>
              <w:tc>
                <w:tcPr>
                  <w:tcW w:w="2334" w:type="dxa"/>
                  <w:vAlign w:val="center"/>
                </w:tcPr>
                <w:p w14:paraId="47F7E994">
                  <w:pPr>
                    <w:jc w:val="center"/>
                    <w:rPr>
                      <w:rFonts w:cs="Times New Roman"/>
                      <w:kern w:val="0"/>
                      <w:sz w:val="21"/>
                      <w:szCs w:val="21"/>
                    </w:rPr>
                  </w:pPr>
                  <w:r>
                    <w:rPr>
                      <w:rFonts w:hint="eastAsia" w:cs="Times New Roman"/>
                      <w:kern w:val="0"/>
                      <w:sz w:val="21"/>
                      <w:szCs w:val="21"/>
                    </w:rPr>
                    <w:t>支墩</w:t>
                  </w:r>
                </w:p>
              </w:tc>
              <w:tc>
                <w:tcPr>
                  <w:tcW w:w="1523" w:type="dxa"/>
                  <w:vAlign w:val="center"/>
                </w:tcPr>
                <w:p w14:paraId="0CC8B53A">
                  <w:pPr>
                    <w:jc w:val="center"/>
                    <w:rPr>
                      <w:rFonts w:cs="Times New Roman"/>
                      <w:kern w:val="0"/>
                      <w:sz w:val="21"/>
                      <w:szCs w:val="21"/>
                    </w:rPr>
                  </w:pPr>
                  <w:r>
                    <w:rPr>
                      <w:rFonts w:hint="eastAsia" w:cs="Times New Roman"/>
                      <w:kern w:val="0"/>
                      <w:sz w:val="21"/>
                      <w:szCs w:val="21"/>
                    </w:rPr>
                    <w:t>个</w:t>
                  </w:r>
                </w:p>
              </w:tc>
              <w:tc>
                <w:tcPr>
                  <w:tcW w:w="1523" w:type="dxa"/>
                  <w:vAlign w:val="center"/>
                </w:tcPr>
                <w:p w14:paraId="0ADD191D">
                  <w:pPr>
                    <w:jc w:val="center"/>
                    <w:rPr>
                      <w:rFonts w:cs="Times New Roman"/>
                      <w:kern w:val="0"/>
                      <w:sz w:val="21"/>
                      <w:szCs w:val="21"/>
                    </w:rPr>
                  </w:pPr>
                  <w:r>
                    <w:rPr>
                      <w:rFonts w:hint="eastAsia" w:cs="Times New Roman"/>
                      <w:kern w:val="0"/>
                      <w:sz w:val="21"/>
                      <w:szCs w:val="21"/>
                    </w:rPr>
                    <w:t>30</w:t>
                  </w:r>
                </w:p>
              </w:tc>
              <w:tc>
                <w:tcPr>
                  <w:tcW w:w="1523" w:type="dxa"/>
                  <w:vAlign w:val="center"/>
                </w:tcPr>
                <w:p w14:paraId="5F1912FF">
                  <w:pPr>
                    <w:jc w:val="center"/>
                    <w:rPr>
                      <w:rFonts w:cs="Times New Roman"/>
                      <w:kern w:val="0"/>
                      <w:sz w:val="21"/>
                      <w:szCs w:val="21"/>
                    </w:rPr>
                  </w:pPr>
                </w:p>
              </w:tc>
            </w:tr>
            <w:tr w14:paraId="103F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30BC55AD">
                  <w:pPr>
                    <w:jc w:val="center"/>
                    <w:rPr>
                      <w:rFonts w:cs="Times New Roman"/>
                      <w:kern w:val="0"/>
                      <w:sz w:val="21"/>
                      <w:szCs w:val="21"/>
                    </w:rPr>
                  </w:pPr>
                  <w:r>
                    <w:rPr>
                      <w:rFonts w:hint="eastAsia" w:cs="Times New Roman"/>
                      <w:kern w:val="0"/>
                      <w:sz w:val="21"/>
                      <w:szCs w:val="21"/>
                    </w:rPr>
                    <w:t>7</w:t>
                  </w:r>
                </w:p>
              </w:tc>
              <w:tc>
                <w:tcPr>
                  <w:tcW w:w="2334" w:type="dxa"/>
                  <w:vAlign w:val="center"/>
                </w:tcPr>
                <w:p w14:paraId="442FA2BE">
                  <w:pPr>
                    <w:jc w:val="center"/>
                    <w:rPr>
                      <w:rFonts w:cs="Times New Roman"/>
                      <w:kern w:val="0"/>
                      <w:sz w:val="21"/>
                      <w:szCs w:val="21"/>
                    </w:rPr>
                  </w:pPr>
                  <w:r>
                    <w:rPr>
                      <w:rFonts w:hint="eastAsia" w:cs="Times New Roman"/>
                      <w:kern w:val="0"/>
                      <w:sz w:val="21"/>
                      <w:szCs w:val="21"/>
                    </w:rPr>
                    <w:t>电动空气压缩机</w:t>
                  </w:r>
                </w:p>
              </w:tc>
              <w:tc>
                <w:tcPr>
                  <w:tcW w:w="1523" w:type="dxa"/>
                  <w:vAlign w:val="center"/>
                </w:tcPr>
                <w:p w14:paraId="72832524">
                  <w:pPr>
                    <w:jc w:val="center"/>
                    <w:rPr>
                      <w:rFonts w:cs="Times New Roman"/>
                      <w:kern w:val="0"/>
                      <w:sz w:val="21"/>
                      <w:szCs w:val="21"/>
                    </w:rPr>
                  </w:pPr>
                  <w:r>
                    <w:rPr>
                      <w:rFonts w:hint="eastAsia" w:cs="Times New Roman"/>
                      <w:kern w:val="0"/>
                      <w:sz w:val="21"/>
                      <w:szCs w:val="21"/>
                    </w:rPr>
                    <w:t>台</w:t>
                  </w:r>
                </w:p>
              </w:tc>
              <w:tc>
                <w:tcPr>
                  <w:tcW w:w="1523" w:type="dxa"/>
                  <w:vAlign w:val="center"/>
                </w:tcPr>
                <w:p w14:paraId="2C34D947">
                  <w:pPr>
                    <w:jc w:val="center"/>
                    <w:rPr>
                      <w:rFonts w:cs="Times New Roman"/>
                      <w:kern w:val="0"/>
                      <w:sz w:val="21"/>
                      <w:szCs w:val="21"/>
                    </w:rPr>
                  </w:pPr>
                  <w:r>
                    <w:rPr>
                      <w:rFonts w:hint="eastAsia" w:cs="Times New Roman"/>
                      <w:kern w:val="0"/>
                      <w:sz w:val="21"/>
                      <w:szCs w:val="21"/>
                    </w:rPr>
                    <w:t>2</w:t>
                  </w:r>
                </w:p>
              </w:tc>
              <w:tc>
                <w:tcPr>
                  <w:tcW w:w="1523" w:type="dxa"/>
                  <w:vAlign w:val="center"/>
                </w:tcPr>
                <w:p w14:paraId="028054BC">
                  <w:pPr>
                    <w:jc w:val="center"/>
                    <w:rPr>
                      <w:rFonts w:cs="Times New Roman"/>
                      <w:kern w:val="0"/>
                      <w:sz w:val="21"/>
                      <w:szCs w:val="21"/>
                    </w:rPr>
                  </w:pPr>
                  <w:r>
                    <w:rPr>
                      <w:rFonts w:hint="eastAsia" w:cs="Times New Roman"/>
                      <w:kern w:val="0"/>
                      <w:sz w:val="21"/>
                      <w:szCs w:val="21"/>
                    </w:rPr>
                    <w:t>2m³/min</w:t>
                  </w:r>
                </w:p>
              </w:tc>
            </w:tr>
            <w:tr w14:paraId="13902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6A289D02">
                  <w:pPr>
                    <w:jc w:val="center"/>
                    <w:rPr>
                      <w:rFonts w:cs="Times New Roman"/>
                      <w:kern w:val="0"/>
                      <w:sz w:val="21"/>
                      <w:szCs w:val="21"/>
                    </w:rPr>
                  </w:pPr>
                  <w:r>
                    <w:rPr>
                      <w:rFonts w:hint="eastAsia" w:cs="Times New Roman"/>
                      <w:kern w:val="0"/>
                      <w:sz w:val="21"/>
                      <w:szCs w:val="21"/>
                    </w:rPr>
                    <w:t>8</w:t>
                  </w:r>
                </w:p>
              </w:tc>
              <w:tc>
                <w:tcPr>
                  <w:tcW w:w="2334" w:type="dxa"/>
                  <w:vAlign w:val="center"/>
                </w:tcPr>
                <w:p w14:paraId="331C4572">
                  <w:pPr>
                    <w:jc w:val="center"/>
                    <w:rPr>
                      <w:rFonts w:cs="Times New Roman"/>
                      <w:kern w:val="0"/>
                      <w:sz w:val="21"/>
                      <w:szCs w:val="21"/>
                    </w:rPr>
                  </w:pPr>
                  <w:r>
                    <w:rPr>
                      <w:rFonts w:hint="eastAsia" w:cs="Times New Roman"/>
                      <w:kern w:val="0"/>
                      <w:sz w:val="21"/>
                      <w:szCs w:val="21"/>
                    </w:rPr>
                    <w:t>高压水冲洗机</w:t>
                  </w:r>
                </w:p>
              </w:tc>
              <w:tc>
                <w:tcPr>
                  <w:tcW w:w="1523" w:type="dxa"/>
                  <w:vAlign w:val="center"/>
                </w:tcPr>
                <w:p w14:paraId="5EA0F995">
                  <w:pPr>
                    <w:jc w:val="center"/>
                    <w:rPr>
                      <w:rFonts w:cs="Times New Roman"/>
                      <w:kern w:val="0"/>
                      <w:sz w:val="21"/>
                      <w:szCs w:val="21"/>
                    </w:rPr>
                  </w:pPr>
                  <w:r>
                    <w:rPr>
                      <w:rFonts w:hint="eastAsia" w:cs="Times New Roman"/>
                      <w:kern w:val="0"/>
                      <w:sz w:val="21"/>
                      <w:szCs w:val="21"/>
                    </w:rPr>
                    <w:t>台</w:t>
                  </w:r>
                </w:p>
              </w:tc>
              <w:tc>
                <w:tcPr>
                  <w:tcW w:w="1523" w:type="dxa"/>
                  <w:vAlign w:val="center"/>
                </w:tcPr>
                <w:p w14:paraId="6093BACB">
                  <w:pPr>
                    <w:jc w:val="center"/>
                    <w:rPr>
                      <w:rFonts w:cs="Times New Roman"/>
                      <w:kern w:val="0"/>
                      <w:sz w:val="21"/>
                      <w:szCs w:val="21"/>
                    </w:rPr>
                  </w:pPr>
                  <w:r>
                    <w:rPr>
                      <w:rFonts w:hint="eastAsia" w:cs="Times New Roman"/>
                      <w:kern w:val="0"/>
                      <w:sz w:val="21"/>
                      <w:szCs w:val="21"/>
                    </w:rPr>
                    <w:t>1</w:t>
                  </w:r>
                </w:p>
              </w:tc>
              <w:tc>
                <w:tcPr>
                  <w:tcW w:w="1523" w:type="dxa"/>
                  <w:vAlign w:val="center"/>
                </w:tcPr>
                <w:p w14:paraId="1E71ECA4">
                  <w:pPr>
                    <w:jc w:val="center"/>
                    <w:rPr>
                      <w:rFonts w:cs="Times New Roman"/>
                      <w:kern w:val="0"/>
                      <w:sz w:val="21"/>
                      <w:szCs w:val="21"/>
                    </w:rPr>
                  </w:pPr>
                </w:p>
              </w:tc>
            </w:tr>
            <w:tr w14:paraId="3002F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B94CAED">
                  <w:pPr>
                    <w:jc w:val="center"/>
                    <w:rPr>
                      <w:rFonts w:cs="Times New Roman"/>
                      <w:kern w:val="0"/>
                      <w:sz w:val="21"/>
                      <w:szCs w:val="21"/>
                    </w:rPr>
                  </w:pPr>
                  <w:r>
                    <w:rPr>
                      <w:rFonts w:hint="eastAsia" w:cs="Times New Roman"/>
                      <w:kern w:val="0"/>
                      <w:sz w:val="21"/>
                      <w:szCs w:val="21"/>
                    </w:rPr>
                    <w:t>9</w:t>
                  </w:r>
                </w:p>
              </w:tc>
              <w:tc>
                <w:tcPr>
                  <w:tcW w:w="2334" w:type="dxa"/>
                  <w:vAlign w:val="center"/>
                </w:tcPr>
                <w:p w14:paraId="3639AA82">
                  <w:pPr>
                    <w:jc w:val="center"/>
                    <w:rPr>
                      <w:rFonts w:cs="Times New Roman"/>
                      <w:kern w:val="0"/>
                      <w:sz w:val="21"/>
                      <w:szCs w:val="21"/>
                    </w:rPr>
                  </w:pPr>
                  <w:r>
                    <w:rPr>
                      <w:rFonts w:hint="eastAsia" w:cs="Times New Roman"/>
                      <w:kern w:val="0"/>
                      <w:sz w:val="21"/>
                      <w:szCs w:val="21"/>
                    </w:rPr>
                    <w:t>电焊机</w:t>
                  </w:r>
                </w:p>
              </w:tc>
              <w:tc>
                <w:tcPr>
                  <w:tcW w:w="1523" w:type="dxa"/>
                  <w:vAlign w:val="center"/>
                </w:tcPr>
                <w:p w14:paraId="5D4F10D8">
                  <w:pPr>
                    <w:jc w:val="center"/>
                    <w:rPr>
                      <w:rFonts w:cs="Times New Roman"/>
                      <w:kern w:val="0"/>
                      <w:sz w:val="21"/>
                      <w:szCs w:val="21"/>
                    </w:rPr>
                  </w:pPr>
                  <w:r>
                    <w:rPr>
                      <w:rFonts w:hint="eastAsia" w:cs="Times New Roman"/>
                      <w:kern w:val="0"/>
                      <w:sz w:val="21"/>
                      <w:szCs w:val="21"/>
                    </w:rPr>
                    <w:t>台</w:t>
                  </w:r>
                </w:p>
              </w:tc>
              <w:tc>
                <w:tcPr>
                  <w:tcW w:w="1523" w:type="dxa"/>
                  <w:vAlign w:val="center"/>
                </w:tcPr>
                <w:p w14:paraId="3D462395">
                  <w:pPr>
                    <w:jc w:val="center"/>
                    <w:rPr>
                      <w:rFonts w:cs="Times New Roman"/>
                      <w:kern w:val="0"/>
                      <w:sz w:val="21"/>
                      <w:szCs w:val="21"/>
                    </w:rPr>
                  </w:pPr>
                  <w:r>
                    <w:rPr>
                      <w:rFonts w:hint="eastAsia" w:cs="Times New Roman"/>
                      <w:kern w:val="0"/>
                      <w:sz w:val="21"/>
                      <w:szCs w:val="21"/>
                    </w:rPr>
                    <w:t>2</w:t>
                  </w:r>
                </w:p>
              </w:tc>
              <w:tc>
                <w:tcPr>
                  <w:tcW w:w="1523" w:type="dxa"/>
                  <w:vAlign w:val="center"/>
                </w:tcPr>
                <w:p w14:paraId="46CFE14C">
                  <w:pPr>
                    <w:jc w:val="center"/>
                    <w:rPr>
                      <w:rFonts w:cs="Times New Roman"/>
                      <w:kern w:val="0"/>
                      <w:sz w:val="21"/>
                      <w:szCs w:val="21"/>
                    </w:rPr>
                  </w:pPr>
                </w:p>
              </w:tc>
            </w:tr>
            <w:tr w14:paraId="29F2B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7CA826F2">
                  <w:pPr>
                    <w:jc w:val="center"/>
                    <w:rPr>
                      <w:rFonts w:cs="Times New Roman"/>
                      <w:kern w:val="0"/>
                      <w:sz w:val="21"/>
                      <w:szCs w:val="21"/>
                    </w:rPr>
                  </w:pPr>
                  <w:r>
                    <w:rPr>
                      <w:rFonts w:hint="eastAsia" w:cs="Times New Roman"/>
                      <w:kern w:val="0"/>
                      <w:sz w:val="21"/>
                      <w:szCs w:val="21"/>
                    </w:rPr>
                    <w:t>10</w:t>
                  </w:r>
                </w:p>
              </w:tc>
              <w:tc>
                <w:tcPr>
                  <w:tcW w:w="2334" w:type="dxa"/>
                  <w:vAlign w:val="center"/>
                </w:tcPr>
                <w:p w14:paraId="59EB1A82">
                  <w:pPr>
                    <w:jc w:val="center"/>
                    <w:rPr>
                      <w:rFonts w:cs="Times New Roman"/>
                      <w:kern w:val="0"/>
                      <w:sz w:val="21"/>
                      <w:szCs w:val="21"/>
                    </w:rPr>
                  </w:pPr>
                  <w:r>
                    <w:rPr>
                      <w:rFonts w:hint="eastAsia" w:cs="Times New Roman"/>
                      <w:kern w:val="0"/>
                      <w:sz w:val="21"/>
                      <w:szCs w:val="21"/>
                    </w:rPr>
                    <w:t>氧气乙炔切割机</w:t>
                  </w:r>
                </w:p>
              </w:tc>
              <w:tc>
                <w:tcPr>
                  <w:tcW w:w="1523" w:type="dxa"/>
                  <w:vAlign w:val="center"/>
                </w:tcPr>
                <w:p w14:paraId="2B64CC2A">
                  <w:pPr>
                    <w:jc w:val="center"/>
                    <w:rPr>
                      <w:rFonts w:cs="Times New Roman"/>
                      <w:kern w:val="0"/>
                      <w:sz w:val="21"/>
                      <w:szCs w:val="21"/>
                    </w:rPr>
                  </w:pPr>
                  <w:r>
                    <w:rPr>
                      <w:rFonts w:hint="eastAsia" w:cs="Times New Roman"/>
                      <w:kern w:val="0"/>
                      <w:sz w:val="21"/>
                      <w:szCs w:val="21"/>
                    </w:rPr>
                    <w:t>台</w:t>
                  </w:r>
                </w:p>
              </w:tc>
              <w:tc>
                <w:tcPr>
                  <w:tcW w:w="1523" w:type="dxa"/>
                  <w:vAlign w:val="center"/>
                </w:tcPr>
                <w:p w14:paraId="54F9200D">
                  <w:pPr>
                    <w:jc w:val="center"/>
                    <w:rPr>
                      <w:rFonts w:cs="Times New Roman"/>
                      <w:kern w:val="0"/>
                      <w:sz w:val="21"/>
                      <w:szCs w:val="21"/>
                    </w:rPr>
                  </w:pPr>
                  <w:r>
                    <w:rPr>
                      <w:rFonts w:hint="eastAsia" w:cs="Times New Roman"/>
                      <w:kern w:val="0"/>
                      <w:sz w:val="21"/>
                      <w:szCs w:val="21"/>
                    </w:rPr>
                    <w:t>2</w:t>
                  </w:r>
                </w:p>
              </w:tc>
              <w:tc>
                <w:tcPr>
                  <w:tcW w:w="1523" w:type="dxa"/>
                  <w:vAlign w:val="center"/>
                </w:tcPr>
                <w:p w14:paraId="744F86C9">
                  <w:pPr>
                    <w:jc w:val="center"/>
                    <w:rPr>
                      <w:rFonts w:cs="Times New Roman"/>
                      <w:kern w:val="0"/>
                      <w:sz w:val="21"/>
                      <w:szCs w:val="21"/>
                    </w:rPr>
                  </w:pPr>
                </w:p>
              </w:tc>
            </w:tr>
            <w:tr w14:paraId="5E62F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1" w:type="dxa"/>
                  <w:vAlign w:val="center"/>
                </w:tcPr>
                <w:p w14:paraId="5F0BDFAB">
                  <w:pPr>
                    <w:jc w:val="center"/>
                    <w:rPr>
                      <w:rFonts w:cs="Times New Roman"/>
                      <w:kern w:val="0"/>
                      <w:sz w:val="21"/>
                      <w:szCs w:val="21"/>
                    </w:rPr>
                  </w:pPr>
                  <w:r>
                    <w:rPr>
                      <w:rFonts w:hint="eastAsia" w:cs="Times New Roman"/>
                      <w:kern w:val="0"/>
                      <w:sz w:val="21"/>
                      <w:szCs w:val="21"/>
                    </w:rPr>
                    <w:t>11</w:t>
                  </w:r>
                </w:p>
              </w:tc>
              <w:tc>
                <w:tcPr>
                  <w:tcW w:w="2334" w:type="dxa"/>
                  <w:vAlign w:val="center"/>
                </w:tcPr>
                <w:p w14:paraId="65908161">
                  <w:pPr>
                    <w:jc w:val="center"/>
                    <w:rPr>
                      <w:rFonts w:cs="Times New Roman"/>
                      <w:kern w:val="0"/>
                      <w:sz w:val="21"/>
                      <w:szCs w:val="21"/>
                    </w:rPr>
                  </w:pPr>
                  <w:r>
                    <w:rPr>
                      <w:rFonts w:hint="eastAsia" w:cs="Times New Roman"/>
                      <w:kern w:val="0"/>
                      <w:sz w:val="21"/>
                      <w:szCs w:val="21"/>
                    </w:rPr>
                    <w:t>25t轮胎式起重机</w:t>
                  </w:r>
                </w:p>
              </w:tc>
              <w:tc>
                <w:tcPr>
                  <w:tcW w:w="1523" w:type="dxa"/>
                  <w:vAlign w:val="center"/>
                </w:tcPr>
                <w:p w14:paraId="73C05368">
                  <w:pPr>
                    <w:jc w:val="center"/>
                    <w:rPr>
                      <w:rFonts w:cs="Times New Roman"/>
                      <w:kern w:val="0"/>
                      <w:sz w:val="21"/>
                      <w:szCs w:val="21"/>
                    </w:rPr>
                  </w:pPr>
                  <w:r>
                    <w:rPr>
                      <w:rFonts w:hint="eastAsia" w:cs="Times New Roman"/>
                      <w:kern w:val="0"/>
                      <w:sz w:val="21"/>
                      <w:szCs w:val="21"/>
                    </w:rPr>
                    <w:t>台</w:t>
                  </w:r>
                </w:p>
              </w:tc>
              <w:tc>
                <w:tcPr>
                  <w:tcW w:w="1523" w:type="dxa"/>
                  <w:vAlign w:val="center"/>
                </w:tcPr>
                <w:p w14:paraId="344CAF93">
                  <w:pPr>
                    <w:jc w:val="center"/>
                    <w:rPr>
                      <w:rFonts w:cs="Times New Roman"/>
                      <w:kern w:val="0"/>
                      <w:sz w:val="21"/>
                      <w:szCs w:val="21"/>
                    </w:rPr>
                  </w:pPr>
                  <w:r>
                    <w:rPr>
                      <w:rFonts w:hint="eastAsia" w:cs="Times New Roman"/>
                      <w:kern w:val="0"/>
                      <w:sz w:val="21"/>
                      <w:szCs w:val="21"/>
                    </w:rPr>
                    <w:t>1</w:t>
                  </w:r>
                </w:p>
              </w:tc>
              <w:tc>
                <w:tcPr>
                  <w:tcW w:w="1523" w:type="dxa"/>
                  <w:vAlign w:val="center"/>
                </w:tcPr>
                <w:p w14:paraId="7CF8585D">
                  <w:pPr>
                    <w:jc w:val="center"/>
                    <w:rPr>
                      <w:rFonts w:cs="Times New Roman"/>
                      <w:kern w:val="0"/>
                      <w:sz w:val="21"/>
                      <w:szCs w:val="21"/>
                    </w:rPr>
                  </w:pPr>
                </w:p>
              </w:tc>
            </w:tr>
            <w:tr w14:paraId="51361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1" w:type="dxa"/>
                  <w:vAlign w:val="center"/>
                </w:tcPr>
                <w:p w14:paraId="14A9B861">
                  <w:pPr>
                    <w:jc w:val="center"/>
                    <w:rPr>
                      <w:rFonts w:cs="Times New Roman"/>
                      <w:kern w:val="0"/>
                      <w:sz w:val="21"/>
                      <w:szCs w:val="21"/>
                    </w:rPr>
                  </w:pPr>
                  <w:r>
                    <w:rPr>
                      <w:rFonts w:hint="eastAsia" w:cs="Times New Roman"/>
                      <w:kern w:val="0"/>
                      <w:sz w:val="21"/>
                      <w:szCs w:val="21"/>
                    </w:rPr>
                    <w:t>12</w:t>
                  </w:r>
                </w:p>
              </w:tc>
              <w:tc>
                <w:tcPr>
                  <w:tcW w:w="2334" w:type="dxa"/>
                  <w:vAlign w:val="center"/>
                </w:tcPr>
                <w:p w14:paraId="4E13251F">
                  <w:pPr>
                    <w:jc w:val="center"/>
                    <w:rPr>
                      <w:rFonts w:cs="Times New Roman"/>
                      <w:kern w:val="0"/>
                      <w:sz w:val="21"/>
                      <w:szCs w:val="21"/>
                    </w:rPr>
                  </w:pPr>
                  <w:r>
                    <w:rPr>
                      <w:rFonts w:hint="eastAsia" w:cs="Times New Roman"/>
                      <w:kern w:val="0"/>
                      <w:sz w:val="21"/>
                      <w:szCs w:val="21"/>
                    </w:rPr>
                    <w:t>自卸汽车</w:t>
                  </w:r>
                </w:p>
              </w:tc>
              <w:tc>
                <w:tcPr>
                  <w:tcW w:w="1523" w:type="dxa"/>
                  <w:vAlign w:val="center"/>
                </w:tcPr>
                <w:p w14:paraId="4F8405D4">
                  <w:pPr>
                    <w:jc w:val="center"/>
                    <w:rPr>
                      <w:rFonts w:cs="Times New Roman"/>
                      <w:kern w:val="0"/>
                      <w:sz w:val="21"/>
                      <w:szCs w:val="21"/>
                    </w:rPr>
                  </w:pPr>
                  <w:r>
                    <w:rPr>
                      <w:rFonts w:hint="eastAsia" w:cs="Times New Roman"/>
                      <w:kern w:val="0"/>
                      <w:sz w:val="21"/>
                      <w:szCs w:val="21"/>
                    </w:rPr>
                    <w:t>25t</w:t>
                  </w:r>
                </w:p>
              </w:tc>
              <w:tc>
                <w:tcPr>
                  <w:tcW w:w="1523" w:type="dxa"/>
                  <w:vAlign w:val="center"/>
                </w:tcPr>
                <w:p w14:paraId="16E0819E">
                  <w:pPr>
                    <w:jc w:val="center"/>
                    <w:rPr>
                      <w:rFonts w:cs="Times New Roman"/>
                      <w:kern w:val="0"/>
                      <w:sz w:val="21"/>
                      <w:szCs w:val="21"/>
                    </w:rPr>
                  </w:pPr>
                  <w:r>
                    <w:rPr>
                      <w:rFonts w:hint="eastAsia" w:cs="Times New Roman"/>
                      <w:kern w:val="0"/>
                      <w:sz w:val="21"/>
                      <w:szCs w:val="21"/>
                    </w:rPr>
                    <w:t>2</w:t>
                  </w:r>
                </w:p>
              </w:tc>
              <w:tc>
                <w:tcPr>
                  <w:tcW w:w="1523" w:type="dxa"/>
                  <w:vAlign w:val="center"/>
                </w:tcPr>
                <w:p w14:paraId="3DD93795">
                  <w:pPr>
                    <w:jc w:val="center"/>
                    <w:rPr>
                      <w:rFonts w:cs="Times New Roman"/>
                      <w:kern w:val="0"/>
                      <w:sz w:val="21"/>
                      <w:szCs w:val="21"/>
                    </w:rPr>
                  </w:pPr>
                  <w:r>
                    <w:rPr>
                      <w:rFonts w:hint="eastAsia" w:cs="Times New Roman"/>
                      <w:kern w:val="0"/>
                      <w:sz w:val="21"/>
                      <w:szCs w:val="21"/>
                    </w:rPr>
                    <w:t>租用</w:t>
                  </w:r>
                </w:p>
              </w:tc>
            </w:tr>
            <w:tr w14:paraId="25B5A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2319C2EF">
                  <w:pPr>
                    <w:jc w:val="center"/>
                    <w:rPr>
                      <w:rFonts w:cs="Times New Roman"/>
                      <w:kern w:val="0"/>
                      <w:sz w:val="21"/>
                      <w:szCs w:val="21"/>
                    </w:rPr>
                  </w:pPr>
                  <w:r>
                    <w:rPr>
                      <w:rFonts w:hint="eastAsia" w:cs="Times New Roman"/>
                      <w:kern w:val="0"/>
                      <w:sz w:val="21"/>
                      <w:szCs w:val="21"/>
                    </w:rPr>
                    <w:t>13</w:t>
                  </w:r>
                </w:p>
              </w:tc>
              <w:tc>
                <w:tcPr>
                  <w:tcW w:w="2334" w:type="dxa"/>
                  <w:vAlign w:val="center"/>
                </w:tcPr>
                <w:p w14:paraId="2E581FF2">
                  <w:pPr>
                    <w:jc w:val="center"/>
                    <w:rPr>
                      <w:rFonts w:cs="Times New Roman"/>
                      <w:kern w:val="0"/>
                      <w:sz w:val="21"/>
                      <w:szCs w:val="21"/>
                    </w:rPr>
                  </w:pPr>
                  <w:r>
                    <w:rPr>
                      <w:rFonts w:hint="eastAsia" w:cs="Times New Roman"/>
                      <w:kern w:val="0"/>
                      <w:sz w:val="21"/>
                      <w:szCs w:val="21"/>
                    </w:rPr>
                    <w:t>单斗装载机</w:t>
                  </w:r>
                </w:p>
              </w:tc>
              <w:tc>
                <w:tcPr>
                  <w:tcW w:w="1523" w:type="dxa"/>
                  <w:vAlign w:val="center"/>
                </w:tcPr>
                <w:p w14:paraId="05CE4795">
                  <w:pPr>
                    <w:jc w:val="center"/>
                    <w:rPr>
                      <w:rFonts w:cs="Times New Roman"/>
                      <w:kern w:val="0"/>
                      <w:sz w:val="21"/>
                      <w:szCs w:val="21"/>
                    </w:rPr>
                  </w:pPr>
                  <w:r>
                    <w:rPr>
                      <w:rFonts w:hint="eastAsia" w:cs="Times New Roman"/>
                      <w:kern w:val="0"/>
                      <w:sz w:val="21"/>
                      <w:szCs w:val="21"/>
                    </w:rPr>
                    <w:t>1.5t</w:t>
                  </w:r>
                </w:p>
              </w:tc>
              <w:tc>
                <w:tcPr>
                  <w:tcW w:w="1523" w:type="dxa"/>
                  <w:vAlign w:val="center"/>
                </w:tcPr>
                <w:p w14:paraId="559CC93D">
                  <w:pPr>
                    <w:jc w:val="center"/>
                    <w:rPr>
                      <w:rFonts w:cs="Times New Roman"/>
                      <w:kern w:val="0"/>
                      <w:sz w:val="21"/>
                      <w:szCs w:val="21"/>
                    </w:rPr>
                  </w:pPr>
                  <w:r>
                    <w:rPr>
                      <w:rFonts w:hint="eastAsia" w:cs="Times New Roman"/>
                      <w:kern w:val="0"/>
                      <w:sz w:val="21"/>
                      <w:szCs w:val="21"/>
                    </w:rPr>
                    <w:t>1</w:t>
                  </w:r>
                </w:p>
              </w:tc>
              <w:tc>
                <w:tcPr>
                  <w:tcW w:w="1523" w:type="dxa"/>
                  <w:vAlign w:val="center"/>
                </w:tcPr>
                <w:p w14:paraId="7AE10625">
                  <w:pPr>
                    <w:jc w:val="center"/>
                    <w:rPr>
                      <w:rFonts w:cs="Times New Roman"/>
                      <w:kern w:val="0"/>
                      <w:sz w:val="21"/>
                      <w:szCs w:val="21"/>
                    </w:rPr>
                  </w:pPr>
                  <w:r>
                    <w:rPr>
                      <w:rFonts w:hint="eastAsia" w:cs="Times New Roman"/>
                      <w:kern w:val="0"/>
                      <w:sz w:val="21"/>
                      <w:szCs w:val="21"/>
                    </w:rPr>
                    <w:t>租用</w:t>
                  </w:r>
                </w:p>
              </w:tc>
            </w:tr>
            <w:tr w14:paraId="2EE4C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4444748">
                  <w:pPr>
                    <w:jc w:val="center"/>
                    <w:rPr>
                      <w:rFonts w:cs="Times New Roman"/>
                      <w:kern w:val="0"/>
                      <w:sz w:val="21"/>
                      <w:szCs w:val="21"/>
                    </w:rPr>
                  </w:pPr>
                  <w:r>
                    <w:rPr>
                      <w:rFonts w:hint="eastAsia" w:cs="Times New Roman"/>
                      <w:kern w:val="0"/>
                      <w:sz w:val="21"/>
                      <w:szCs w:val="21"/>
                    </w:rPr>
                    <w:t>14</w:t>
                  </w:r>
                </w:p>
              </w:tc>
              <w:tc>
                <w:tcPr>
                  <w:tcW w:w="2334" w:type="dxa"/>
                  <w:vAlign w:val="center"/>
                </w:tcPr>
                <w:p w14:paraId="0A6F731F">
                  <w:pPr>
                    <w:jc w:val="center"/>
                    <w:rPr>
                      <w:rFonts w:cs="Times New Roman"/>
                      <w:kern w:val="0"/>
                      <w:sz w:val="21"/>
                      <w:szCs w:val="21"/>
                    </w:rPr>
                  </w:pPr>
                  <w:r>
                    <w:rPr>
                      <w:rFonts w:hint="eastAsia" w:cs="Times New Roman"/>
                      <w:kern w:val="0"/>
                      <w:sz w:val="21"/>
                      <w:szCs w:val="21"/>
                    </w:rPr>
                    <w:t>货车</w:t>
                  </w:r>
                </w:p>
              </w:tc>
              <w:tc>
                <w:tcPr>
                  <w:tcW w:w="1523" w:type="dxa"/>
                  <w:vAlign w:val="center"/>
                </w:tcPr>
                <w:p w14:paraId="70A01731">
                  <w:pPr>
                    <w:jc w:val="center"/>
                    <w:rPr>
                      <w:rFonts w:cs="Times New Roman"/>
                      <w:kern w:val="0"/>
                      <w:sz w:val="21"/>
                      <w:szCs w:val="21"/>
                    </w:rPr>
                  </w:pPr>
                  <w:r>
                    <w:rPr>
                      <w:rFonts w:hint="eastAsia" w:cs="Times New Roman"/>
                      <w:kern w:val="0"/>
                      <w:sz w:val="21"/>
                      <w:szCs w:val="21"/>
                    </w:rPr>
                    <w:t>10t</w:t>
                  </w:r>
                </w:p>
              </w:tc>
              <w:tc>
                <w:tcPr>
                  <w:tcW w:w="1523" w:type="dxa"/>
                  <w:vAlign w:val="center"/>
                </w:tcPr>
                <w:p w14:paraId="48A6B613">
                  <w:pPr>
                    <w:jc w:val="center"/>
                    <w:rPr>
                      <w:rFonts w:cs="Times New Roman"/>
                      <w:kern w:val="0"/>
                      <w:sz w:val="21"/>
                      <w:szCs w:val="21"/>
                    </w:rPr>
                  </w:pPr>
                  <w:r>
                    <w:rPr>
                      <w:rFonts w:hint="eastAsia" w:cs="Times New Roman"/>
                      <w:kern w:val="0"/>
                      <w:sz w:val="21"/>
                      <w:szCs w:val="21"/>
                    </w:rPr>
                    <w:t>1</w:t>
                  </w:r>
                </w:p>
              </w:tc>
              <w:tc>
                <w:tcPr>
                  <w:tcW w:w="1523" w:type="dxa"/>
                  <w:vAlign w:val="center"/>
                </w:tcPr>
                <w:p w14:paraId="3EA3D9BC">
                  <w:pPr>
                    <w:jc w:val="center"/>
                    <w:rPr>
                      <w:rFonts w:cs="Times New Roman"/>
                      <w:kern w:val="0"/>
                      <w:sz w:val="21"/>
                      <w:szCs w:val="21"/>
                    </w:rPr>
                  </w:pPr>
                  <w:r>
                    <w:rPr>
                      <w:rFonts w:hint="eastAsia" w:cs="Times New Roman"/>
                      <w:kern w:val="0"/>
                      <w:sz w:val="21"/>
                      <w:szCs w:val="21"/>
                    </w:rPr>
                    <w:t>租用</w:t>
                  </w:r>
                </w:p>
              </w:tc>
            </w:tr>
            <w:tr w14:paraId="0723F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A535AF0">
                  <w:pPr>
                    <w:jc w:val="center"/>
                    <w:rPr>
                      <w:rFonts w:cs="Times New Roman"/>
                      <w:kern w:val="0"/>
                      <w:sz w:val="21"/>
                      <w:szCs w:val="21"/>
                    </w:rPr>
                  </w:pPr>
                  <w:r>
                    <w:rPr>
                      <w:rFonts w:hint="eastAsia" w:cs="Times New Roman"/>
                      <w:kern w:val="0"/>
                      <w:sz w:val="21"/>
                      <w:szCs w:val="21"/>
                    </w:rPr>
                    <w:t>15</w:t>
                  </w:r>
                </w:p>
              </w:tc>
              <w:tc>
                <w:tcPr>
                  <w:tcW w:w="2334" w:type="dxa"/>
                  <w:vAlign w:val="center"/>
                </w:tcPr>
                <w:p w14:paraId="0AD457A6">
                  <w:pPr>
                    <w:jc w:val="center"/>
                    <w:rPr>
                      <w:rFonts w:cs="Times New Roman"/>
                      <w:kern w:val="0"/>
                      <w:sz w:val="21"/>
                      <w:szCs w:val="21"/>
                    </w:rPr>
                  </w:pPr>
                  <w:r>
                    <w:rPr>
                      <w:rFonts w:hint="eastAsia" w:cs="Times New Roman"/>
                      <w:kern w:val="0"/>
                      <w:sz w:val="21"/>
                      <w:szCs w:val="21"/>
                    </w:rPr>
                    <w:t>叉车</w:t>
                  </w:r>
                </w:p>
              </w:tc>
              <w:tc>
                <w:tcPr>
                  <w:tcW w:w="1523" w:type="dxa"/>
                  <w:vAlign w:val="center"/>
                </w:tcPr>
                <w:p w14:paraId="0F332019">
                  <w:pPr>
                    <w:jc w:val="center"/>
                    <w:rPr>
                      <w:rFonts w:cs="Times New Roman"/>
                      <w:kern w:val="0"/>
                      <w:sz w:val="21"/>
                      <w:szCs w:val="21"/>
                    </w:rPr>
                  </w:pPr>
                  <w:r>
                    <w:rPr>
                      <w:rFonts w:hint="eastAsia" w:cs="Times New Roman"/>
                      <w:kern w:val="0"/>
                      <w:sz w:val="21"/>
                      <w:szCs w:val="21"/>
                    </w:rPr>
                    <w:t>2t</w:t>
                  </w:r>
                </w:p>
              </w:tc>
              <w:tc>
                <w:tcPr>
                  <w:tcW w:w="1523" w:type="dxa"/>
                  <w:vAlign w:val="center"/>
                </w:tcPr>
                <w:p w14:paraId="376319AD">
                  <w:pPr>
                    <w:jc w:val="center"/>
                    <w:rPr>
                      <w:rFonts w:cs="Times New Roman"/>
                      <w:kern w:val="0"/>
                      <w:sz w:val="21"/>
                      <w:szCs w:val="21"/>
                    </w:rPr>
                  </w:pPr>
                  <w:r>
                    <w:rPr>
                      <w:rFonts w:hint="eastAsia" w:cs="Times New Roman"/>
                      <w:kern w:val="0"/>
                      <w:sz w:val="21"/>
                      <w:szCs w:val="21"/>
                    </w:rPr>
                    <w:t>1</w:t>
                  </w:r>
                </w:p>
              </w:tc>
              <w:tc>
                <w:tcPr>
                  <w:tcW w:w="1523" w:type="dxa"/>
                  <w:vAlign w:val="center"/>
                </w:tcPr>
                <w:p w14:paraId="6FDCDD55">
                  <w:pPr>
                    <w:jc w:val="center"/>
                    <w:rPr>
                      <w:rFonts w:cs="Times New Roman"/>
                      <w:kern w:val="0"/>
                      <w:sz w:val="21"/>
                      <w:szCs w:val="21"/>
                    </w:rPr>
                  </w:pPr>
                </w:p>
              </w:tc>
            </w:tr>
            <w:tr w14:paraId="2A325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0ACB13A9">
                  <w:pPr>
                    <w:jc w:val="center"/>
                    <w:rPr>
                      <w:rFonts w:cs="Times New Roman"/>
                      <w:kern w:val="0"/>
                      <w:sz w:val="21"/>
                      <w:szCs w:val="21"/>
                    </w:rPr>
                  </w:pPr>
                  <w:r>
                    <w:rPr>
                      <w:rFonts w:hint="eastAsia" w:cs="Times New Roman"/>
                      <w:kern w:val="0"/>
                      <w:sz w:val="21"/>
                      <w:szCs w:val="21"/>
                    </w:rPr>
                    <w:t>16</w:t>
                  </w:r>
                </w:p>
              </w:tc>
              <w:tc>
                <w:tcPr>
                  <w:tcW w:w="2334" w:type="dxa"/>
                  <w:vAlign w:val="center"/>
                </w:tcPr>
                <w:p w14:paraId="2BBDEA80">
                  <w:pPr>
                    <w:jc w:val="center"/>
                    <w:rPr>
                      <w:rFonts w:cs="Times New Roman"/>
                      <w:kern w:val="0"/>
                      <w:sz w:val="21"/>
                      <w:szCs w:val="21"/>
                    </w:rPr>
                  </w:pPr>
                  <w:r>
                    <w:rPr>
                      <w:rFonts w:hint="eastAsia" w:cs="Times New Roman"/>
                      <w:kern w:val="0"/>
                      <w:sz w:val="21"/>
                      <w:szCs w:val="21"/>
                    </w:rPr>
                    <w:t>履带机</w:t>
                  </w:r>
                </w:p>
              </w:tc>
              <w:tc>
                <w:tcPr>
                  <w:tcW w:w="1523" w:type="dxa"/>
                  <w:vAlign w:val="center"/>
                </w:tcPr>
                <w:p w14:paraId="2FD9FB81">
                  <w:pPr>
                    <w:jc w:val="center"/>
                    <w:rPr>
                      <w:rFonts w:cs="Times New Roman"/>
                      <w:kern w:val="0"/>
                      <w:sz w:val="21"/>
                      <w:szCs w:val="21"/>
                    </w:rPr>
                  </w:pPr>
                  <w:r>
                    <w:rPr>
                      <w:rFonts w:hint="eastAsia" w:cs="Times New Roman"/>
                      <w:kern w:val="0"/>
                      <w:sz w:val="21"/>
                      <w:szCs w:val="21"/>
                    </w:rPr>
                    <w:t>130t</w:t>
                  </w:r>
                </w:p>
              </w:tc>
              <w:tc>
                <w:tcPr>
                  <w:tcW w:w="1523" w:type="dxa"/>
                  <w:vAlign w:val="center"/>
                </w:tcPr>
                <w:p w14:paraId="589256E2">
                  <w:pPr>
                    <w:jc w:val="center"/>
                    <w:rPr>
                      <w:rFonts w:cs="Times New Roman"/>
                      <w:kern w:val="0"/>
                      <w:sz w:val="21"/>
                      <w:szCs w:val="21"/>
                    </w:rPr>
                  </w:pPr>
                  <w:r>
                    <w:rPr>
                      <w:rFonts w:hint="eastAsia" w:cs="Times New Roman"/>
                      <w:kern w:val="0"/>
                      <w:sz w:val="21"/>
                      <w:szCs w:val="21"/>
                    </w:rPr>
                    <w:t>2</w:t>
                  </w:r>
                </w:p>
              </w:tc>
              <w:tc>
                <w:tcPr>
                  <w:tcW w:w="1523" w:type="dxa"/>
                  <w:vAlign w:val="center"/>
                </w:tcPr>
                <w:p w14:paraId="011BFFD6">
                  <w:pPr>
                    <w:jc w:val="center"/>
                    <w:rPr>
                      <w:rFonts w:cs="Times New Roman"/>
                      <w:kern w:val="0"/>
                      <w:sz w:val="21"/>
                      <w:szCs w:val="21"/>
                    </w:rPr>
                  </w:pPr>
                  <w:r>
                    <w:rPr>
                      <w:rFonts w:hint="eastAsia" w:cs="Times New Roman"/>
                      <w:kern w:val="0"/>
                      <w:sz w:val="21"/>
                      <w:szCs w:val="21"/>
                    </w:rPr>
                    <w:t>租用</w:t>
                  </w:r>
                </w:p>
              </w:tc>
            </w:tr>
          </w:tbl>
          <w:p w14:paraId="47B46250">
            <w:pPr>
              <w:spacing w:line="360" w:lineRule="auto"/>
              <w:ind w:firstLine="480" w:firstLineChars="200"/>
            </w:pPr>
          </w:p>
          <w:p w14:paraId="417AA3AE">
            <w:pPr>
              <w:spacing w:line="360" w:lineRule="auto"/>
              <w:ind w:firstLine="482" w:firstLineChars="200"/>
              <w:rPr>
                <w:b/>
                <w:bCs/>
                <w:u w:val="single"/>
              </w:rPr>
            </w:pPr>
            <w:r>
              <w:rPr>
                <w:rFonts w:hint="eastAsia"/>
                <w:b/>
                <w:bCs/>
                <w:u w:val="single"/>
              </w:rPr>
              <w:t>9、运行方案</w:t>
            </w:r>
          </w:p>
          <w:p w14:paraId="4F0203E7">
            <w:pPr>
              <w:spacing w:line="360" w:lineRule="auto"/>
              <w:ind w:firstLine="482" w:firstLineChars="200"/>
              <w:rPr>
                <w:b/>
                <w:bCs/>
                <w:u w:val="single"/>
              </w:rPr>
            </w:pPr>
            <w:r>
              <w:rPr>
                <w:rFonts w:hint="eastAsia"/>
                <w:b/>
                <w:bCs/>
                <w:u w:val="single"/>
              </w:rPr>
              <w:t>本项目运营期作为工作船码头，仅负责来往工作船只的停靠及上岸、物料装卸及暂存、船只暂存，不涉及航道维护疏浚等工作内容。航道维护疏浚工程需依照淤积定期测量的结果而确定工作内容及实施频次，航道疏浚工程需单独进行立项及施工设计；根据建设单位提供的材料，吉林省航道管理局临江分局日常工作期间，工作船只预计每月运行3次，每次2天，全年4—10月运行，运行船只以快艇为主，约32d/a，测量船等其余工作船运行天数约10d/a。</w:t>
            </w:r>
          </w:p>
          <w:p w14:paraId="3AA93771">
            <w:pPr>
              <w:spacing w:line="360" w:lineRule="auto"/>
              <w:ind w:firstLine="480" w:firstLineChars="200"/>
            </w:pPr>
            <w:r>
              <w:rPr>
                <w:rFonts w:hint="eastAsia"/>
              </w:rPr>
              <w:t>10、生产工艺</w:t>
            </w:r>
          </w:p>
          <w:p w14:paraId="5E2C821A">
            <w:pPr>
              <w:spacing w:line="360" w:lineRule="auto"/>
              <w:ind w:firstLine="482" w:firstLineChars="200"/>
              <w:rPr>
                <w:b/>
                <w:bCs/>
                <w:u w:val="single"/>
              </w:rPr>
            </w:pPr>
            <w:r>
              <w:rPr>
                <w:rFonts w:hint="eastAsia"/>
                <w:b/>
                <w:bCs/>
                <w:u w:val="single"/>
              </w:rPr>
              <w:t>本项目运营期工作内容包括：工作船舶的冬季暂存、鸭绿江航道维护疏浚物的临时暂存、航标的暂存以及简单维修。</w:t>
            </w:r>
          </w:p>
          <w:p w14:paraId="704BCAE9">
            <w:pPr>
              <w:spacing w:line="360" w:lineRule="auto"/>
              <w:ind w:firstLine="480" w:firstLineChars="200"/>
            </w:pPr>
            <w:r>
              <w:rPr>
                <w:rFonts w:hint="eastAsia"/>
              </w:rPr>
              <w:t>本工程运营期作业区码头用于航道维护疏浚物及航标装卸作业。</w:t>
            </w:r>
          </w:p>
          <w:p w14:paraId="676F84C1">
            <w:pPr>
              <w:spacing w:line="360" w:lineRule="auto"/>
              <w:ind w:firstLine="480" w:firstLineChars="200"/>
            </w:pPr>
            <w:r>
              <w:rPr>
                <w:rFonts w:hint="eastAsia"/>
              </w:rPr>
              <w:t>（1）大型船舶上下水工艺</w:t>
            </w:r>
          </w:p>
          <w:p w14:paraId="1DAD7003">
            <w:pPr>
              <w:spacing w:line="360" w:lineRule="auto"/>
              <w:ind w:firstLine="480" w:firstLineChars="200"/>
            </w:pPr>
            <w:r>
              <w:rPr>
                <w:rFonts w:hint="eastAsia"/>
              </w:rPr>
              <w:t>船舶上排工艺：气囊上排通常需要借助水位变化，在高水位时，让船舶尽可能地靠近岸边，在低水位时再接近搁浅船首位置，开始放入气囊，并充气顶起船艏。然后利用卷扬机拉船向前移动，随着船体移动，底部可以插入更多气囊。重复以上步骤，最终气囊托起整个船身，在卷扬机拉动下把船拉上岸。船上岸后，到达预定位置，摆放好支撑墩，然后气囊放气，船体落到支撑墩上，工作结束。</w:t>
            </w:r>
          </w:p>
          <w:p w14:paraId="71DF0F25">
            <w:pPr>
              <w:spacing w:line="360" w:lineRule="auto"/>
              <w:ind w:firstLine="480" w:firstLineChars="200"/>
            </w:pPr>
            <w:r>
              <w:rPr>
                <w:rFonts w:hint="eastAsia"/>
              </w:rPr>
              <w:t>船舶下水工艺：船舶下水时，在船体底部放入起重气囊进行抬升，到达预定位置后，依次拆出支墩；同时按次序和间距放入滚动气囊，等滚动气囊全部充气完毕，撤出起重气囊。启动牵引绞车，缓慢放出钢丝绳，船体借助滚动气囊开始移动。当艏部最后一只气囊脱离船底后，立即抬到尾部，并按气囊排放间距置入气囊。如此重复上述过程，逐渐移至水边。此时，船舶依靠自身重力滑移下水，直至下水完成，收回气囊。</w:t>
            </w:r>
          </w:p>
          <w:p w14:paraId="75FF5109">
            <w:pPr>
              <w:spacing w:line="360" w:lineRule="auto"/>
              <w:ind w:firstLine="480" w:firstLineChars="200"/>
            </w:pPr>
            <w:r>
              <w:rPr>
                <w:rFonts w:hint="eastAsia"/>
              </w:rPr>
              <w:t>船舶下水工艺缆绳走向：10t 单滚筒绞车→定滑轮A→定滑轮B→动滑轮A（连接船舶）→地牛。</w:t>
            </w:r>
          </w:p>
          <w:p w14:paraId="24F31361">
            <w:pPr>
              <w:spacing w:line="360" w:lineRule="auto"/>
              <w:ind w:firstLine="480" w:firstLineChars="200"/>
            </w:pPr>
            <w:r>
              <w:rPr>
                <w:rFonts w:hint="eastAsia"/>
              </w:rPr>
              <w:t>（2）小型船舶上、下水工艺</w:t>
            </w:r>
          </w:p>
          <w:p w14:paraId="26E991B8">
            <w:pPr>
              <w:spacing w:line="360" w:lineRule="auto"/>
              <w:ind w:firstLine="480" w:firstLineChars="200"/>
            </w:pPr>
            <w:r>
              <w:rPr>
                <w:rFonts w:hint="eastAsia"/>
              </w:rPr>
              <w:t>20m以下小型船艇可直接使用船艇托架车上岸。上岸时托架车经坡道下水，船艇驶入托架车凹槽后，通过缆绳固定在托架车上，经坡道拉至岸上；上岸后由小型汽车拖带至固定位置存放。</w:t>
            </w:r>
          </w:p>
          <w:p w14:paraId="4F75CE1D">
            <w:pPr>
              <w:spacing w:line="360" w:lineRule="auto"/>
              <w:ind w:firstLine="482" w:firstLineChars="200"/>
              <w:rPr>
                <w:b/>
                <w:bCs/>
                <w:u w:val="single"/>
              </w:rPr>
            </w:pPr>
            <w:r>
              <w:rPr>
                <w:rFonts w:hint="eastAsia"/>
                <w:b/>
                <w:bCs/>
                <w:u w:val="single"/>
              </w:rPr>
              <w:t>船舶养护工艺：船舶冬季上岸后仅进行船体冲洗等简单养护，并在本项目船艇冬季存放区暂存，如需进行船体检修等工作，则依托专业修船厂，不在本项目场内进行。</w:t>
            </w:r>
          </w:p>
          <w:p w14:paraId="6E410550">
            <w:pPr>
              <w:spacing w:line="360" w:lineRule="auto"/>
              <w:ind w:firstLine="482" w:firstLineChars="200"/>
            </w:pPr>
            <w:r>
              <w:rPr>
                <w:rFonts w:hint="eastAsia"/>
                <w:b/>
                <w:bCs/>
                <w:u w:val="single"/>
              </w:rPr>
              <w:t>船舶上、下水过程中将产生一定量的机械噪声，船舶上岸后的养护工序将产生少量冲洗水，船舶冬季暂存过程中不涉及污染环节。</w:t>
            </w:r>
          </w:p>
          <w:p w14:paraId="58391F26">
            <w:pPr>
              <w:spacing w:line="360" w:lineRule="auto"/>
              <w:ind w:firstLine="480" w:firstLineChars="200"/>
            </w:pPr>
            <w:r>
              <w:rPr>
                <w:rFonts w:hint="eastAsia"/>
              </w:rPr>
              <w:t>（3）疏浚物装卸工艺</w:t>
            </w:r>
          </w:p>
          <w:p w14:paraId="229F240B">
            <w:pPr>
              <w:spacing w:line="360" w:lineRule="auto"/>
              <w:ind w:firstLine="480" w:firstLineChars="200"/>
            </w:pPr>
            <w:r>
              <w:rPr>
                <w:rFonts w:hint="eastAsia"/>
              </w:rPr>
              <w:t>吉林省航道管理局需对管辖段航道局部河段进行维护性炸礁和疏浚（此部分工作内容不包括在本项目范围内），部分疏浚砂石需经码头临时堆存后外运至指定地点，汛期前及时转运。</w:t>
            </w:r>
            <w:r>
              <w:rPr>
                <w:rFonts w:hint="eastAsia"/>
                <w:b/>
                <w:bCs/>
                <w:u w:val="single"/>
              </w:rPr>
              <w:t>疏浚物在码头前沿作业区进行装卸，在材料堆放区进行暂存。</w:t>
            </w:r>
          </w:p>
          <w:p w14:paraId="1E20126F">
            <w:pPr>
              <w:spacing w:line="360" w:lineRule="auto"/>
              <w:ind w:firstLine="480" w:firstLineChars="200"/>
            </w:pPr>
            <w:r>
              <w:rPr>
                <w:rFonts w:hint="eastAsia"/>
              </w:rPr>
              <w:t>自航驳船疏浚物卸船工艺流程为：船—→轮胎式起重机—→自卸汽车—→堆场—→单斗装载机—→自卸汽车—→指定地点。</w:t>
            </w:r>
          </w:p>
          <w:p w14:paraId="2235909E">
            <w:pPr>
              <w:spacing w:line="360" w:lineRule="auto"/>
              <w:ind w:firstLine="480" w:firstLineChars="200"/>
            </w:pPr>
            <w:r>
              <w:rPr>
                <w:rFonts w:hint="eastAsia"/>
              </w:rPr>
              <w:t>自卸砂船疏浚物卸船工艺流程为：自卸砂船—→临时卸料区—→单斗装载机—→自卸汽车—→堆场。</w:t>
            </w:r>
          </w:p>
          <w:p w14:paraId="6C796549">
            <w:pPr>
              <w:spacing w:line="360" w:lineRule="auto"/>
              <w:ind w:firstLine="482" w:firstLineChars="200"/>
              <w:rPr>
                <w:b/>
                <w:bCs/>
                <w:u w:val="single"/>
              </w:rPr>
            </w:pPr>
            <w:r>
              <w:rPr>
                <w:rFonts w:hint="eastAsia"/>
                <w:b/>
                <w:bCs/>
                <w:u w:val="single"/>
              </w:rPr>
              <w:t>本项目疏浚物装卸工序过程中将产生一定的机械噪声及装卸废物，疏浚物暂存过程中产生少量扬尘。结合本项目所在河段的工程地质情况，疏浚物主要为卵石，由于疏浚物粒径较大，持水力较差，故其经简单沥水后含水率较低，故其在本项目材料堆放区内暂存时基本不涉及废水污染环节。</w:t>
            </w:r>
          </w:p>
          <w:p w14:paraId="35C10A83">
            <w:pPr>
              <w:spacing w:line="360" w:lineRule="auto"/>
              <w:ind w:firstLine="480" w:firstLineChars="200"/>
            </w:pPr>
            <w:r>
              <w:rPr>
                <w:rFonts w:hint="eastAsia"/>
              </w:rPr>
              <w:t>（4）航标等设备装卸工艺</w:t>
            </w:r>
          </w:p>
          <w:p w14:paraId="54B0B0ED">
            <w:pPr>
              <w:spacing w:line="360" w:lineRule="auto"/>
              <w:ind w:firstLine="480" w:firstLineChars="200"/>
            </w:pPr>
            <w:r>
              <w:rPr>
                <w:rFonts w:hint="eastAsia"/>
              </w:rPr>
              <w:t>鸭绿江流域（临江段）渔业资源调查报告</w:t>
            </w:r>
          </w:p>
          <w:p w14:paraId="0F414643">
            <w:pPr>
              <w:spacing w:line="360" w:lineRule="auto"/>
              <w:ind w:firstLine="480" w:firstLineChars="200"/>
            </w:pPr>
            <w:r>
              <w:rPr>
                <w:rFonts w:hint="eastAsia"/>
              </w:rPr>
              <w:t>卸船工艺流程为：船—→轮胎式起重机—→叉车—→堆场</w:t>
            </w:r>
          </w:p>
          <w:p w14:paraId="76895D5B">
            <w:pPr>
              <w:spacing w:line="360" w:lineRule="auto"/>
              <w:ind w:firstLine="480" w:firstLineChars="200"/>
            </w:pPr>
            <w:r>
              <w:rPr>
                <w:rFonts w:hint="eastAsia"/>
              </w:rPr>
              <w:t>装船工艺流程为：堆场—→叉车—→轮胎式起重机—→船。</w:t>
            </w:r>
          </w:p>
          <w:p w14:paraId="1365D04C">
            <w:pPr>
              <w:spacing w:line="360" w:lineRule="auto"/>
              <w:ind w:firstLine="482" w:firstLineChars="200"/>
              <w:rPr>
                <w:b/>
                <w:bCs/>
                <w:u w:val="single"/>
              </w:rPr>
            </w:pPr>
            <w:r>
              <w:rPr>
                <w:rFonts w:hint="eastAsia"/>
                <w:b/>
                <w:bCs/>
                <w:u w:val="single"/>
              </w:rPr>
              <w:t>本项目航标等设备装卸工序过程中将产生一定量的机械噪声。</w:t>
            </w:r>
          </w:p>
          <w:p w14:paraId="439DF6D7">
            <w:pPr>
              <w:spacing w:line="360" w:lineRule="auto"/>
              <w:ind w:firstLine="480" w:firstLineChars="200"/>
            </w:pPr>
            <w:r>
              <w:rPr>
                <w:rFonts w:hint="eastAsia"/>
              </w:rPr>
              <w:t>（5）航标维修工艺</w:t>
            </w:r>
          </w:p>
          <w:p w14:paraId="48EC73A9">
            <w:pPr>
              <w:spacing w:line="360" w:lineRule="auto"/>
              <w:ind w:firstLine="480" w:firstLineChars="200"/>
            </w:pPr>
            <w:r>
              <w:rPr>
                <w:rFonts w:hint="eastAsia"/>
              </w:rPr>
              <w:t>吉林省航道管理局临江市分局现有浮标均为塑料材质，不涉及修补、维修工序，故运营期仅针对钢质岸标进行维修，航标维修工艺包括：对需要进行维修的部分进行简单的切割、焊接等。</w:t>
            </w:r>
          </w:p>
          <w:p w14:paraId="79C1F80C">
            <w:pPr>
              <w:spacing w:line="360" w:lineRule="auto"/>
              <w:ind w:firstLine="482" w:firstLineChars="200"/>
              <w:rPr>
                <w:b/>
                <w:bCs/>
                <w:u w:val="single"/>
              </w:rPr>
            </w:pPr>
            <w:r>
              <w:rPr>
                <w:rFonts w:hint="eastAsia"/>
                <w:b/>
                <w:bCs/>
                <w:u w:val="single"/>
              </w:rPr>
              <w:t>本项目航标维修工序过程中将产生少量的维修废气（焊接烟尘、切割废气，主要污染物为颗粒物）、维修固废（废金属材料）。</w:t>
            </w:r>
          </w:p>
          <w:p w14:paraId="44067448">
            <w:pPr>
              <w:spacing w:line="360" w:lineRule="auto"/>
              <w:ind w:firstLine="480" w:firstLineChars="200"/>
            </w:pPr>
            <w:r>
              <w:rPr>
                <w:rFonts w:hint="eastAsia"/>
              </w:rPr>
              <w:t>11、公用工程</w:t>
            </w:r>
          </w:p>
          <w:p w14:paraId="0979D9D2">
            <w:pPr>
              <w:spacing w:line="360" w:lineRule="auto"/>
              <w:ind w:firstLine="480" w:firstLineChars="200"/>
            </w:pPr>
            <w:r>
              <w:rPr>
                <w:rFonts w:hint="eastAsia"/>
              </w:rPr>
              <w:t>（1）给水工程</w:t>
            </w:r>
          </w:p>
          <w:p w14:paraId="5486BBBD">
            <w:pPr>
              <w:spacing w:line="360" w:lineRule="auto"/>
              <w:ind w:firstLine="480" w:firstLineChars="200"/>
            </w:pPr>
            <w:r>
              <w:rPr>
                <w:rFonts w:hint="eastAsia"/>
              </w:rPr>
              <w:t>根据本工程初步设计说明，本工程用水主要为生活给水、船舶上水、船舶冲洗用水、绿化及道路喷洒用水和消防用水，</w:t>
            </w:r>
            <w:r>
              <w:rPr>
                <w:rFonts w:hint="eastAsia"/>
                <w:b/>
                <w:bCs/>
                <w:u w:val="single"/>
              </w:rPr>
              <w:t>本项目为工作船码头，运营期疏浚物暂存后对临时存放区进行人工清扫，不涉及码头冲洗，故无码头冲洗用水量</w:t>
            </w:r>
            <w:r>
              <w:rPr>
                <w:rFonts w:hint="eastAsia"/>
              </w:rPr>
              <w:t>。水源由市政给水管网直接供给，单路供水，管网呈枝状布置，主干管管径为DN150，接管点水压力不小于0.25MPa，接管点位于本工程分界线。</w:t>
            </w:r>
          </w:p>
          <w:p w14:paraId="70860E65">
            <w:pPr>
              <w:spacing w:line="360" w:lineRule="auto"/>
              <w:ind w:firstLine="482" w:firstLineChars="200"/>
              <w:rPr>
                <w:b/>
                <w:bCs/>
                <w:u w:val="single"/>
              </w:rPr>
            </w:pPr>
            <w:r>
              <w:rPr>
                <w:rFonts w:hint="eastAsia"/>
                <w:b/>
                <w:bCs/>
                <w:u w:val="single"/>
              </w:rPr>
              <w:t>本工程设计用水量按生活用水量、船舶用水量、船舶冲洗水量、环保用水量、未预见用水量和消防用水量确定，本工程设计最高日用水情况如下表所示：</w:t>
            </w:r>
          </w:p>
          <w:p w14:paraId="6144A664">
            <w:pPr>
              <w:spacing w:line="360" w:lineRule="auto"/>
              <w:ind w:firstLine="480" w:firstLineChars="200"/>
            </w:pPr>
          </w:p>
          <w:p w14:paraId="2B51CE99">
            <w:pPr>
              <w:spacing w:line="360" w:lineRule="auto"/>
              <w:jc w:val="center"/>
              <w:rPr>
                <w:b/>
                <w:bCs/>
                <w:u w:val="single"/>
              </w:rPr>
            </w:pPr>
            <w:r>
              <w:rPr>
                <w:rFonts w:hint="eastAsia"/>
                <w:b/>
                <w:bCs/>
                <w:u w:val="single"/>
              </w:rPr>
              <w:t>表19     本项目港区各项用水量统计一览表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559"/>
              <w:gridCol w:w="1488"/>
              <w:gridCol w:w="1489"/>
              <w:gridCol w:w="2653"/>
            </w:tblGrid>
            <w:tr w14:paraId="2886F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473DCB67">
                  <w:pPr>
                    <w:jc w:val="center"/>
                    <w:rPr>
                      <w:rFonts w:cs="Times New Roman"/>
                      <w:b/>
                      <w:bCs/>
                      <w:kern w:val="0"/>
                      <w:sz w:val="21"/>
                      <w:szCs w:val="21"/>
                    </w:rPr>
                  </w:pPr>
                  <w:r>
                    <w:rPr>
                      <w:rFonts w:hint="eastAsia" w:cs="Times New Roman"/>
                      <w:b/>
                      <w:bCs/>
                      <w:kern w:val="0"/>
                      <w:sz w:val="21"/>
                      <w:szCs w:val="21"/>
                    </w:rPr>
                    <w:t>序号</w:t>
                  </w:r>
                </w:p>
              </w:tc>
              <w:tc>
                <w:tcPr>
                  <w:tcW w:w="1559" w:type="dxa"/>
                  <w:vAlign w:val="center"/>
                </w:tcPr>
                <w:p w14:paraId="28B10D47">
                  <w:pPr>
                    <w:jc w:val="center"/>
                    <w:rPr>
                      <w:rFonts w:cs="Times New Roman"/>
                      <w:b/>
                      <w:bCs/>
                      <w:kern w:val="0"/>
                      <w:sz w:val="21"/>
                      <w:szCs w:val="21"/>
                    </w:rPr>
                  </w:pPr>
                  <w:r>
                    <w:rPr>
                      <w:rFonts w:hint="eastAsia" w:cs="Times New Roman"/>
                      <w:b/>
                      <w:bCs/>
                      <w:kern w:val="0"/>
                      <w:sz w:val="21"/>
                      <w:szCs w:val="21"/>
                    </w:rPr>
                    <w:t>项目</w:t>
                  </w:r>
                </w:p>
              </w:tc>
              <w:tc>
                <w:tcPr>
                  <w:tcW w:w="1488" w:type="dxa"/>
                  <w:vAlign w:val="center"/>
                </w:tcPr>
                <w:p w14:paraId="4A90C2B3">
                  <w:pPr>
                    <w:jc w:val="center"/>
                    <w:rPr>
                      <w:rFonts w:cs="Times New Roman"/>
                      <w:b/>
                      <w:bCs/>
                      <w:kern w:val="0"/>
                      <w:sz w:val="21"/>
                      <w:szCs w:val="21"/>
                    </w:rPr>
                  </w:pPr>
                  <w:r>
                    <w:rPr>
                      <w:rFonts w:hint="eastAsia" w:cs="Times New Roman"/>
                      <w:b/>
                      <w:bCs/>
                      <w:kern w:val="0"/>
                      <w:sz w:val="21"/>
                      <w:szCs w:val="21"/>
                    </w:rPr>
                    <w:t>最高日用水量</w:t>
                  </w:r>
                </w:p>
                <w:p w14:paraId="2B5734FC">
                  <w:pPr>
                    <w:jc w:val="center"/>
                    <w:rPr>
                      <w:rFonts w:cs="Times New Roman"/>
                      <w:b/>
                      <w:bCs/>
                      <w:kern w:val="0"/>
                      <w:sz w:val="21"/>
                      <w:szCs w:val="21"/>
                    </w:rPr>
                  </w:pPr>
                  <w:r>
                    <w:rPr>
                      <w:rFonts w:hint="eastAsia" w:cs="Times New Roman"/>
                      <w:b/>
                      <w:bCs/>
                      <w:kern w:val="0"/>
                      <w:sz w:val="21"/>
                      <w:szCs w:val="21"/>
                    </w:rPr>
                    <w:t>m³/d</w:t>
                  </w:r>
                </w:p>
              </w:tc>
              <w:tc>
                <w:tcPr>
                  <w:tcW w:w="1489" w:type="dxa"/>
                  <w:vAlign w:val="center"/>
                </w:tcPr>
                <w:p w14:paraId="68BA9255">
                  <w:pPr>
                    <w:jc w:val="center"/>
                    <w:rPr>
                      <w:rFonts w:cs="Times New Roman"/>
                      <w:b/>
                      <w:bCs/>
                      <w:kern w:val="0"/>
                      <w:sz w:val="21"/>
                      <w:szCs w:val="21"/>
                    </w:rPr>
                  </w:pPr>
                  <w:r>
                    <w:rPr>
                      <w:rFonts w:hint="eastAsia" w:cs="Times New Roman"/>
                      <w:b/>
                      <w:bCs/>
                      <w:kern w:val="0"/>
                      <w:sz w:val="21"/>
                      <w:szCs w:val="21"/>
                    </w:rPr>
                    <w:t>最高时用水量</w:t>
                  </w:r>
                </w:p>
                <w:p w14:paraId="4B98795E">
                  <w:pPr>
                    <w:jc w:val="center"/>
                    <w:rPr>
                      <w:rFonts w:cs="Times New Roman"/>
                      <w:b/>
                      <w:bCs/>
                      <w:kern w:val="0"/>
                      <w:sz w:val="21"/>
                      <w:szCs w:val="21"/>
                    </w:rPr>
                  </w:pPr>
                  <w:r>
                    <w:rPr>
                      <w:rFonts w:hint="eastAsia" w:cs="Times New Roman"/>
                      <w:b/>
                      <w:bCs/>
                      <w:kern w:val="0"/>
                      <w:sz w:val="21"/>
                      <w:szCs w:val="21"/>
                    </w:rPr>
                    <w:t>m³/h</w:t>
                  </w:r>
                </w:p>
              </w:tc>
              <w:tc>
                <w:tcPr>
                  <w:tcW w:w="2653" w:type="dxa"/>
                  <w:vAlign w:val="center"/>
                </w:tcPr>
                <w:p w14:paraId="3374F27A">
                  <w:pPr>
                    <w:jc w:val="center"/>
                    <w:rPr>
                      <w:rFonts w:cs="Times New Roman"/>
                      <w:b/>
                      <w:bCs/>
                      <w:kern w:val="0"/>
                      <w:sz w:val="21"/>
                      <w:szCs w:val="21"/>
                    </w:rPr>
                  </w:pPr>
                  <w:r>
                    <w:rPr>
                      <w:rFonts w:hint="eastAsia" w:cs="Times New Roman"/>
                      <w:b/>
                      <w:bCs/>
                      <w:kern w:val="0"/>
                      <w:sz w:val="21"/>
                      <w:szCs w:val="21"/>
                    </w:rPr>
                    <w:t>备注</w:t>
                  </w:r>
                </w:p>
              </w:tc>
            </w:tr>
            <w:tr w14:paraId="6FB69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5CF094D6">
                  <w:pPr>
                    <w:jc w:val="center"/>
                    <w:rPr>
                      <w:rFonts w:cs="Times New Roman"/>
                      <w:kern w:val="0"/>
                      <w:sz w:val="21"/>
                      <w:szCs w:val="21"/>
                    </w:rPr>
                  </w:pPr>
                  <w:r>
                    <w:rPr>
                      <w:rFonts w:hint="eastAsia" w:cs="Times New Roman"/>
                      <w:kern w:val="0"/>
                      <w:sz w:val="21"/>
                      <w:szCs w:val="21"/>
                    </w:rPr>
                    <w:t>1</w:t>
                  </w:r>
                </w:p>
              </w:tc>
              <w:tc>
                <w:tcPr>
                  <w:tcW w:w="1559" w:type="dxa"/>
                  <w:vAlign w:val="center"/>
                </w:tcPr>
                <w:p w14:paraId="148AC10B">
                  <w:pPr>
                    <w:jc w:val="center"/>
                    <w:rPr>
                      <w:rFonts w:cs="Times New Roman"/>
                      <w:kern w:val="0"/>
                      <w:sz w:val="21"/>
                      <w:szCs w:val="21"/>
                    </w:rPr>
                  </w:pPr>
                  <w:r>
                    <w:rPr>
                      <w:rFonts w:hint="eastAsia" w:cs="Times New Roman"/>
                      <w:kern w:val="0"/>
                      <w:sz w:val="21"/>
                      <w:szCs w:val="21"/>
                    </w:rPr>
                    <w:t>船舶用水量</w:t>
                  </w:r>
                </w:p>
              </w:tc>
              <w:tc>
                <w:tcPr>
                  <w:tcW w:w="1488" w:type="dxa"/>
                  <w:vAlign w:val="center"/>
                </w:tcPr>
                <w:p w14:paraId="2A1C7AAB">
                  <w:pPr>
                    <w:jc w:val="center"/>
                    <w:rPr>
                      <w:rFonts w:cs="Times New Roman"/>
                      <w:kern w:val="0"/>
                      <w:sz w:val="21"/>
                      <w:szCs w:val="21"/>
                    </w:rPr>
                  </w:pPr>
                  <w:r>
                    <w:rPr>
                      <w:rFonts w:hint="eastAsia" w:cs="Times New Roman"/>
                      <w:kern w:val="0"/>
                      <w:sz w:val="21"/>
                      <w:szCs w:val="21"/>
                    </w:rPr>
                    <w:t>12</w:t>
                  </w:r>
                </w:p>
              </w:tc>
              <w:tc>
                <w:tcPr>
                  <w:tcW w:w="1489" w:type="dxa"/>
                  <w:vAlign w:val="center"/>
                </w:tcPr>
                <w:p w14:paraId="219ACA64">
                  <w:pPr>
                    <w:jc w:val="center"/>
                    <w:rPr>
                      <w:rFonts w:cs="Times New Roman"/>
                      <w:kern w:val="0"/>
                      <w:sz w:val="21"/>
                      <w:szCs w:val="21"/>
                    </w:rPr>
                  </w:pPr>
                  <w:r>
                    <w:rPr>
                      <w:rFonts w:hint="eastAsia" w:cs="Times New Roman"/>
                      <w:kern w:val="0"/>
                      <w:sz w:val="21"/>
                      <w:szCs w:val="21"/>
                    </w:rPr>
                    <w:t>1.55</w:t>
                  </w:r>
                </w:p>
              </w:tc>
              <w:tc>
                <w:tcPr>
                  <w:tcW w:w="2653" w:type="dxa"/>
                  <w:vAlign w:val="center"/>
                </w:tcPr>
                <w:p w14:paraId="4A5310C1">
                  <w:pPr>
                    <w:jc w:val="center"/>
                    <w:rPr>
                      <w:rFonts w:cs="Times New Roman"/>
                      <w:kern w:val="0"/>
                      <w:sz w:val="21"/>
                      <w:szCs w:val="21"/>
                    </w:rPr>
                  </w:pPr>
                  <w:r>
                    <w:rPr>
                      <w:rFonts w:hint="eastAsia" w:cs="Times New Roman"/>
                      <w:kern w:val="0"/>
                      <w:sz w:val="21"/>
                      <w:szCs w:val="21"/>
                    </w:rPr>
                    <w:t>船舶上水，按3艘/次考虑</w:t>
                  </w:r>
                </w:p>
              </w:tc>
            </w:tr>
            <w:tr w14:paraId="66049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4C0AD325">
                  <w:pPr>
                    <w:jc w:val="center"/>
                    <w:rPr>
                      <w:rFonts w:cs="Times New Roman"/>
                      <w:kern w:val="0"/>
                      <w:sz w:val="21"/>
                      <w:szCs w:val="21"/>
                    </w:rPr>
                  </w:pPr>
                  <w:r>
                    <w:rPr>
                      <w:rFonts w:hint="eastAsia" w:cs="Times New Roman"/>
                      <w:kern w:val="0"/>
                      <w:sz w:val="21"/>
                      <w:szCs w:val="21"/>
                    </w:rPr>
                    <w:t>2</w:t>
                  </w:r>
                </w:p>
              </w:tc>
              <w:tc>
                <w:tcPr>
                  <w:tcW w:w="1559" w:type="dxa"/>
                  <w:vAlign w:val="center"/>
                </w:tcPr>
                <w:p w14:paraId="565321DC">
                  <w:pPr>
                    <w:jc w:val="center"/>
                    <w:rPr>
                      <w:rFonts w:cs="Times New Roman"/>
                      <w:i/>
                      <w:iCs/>
                      <w:kern w:val="0"/>
                      <w:sz w:val="21"/>
                      <w:szCs w:val="21"/>
                      <w:u w:val="single"/>
                    </w:rPr>
                  </w:pPr>
                  <w:r>
                    <w:rPr>
                      <w:rFonts w:hint="eastAsia" w:cs="Times New Roman"/>
                      <w:i/>
                      <w:iCs/>
                      <w:kern w:val="0"/>
                      <w:sz w:val="21"/>
                      <w:szCs w:val="21"/>
                      <w:u w:val="single"/>
                    </w:rPr>
                    <w:t>生活用水量</w:t>
                  </w:r>
                </w:p>
              </w:tc>
              <w:tc>
                <w:tcPr>
                  <w:tcW w:w="1488" w:type="dxa"/>
                  <w:vAlign w:val="center"/>
                </w:tcPr>
                <w:p w14:paraId="4E46D295">
                  <w:pPr>
                    <w:jc w:val="center"/>
                    <w:rPr>
                      <w:rFonts w:cs="Times New Roman"/>
                      <w:i/>
                      <w:iCs/>
                      <w:kern w:val="0"/>
                      <w:sz w:val="21"/>
                      <w:szCs w:val="21"/>
                      <w:u w:val="single"/>
                    </w:rPr>
                  </w:pPr>
                  <w:r>
                    <w:rPr>
                      <w:rFonts w:hint="eastAsia" w:cs="Times New Roman"/>
                      <w:i/>
                      <w:iCs/>
                      <w:kern w:val="0"/>
                      <w:sz w:val="21"/>
                      <w:szCs w:val="21"/>
                      <w:u w:val="single"/>
                    </w:rPr>
                    <w:t>2.8</w:t>
                  </w:r>
                </w:p>
              </w:tc>
              <w:tc>
                <w:tcPr>
                  <w:tcW w:w="1489" w:type="dxa"/>
                  <w:vAlign w:val="center"/>
                </w:tcPr>
                <w:p w14:paraId="0E0979EB">
                  <w:pPr>
                    <w:jc w:val="center"/>
                    <w:rPr>
                      <w:rFonts w:cs="Times New Roman"/>
                      <w:i/>
                      <w:iCs/>
                      <w:kern w:val="0"/>
                      <w:sz w:val="21"/>
                      <w:szCs w:val="21"/>
                      <w:u w:val="single"/>
                    </w:rPr>
                  </w:pPr>
                  <w:r>
                    <w:rPr>
                      <w:rFonts w:hint="eastAsia" w:cs="Times New Roman"/>
                      <w:i/>
                      <w:iCs/>
                      <w:kern w:val="0"/>
                      <w:sz w:val="21"/>
                      <w:szCs w:val="21"/>
                      <w:u w:val="single"/>
                    </w:rPr>
                    <w:t>0.53</w:t>
                  </w:r>
                </w:p>
              </w:tc>
              <w:tc>
                <w:tcPr>
                  <w:tcW w:w="2653" w:type="dxa"/>
                  <w:vAlign w:val="center"/>
                </w:tcPr>
                <w:p w14:paraId="1C96F368">
                  <w:pPr>
                    <w:jc w:val="center"/>
                    <w:rPr>
                      <w:rFonts w:cs="Times New Roman"/>
                      <w:i/>
                      <w:iCs/>
                      <w:kern w:val="0"/>
                      <w:sz w:val="21"/>
                      <w:szCs w:val="21"/>
                      <w:u w:val="single"/>
                    </w:rPr>
                  </w:pPr>
                  <w:r>
                    <w:rPr>
                      <w:rFonts w:hint="eastAsia" w:cs="Times New Roman"/>
                      <w:i/>
                      <w:iCs/>
                      <w:kern w:val="0"/>
                      <w:sz w:val="21"/>
                      <w:szCs w:val="21"/>
                      <w:u w:val="single"/>
                    </w:rPr>
                    <w:t>按使用人数14人计，包括食堂用水</w:t>
                  </w:r>
                </w:p>
              </w:tc>
            </w:tr>
            <w:tr w14:paraId="75DFC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593E78B7">
                  <w:pPr>
                    <w:jc w:val="center"/>
                    <w:rPr>
                      <w:rFonts w:cs="Times New Roman"/>
                      <w:kern w:val="0"/>
                      <w:sz w:val="21"/>
                      <w:szCs w:val="21"/>
                    </w:rPr>
                  </w:pPr>
                  <w:r>
                    <w:rPr>
                      <w:rFonts w:hint="eastAsia" w:cs="Times New Roman"/>
                      <w:kern w:val="0"/>
                      <w:sz w:val="21"/>
                      <w:szCs w:val="21"/>
                    </w:rPr>
                    <w:t>3</w:t>
                  </w:r>
                </w:p>
              </w:tc>
              <w:tc>
                <w:tcPr>
                  <w:tcW w:w="1559" w:type="dxa"/>
                  <w:vAlign w:val="center"/>
                </w:tcPr>
                <w:p w14:paraId="4CA9E7C3">
                  <w:pPr>
                    <w:jc w:val="center"/>
                    <w:rPr>
                      <w:rFonts w:cs="Times New Roman"/>
                      <w:kern w:val="0"/>
                      <w:sz w:val="21"/>
                      <w:szCs w:val="21"/>
                    </w:rPr>
                  </w:pPr>
                  <w:r>
                    <w:rPr>
                      <w:rFonts w:hint="eastAsia" w:cs="Times New Roman"/>
                      <w:kern w:val="0"/>
                      <w:sz w:val="21"/>
                      <w:szCs w:val="21"/>
                    </w:rPr>
                    <w:t>环保用水</w:t>
                  </w:r>
                </w:p>
              </w:tc>
              <w:tc>
                <w:tcPr>
                  <w:tcW w:w="1488" w:type="dxa"/>
                  <w:vAlign w:val="center"/>
                </w:tcPr>
                <w:p w14:paraId="2D2CF12B">
                  <w:pPr>
                    <w:jc w:val="center"/>
                    <w:rPr>
                      <w:rFonts w:cs="Times New Roman"/>
                      <w:kern w:val="0"/>
                      <w:sz w:val="21"/>
                      <w:szCs w:val="21"/>
                    </w:rPr>
                  </w:pPr>
                  <w:r>
                    <w:rPr>
                      <w:rFonts w:hint="eastAsia" w:cs="Times New Roman"/>
                      <w:kern w:val="0"/>
                      <w:sz w:val="21"/>
                      <w:szCs w:val="21"/>
                    </w:rPr>
                    <w:t>10</w:t>
                  </w:r>
                </w:p>
              </w:tc>
              <w:tc>
                <w:tcPr>
                  <w:tcW w:w="1489" w:type="dxa"/>
                  <w:vAlign w:val="center"/>
                </w:tcPr>
                <w:p w14:paraId="302CC37B">
                  <w:pPr>
                    <w:jc w:val="center"/>
                    <w:rPr>
                      <w:rFonts w:cs="Times New Roman"/>
                      <w:kern w:val="0"/>
                      <w:sz w:val="21"/>
                      <w:szCs w:val="21"/>
                    </w:rPr>
                  </w:pPr>
                  <w:r>
                    <w:rPr>
                      <w:rFonts w:hint="eastAsia" w:cs="Times New Roman"/>
                      <w:kern w:val="0"/>
                      <w:sz w:val="21"/>
                      <w:szCs w:val="21"/>
                    </w:rPr>
                    <w:t>1.25</w:t>
                  </w:r>
                </w:p>
              </w:tc>
              <w:tc>
                <w:tcPr>
                  <w:tcW w:w="2653" w:type="dxa"/>
                  <w:vAlign w:val="center"/>
                </w:tcPr>
                <w:p w14:paraId="40541CC0">
                  <w:pPr>
                    <w:jc w:val="center"/>
                    <w:rPr>
                      <w:rFonts w:cs="Times New Roman"/>
                      <w:kern w:val="0"/>
                      <w:sz w:val="21"/>
                      <w:szCs w:val="21"/>
                    </w:rPr>
                  </w:pPr>
                  <w:r>
                    <w:rPr>
                      <w:rFonts w:hint="eastAsia" w:cs="Times New Roman"/>
                      <w:kern w:val="0"/>
                      <w:sz w:val="21"/>
                      <w:szCs w:val="21"/>
                    </w:rPr>
                    <w:t>绿化及道路喷洒用水</w:t>
                  </w:r>
                </w:p>
              </w:tc>
            </w:tr>
            <w:tr w14:paraId="311CB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6A9D9084">
                  <w:pPr>
                    <w:jc w:val="center"/>
                    <w:rPr>
                      <w:rFonts w:cs="Times New Roman"/>
                      <w:kern w:val="0"/>
                      <w:sz w:val="21"/>
                      <w:szCs w:val="21"/>
                    </w:rPr>
                  </w:pPr>
                  <w:r>
                    <w:rPr>
                      <w:rFonts w:hint="eastAsia" w:cs="Times New Roman"/>
                      <w:kern w:val="0"/>
                      <w:sz w:val="21"/>
                      <w:szCs w:val="21"/>
                    </w:rPr>
                    <w:t>4</w:t>
                  </w:r>
                </w:p>
              </w:tc>
              <w:tc>
                <w:tcPr>
                  <w:tcW w:w="1559" w:type="dxa"/>
                  <w:vAlign w:val="center"/>
                </w:tcPr>
                <w:p w14:paraId="39BDFE61">
                  <w:pPr>
                    <w:jc w:val="center"/>
                    <w:rPr>
                      <w:rFonts w:cs="Times New Roman"/>
                      <w:i/>
                      <w:iCs/>
                      <w:kern w:val="0"/>
                      <w:sz w:val="21"/>
                      <w:szCs w:val="21"/>
                      <w:u w:val="single"/>
                    </w:rPr>
                  </w:pPr>
                  <w:r>
                    <w:rPr>
                      <w:rFonts w:hint="eastAsia" w:cs="Times New Roman"/>
                      <w:i/>
                      <w:iCs/>
                      <w:kern w:val="0"/>
                      <w:sz w:val="21"/>
                      <w:szCs w:val="21"/>
                      <w:u w:val="single"/>
                    </w:rPr>
                    <w:t>船舶冲洗用水</w:t>
                  </w:r>
                </w:p>
              </w:tc>
              <w:tc>
                <w:tcPr>
                  <w:tcW w:w="1488" w:type="dxa"/>
                  <w:vAlign w:val="center"/>
                </w:tcPr>
                <w:p w14:paraId="48D4B4B1">
                  <w:pPr>
                    <w:jc w:val="center"/>
                    <w:rPr>
                      <w:rFonts w:cs="Times New Roman"/>
                      <w:i/>
                      <w:iCs/>
                      <w:kern w:val="0"/>
                      <w:sz w:val="21"/>
                      <w:szCs w:val="21"/>
                      <w:u w:val="single"/>
                    </w:rPr>
                  </w:pPr>
                  <w:r>
                    <w:rPr>
                      <w:rFonts w:hint="eastAsia" w:cs="Times New Roman"/>
                      <w:i/>
                      <w:iCs/>
                      <w:kern w:val="0"/>
                      <w:sz w:val="21"/>
                      <w:szCs w:val="21"/>
                      <w:u w:val="single"/>
                    </w:rPr>
                    <w:t>1.5</w:t>
                  </w:r>
                </w:p>
              </w:tc>
              <w:tc>
                <w:tcPr>
                  <w:tcW w:w="1489" w:type="dxa"/>
                  <w:vAlign w:val="center"/>
                </w:tcPr>
                <w:p w14:paraId="2324C1E5">
                  <w:pPr>
                    <w:jc w:val="center"/>
                    <w:rPr>
                      <w:rFonts w:cs="Times New Roman"/>
                      <w:i/>
                      <w:iCs/>
                      <w:kern w:val="0"/>
                      <w:sz w:val="21"/>
                      <w:szCs w:val="21"/>
                      <w:u w:val="single"/>
                    </w:rPr>
                  </w:pPr>
                  <w:r>
                    <w:rPr>
                      <w:rFonts w:hint="eastAsia" w:cs="Times New Roman"/>
                      <w:i/>
                      <w:iCs/>
                      <w:kern w:val="0"/>
                      <w:sz w:val="21"/>
                      <w:szCs w:val="21"/>
                      <w:u w:val="single"/>
                    </w:rPr>
                    <w:t>1.5</w:t>
                  </w:r>
                </w:p>
              </w:tc>
              <w:tc>
                <w:tcPr>
                  <w:tcW w:w="2653" w:type="dxa"/>
                  <w:vAlign w:val="center"/>
                </w:tcPr>
                <w:p w14:paraId="542F2EA1">
                  <w:pPr>
                    <w:jc w:val="center"/>
                    <w:rPr>
                      <w:rFonts w:cs="Times New Roman"/>
                      <w:i/>
                      <w:iCs/>
                      <w:kern w:val="0"/>
                      <w:sz w:val="21"/>
                      <w:szCs w:val="21"/>
                      <w:u w:val="single"/>
                    </w:rPr>
                  </w:pPr>
                  <w:r>
                    <w:rPr>
                      <w:rFonts w:hint="eastAsia" w:cs="Times New Roman"/>
                      <w:i/>
                      <w:iCs/>
                      <w:kern w:val="0"/>
                      <w:sz w:val="21"/>
                      <w:szCs w:val="21"/>
                      <w:u w:val="single"/>
                    </w:rPr>
                    <w:t>船舶上岸冲洗用水，按照250L/艘船考虑</w:t>
                  </w:r>
                </w:p>
              </w:tc>
            </w:tr>
            <w:tr w14:paraId="764D1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7" w:type="dxa"/>
                  <w:gridSpan w:val="2"/>
                  <w:vAlign w:val="center"/>
                </w:tcPr>
                <w:p w14:paraId="19DCF1B8">
                  <w:pPr>
                    <w:jc w:val="center"/>
                    <w:rPr>
                      <w:rFonts w:cs="Times New Roman"/>
                      <w:kern w:val="0"/>
                      <w:sz w:val="21"/>
                      <w:szCs w:val="21"/>
                    </w:rPr>
                  </w:pPr>
                  <w:r>
                    <w:rPr>
                      <w:rFonts w:hint="eastAsia" w:cs="Times New Roman"/>
                      <w:kern w:val="0"/>
                      <w:sz w:val="21"/>
                      <w:szCs w:val="21"/>
                    </w:rPr>
                    <w:t>小计</w:t>
                  </w:r>
                </w:p>
              </w:tc>
              <w:tc>
                <w:tcPr>
                  <w:tcW w:w="1488" w:type="dxa"/>
                  <w:vAlign w:val="center"/>
                </w:tcPr>
                <w:p w14:paraId="4C31D471">
                  <w:pPr>
                    <w:jc w:val="center"/>
                    <w:rPr>
                      <w:rFonts w:cs="Times New Roman"/>
                      <w:kern w:val="0"/>
                      <w:sz w:val="21"/>
                      <w:szCs w:val="21"/>
                    </w:rPr>
                  </w:pPr>
                  <w:r>
                    <w:rPr>
                      <w:rFonts w:cs="Times New Roman"/>
                      <w:kern w:val="0"/>
                      <w:sz w:val="21"/>
                      <w:szCs w:val="21"/>
                    </w:rPr>
                    <w:fldChar w:fldCharType="begin"/>
                  </w:r>
                  <w:r>
                    <w:rPr>
                      <w:rFonts w:cs="Times New Roman"/>
                      <w:kern w:val="0"/>
                      <w:sz w:val="21"/>
                      <w:szCs w:val="21"/>
                    </w:rPr>
                    <w:instrText xml:space="preserve"> =SUM(ABOVE) </w:instrText>
                  </w:r>
                  <w:r>
                    <w:rPr>
                      <w:rFonts w:cs="Times New Roman"/>
                      <w:kern w:val="0"/>
                      <w:sz w:val="21"/>
                      <w:szCs w:val="21"/>
                    </w:rPr>
                    <w:fldChar w:fldCharType="separate"/>
                  </w:r>
                  <w:r>
                    <w:rPr>
                      <w:rFonts w:cs="Times New Roman"/>
                      <w:kern w:val="0"/>
                      <w:sz w:val="21"/>
                      <w:szCs w:val="21"/>
                    </w:rPr>
                    <w:t>26.3</w:t>
                  </w:r>
                  <w:r>
                    <w:rPr>
                      <w:rFonts w:cs="Times New Roman"/>
                      <w:kern w:val="0"/>
                      <w:sz w:val="21"/>
                      <w:szCs w:val="21"/>
                    </w:rPr>
                    <w:fldChar w:fldCharType="end"/>
                  </w:r>
                </w:p>
              </w:tc>
              <w:tc>
                <w:tcPr>
                  <w:tcW w:w="1489" w:type="dxa"/>
                  <w:vAlign w:val="center"/>
                </w:tcPr>
                <w:p w14:paraId="2EAFE086">
                  <w:pPr>
                    <w:jc w:val="center"/>
                    <w:rPr>
                      <w:rFonts w:cs="Times New Roman"/>
                      <w:kern w:val="0"/>
                      <w:sz w:val="21"/>
                      <w:szCs w:val="21"/>
                    </w:rPr>
                  </w:pPr>
                  <w:r>
                    <w:rPr>
                      <w:rFonts w:cs="Times New Roman"/>
                      <w:kern w:val="0"/>
                      <w:sz w:val="21"/>
                      <w:szCs w:val="21"/>
                    </w:rPr>
                    <w:fldChar w:fldCharType="begin"/>
                  </w:r>
                  <w:r>
                    <w:rPr>
                      <w:rFonts w:cs="Times New Roman"/>
                      <w:kern w:val="0"/>
                      <w:sz w:val="21"/>
                      <w:szCs w:val="21"/>
                    </w:rPr>
                    <w:instrText xml:space="preserve"> =SUM(ABOVE) </w:instrText>
                  </w:r>
                  <w:r>
                    <w:rPr>
                      <w:rFonts w:cs="Times New Roman"/>
                      <w:kern w:val="0"/>
                      <w:sz w:val="21"/>
                      <w:szCs w:val="21"/>
                    </w:rPr>
                    <w:fldChar w:fldCharType="separate"/>
                  </w:r>
                  <w:r>
                    <w:rPr>
                      <w:rFonts w:cs="Times New Roman"/>
                      <w:kern w:val="0"/>
                      <w:sz w:val="21"/>
                      <w:szCs w:val="21"/>
                    </w:rPr>
                    <w:t>4.83</w:t>
                  </w:r>
                  <w:r>
                    <w:rPr>
                      <w:rFonts w:cs="Times New Roman"/>
                      <w:kern w:val="0"/>
                      <w:sz w:val="21"/>
                      <w:szCs w:val="21"/>
                    </w:rPr>
                    <w:fldChar w:fldCharType="end"/>
                  </w:r>
                </w:p>
              </w:tc>
              <w:tc>
                <w:tcPr>
                  <w:tcW w:w="2653" w:type="dxa"/>
                  <w:vAlign w:val="center"/>
                </w:tcPr>
                <w:p w14:paraId="2C45369E">
                  <w:pPr>
                    <w:jc w:val="center"/>
                    <w:rPr>
                      <w:rFonts w:cs="Times New Roman"/>
                      <w:kern w:val="0"/>
                      <w:sz w:val="21"/>
                      <w:szCs w:val="21"/>
                    </w:rPr>
                  </w:pPr>
                  <w:r>
                    <w:rPr>
                      <w:rFonts w:hint="eastAsia" w:cs="Times New Roman"/>
                      <w:kern w:val="0"/>
                      <w:sz w:val="21"/>
                      <w:szCs w:val="21"/>
                    </w:rPr>
                    <w:t>/</w:t>
                  </w:r>
                </w:p>
              </w:tc>
            </w:tr>
            <w:tr w14:paraId="7316B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07B4712F">
                  <w:pPr>
                    <w:jc w:val="center"/>
                    <w:rPr>
                      <w:rFonts w:cs="Times New Roman"/>
                      <w:kern w:val="0"/>
                      <w:sz w:val="21"/>
                      <w:szCs w:val="21"/>
                    </w:rPr>
                  </w:pPr>
                  <w:r>
                    <w:rPr>
                      <w:rFonts w:hint="eastAsia" w:cs="Times New Roman"/>
                      <w:kern w:val="0"/>
                      <w:sz w:val="21"/>
                      <w:szCs w:val="21"/>
                    </w:rPr>
                    <w:t>5</w:t>
                  </w:r>
                </w:p>
              </w:tc>
              <w:tc>
                <w:tcPr>
                  <w:tcW w:w="1559" w:type="dxa"/>
                  <w:vAlign w:val="center"/>
                </w:tcPr>
                <w:p w14:paraId="3066BBAB">
                  <w:pPr>
                    <w:jc w:val="center"/>
                    <w:rPr>
                      <w:rFonts w:cs="Times New Roman"/>
                      <w:kern w:val="0"/>
                      <w:sz w:val="21"/>
                      <w:szCs w:val="21"/>
                    </w:rPr>
                  </w:pPr>
                  <w:r>
                    <w:rPr>
                      <w:rFonts w:hint="eastAsia" w:cs="Times New Roman"/>
                      <w:kern w:val="0"/>
                      <w:sz w:val="21"/>
                      <w:szCs w:val="21"/>
                    </w:rPr>
                    <w:t>未预见用水量</w:t>
                  </w:r>
                </w:p>
              </w:tc>
              <w:tc>
                <w:tcPr>
                  <w:tcW w:w="1488" w:type="dxa"/>
                  <w:vAlign w:val="center"/>
                </w:tcPr>
                <w:p w14:paraId="703A4D4F">
                  <w:pPr>
                    <w:jc w:val="center"/>
                    <w:rPr>
                      <w:rFonts w:cs="Times New Roman"/>
                      <w:kern w:val="0"/>
                      <w:sz w:val="21"/>
                      <w:szCs w:val="21"/>
                    </w:rPr>
                  </w:pPr>
                  <w:r>
                    <w:rPr>
                      <w:rFonts w:hint="eastAsia" w:cs="Times New Roman"/>
                      <w:kern w:val="0"/>
                      <w:sz w:val="21"/>
                      <w:szCs w:val="21"/>
                    </w:rPr>
                    <w:t>5.2</w:t>
                  </w:r>
                </w:p>
              </w:tc>
              <w:tc>
                <w:tcPr>
                  <w:tcW w:w="1489" w:type="dxa"/>
                  <w:vAlign w:val="center"/>
                </w:tcPr>
                <w:p w14:paraId="07B4C6C4">
                  <w:pPr>
                    <w:jc w:val="center"/>
                    <w:rPr>
                      <w:rFonts w:cs="Times New Roman"/>
                      <w:kern w:val="0"/>
                      <w:sz w:val="21"/>
                      <w:szCs w:val="21"/>
                    </w:rPr>
                  </w:pPr>
                  <w:r>
                    <w:rPr>
                      <w:rFonts w:hint="eastAsia" w:cs="Times New Roman"/>
                      <w:kern w:val="0"/>
                      <w:sz w:val="21"/>
                      <w:szCs w:val="21"/>
                    </w:rPr>
                    <w:t>0.71</w:t>
                  </w:r>
                </w:p>
              </w:tc>
              <w:tc>
                <w:tcPr>
                  <w:tcW w:w="2653" w:type="dxa"/>
                  <w:vAlign w:val="center"/>
                </w:tcPr>
                <w:p w14:paraId="3D39F271">
                  <w:pPr>
                    <w:jc w:val="center"/>
                    <w:rPr>
                      <w:rFonts w:cs="Times New Roman"/>
                      <w:kern w:val="0"/>
                      <w:sz w:val="21"/>
                      <w:szCs w:val="21"/>
                    </w:rPr>
                  </w:pPr>
                  <w:r>
                    <w:rPr>
                      <w:rFonts w:hint="eastAsia" w:cs="Times New Roman"/>
                      <w:kern w:val="0"/>
                      <w:sz w:val="21"/>
                      <w:szCs w:val="21"/>
                    </w:rPr>
                    <w:t>按20%计算</w:t>
                  </w:r>
                </w:p>
              </w:tc>
            </w:tr>
            <w:tr w14:paraId="4BE66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7" w:type="dxa"/>
                  <w:gridSpan w:val="2"/>
                  <w:vAlign w:val="center"/>
                </w:tcPr>
                <w:p w14:paraId="1D9DA88D">
                  <w:pPr>
                    <w:jc w:val="center"/>
                    <w:rPr>
                      <w:rFonts w:cs="Times New Roman"/>
                      <w:kern w:val="0"/>
                      <w:sz w:val="21"/>
                      <w:szCs w:val="21"/>
                    </w:rPr>
                  </w:pPr>
                  <w:r>
                    <w:rPr>
                      <w:rFonts w:hint="eastAsia" w:cs="Times New Roman"/>
                      <w:kern w:val="0"/>
                      <w:sz w:val="21"/>
                      <w:szCs w:val="21"/>
                    </w:rPr>
                    <w:t>合计</w:t>
                  </w:r>
                </w:p>
              </w:tc>
              <w:tc>
                <w:tcPr>
                  <w:tcW w:w="1488" w:type="dxa"/>
                  <w:vAlign w:val="center"/>
                </w:tcPr>
                <w:p w14:paraId="4457E684">
                  <w:pPr>
                    <w:jc w:val="center"/>
                    <w:rPr>
                      <w:rFonts w:cs="Times New Roman"/>
                      <w:kern w:val="0"/>
                      <w:sz w:val="21"/>
                      <w:szCs w:val="21"/>
                    </w:rPr>
                  </w:pPr>
                  <w:r>
                    <w:rPr>
                      <w:rFonts w:hint="eastAsia" w:cs="Times New Roman"/>
                      <w:kern w:val="0"/>
                      <w:sz w:val="21"/>
                      <w:szCs w:val="21"/>
                    </w:rPr>
                    <w:t>31.5</w:t>
                  </w:r>
                </w:p>
              </w:tc>
              <w:tc>
                <w:tcPr>
                  <w:tcW w:w="1489" w:type="dxa"/>
                  <w:vAlign w:val="center"/>
                </w:tcPr>
                <w:p w14:paraId="7B331FC1">
                  <w:pPr>
                    <w:jc w:val="center"/>
                    <w:rPr>
                      <w:rFonts w:cs="Times New Roman"/>
                      <w:kern w:val="0"/>
                      <w:sz w:val="21"/>
                      <w:szCs w:val="21"/>
                    </w:rPr>
                  </w:pPr>
                  <w:r>
                    <w:rPr>
                      <w:rFonts w:hint="eastAsia" w:cs="Times New Roman"/>
                      <w:kern w:val="0"/>
                      <w:sz w:val="21"/>
                      <w:szCs w:val="21"/>
                    </w:rPr>
                    <w:t>5.54</w:t>
                  </w:r>
                </w:p>
              </w:tc>
              <w:tc>
                <w:tcPr>
                  <w:tcW w:w="2653" w:type="dxa"/>
                  <w:vAlign w:val="center"/>
                </w:tcPr>
                <w:p w14:paraId="73562C17">
                  <w:pPr>
                    <w:jc w:val="center"/>
                    <w:rPr>
                      <w:rFonts w:cs="Times New Roman"/>
                      <w:kern w:val="0"/>
                      <w:sz w:val="21"/>
                      <w:szCs w:val="21"/>
                    </w:rPr>
                  </w:pPr>
                  <w:r>
                    <w:rPr>
                      <w:rFonts w:hint="eastAsia" w:cs="Times New Roman"/>
                      <w:kern w:val="0"/>
                      <w:sz w:val="21"/>
                      <w:szCs w:val="21"/>
                    </w:rPr>
                    <w:t>不包括消防水量</w:t>
                  </w:r>
                </w:p>
              </w:tc>
            </w:tr>
            <w:tr w14:paraId="36E04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14:paraId="6209B73F">
                  <w:pPr>
                    <w:jc w:val="center"/>
                    <w:rPr>
                      <w:rFonts w:cs="Times New Roman"/>
                      <w:kern w:val="0"/>
                      <w:sz w:val="21"/>
                      <w:szCs w:val="21"/>
                    </w:rPr>
                  </w:pPr>
                  <w:r>
                    <w:rPr>
                      <w:rFonts w:hint="eastAsia" w:cs="Times New Roman"/>
                      <w:kern w:val="0"/>
                      <w:sz w:val="21"/>
                      <w:szCs w:val="21"/>
                    </w:rPr>
                    <w:t>6</w:t>
                  </w:r>
                </w:p>
              </w:tc>
              <w:tc>
                <w:tcPr>
                  <w:tcW w:w="1559" w:type="dxa"/>
                  <w:vAlign w:val="center"/>
                </w:tcPr>
                <w:p w14:paraId="29C7D756">
                  <w:pPr>
                    <w:jc w:val="center"/>
                    <w:rPr>
                      <w:rFonts w:cs="Times New Roman"/>
                      <w:kern w:val="0"/>
                      <w:sz w:val="21"/>
                      <w:szCs w:val="21"/>
                    </w:rPr>
                  </w:pPr>
                  <w:r>
                    <w:rPr>
                      <w:rFonts w:hint="eastAsia" w:cs="Times New Roman"/>
                      <w:kern w:val="0"/>
                      <w:sz w:val="21"/>
                      <w:szCs w:val="21"/>
                    </w:rPr>
                    <w:t>消防水量</w:t>
                  </w:r>
                </w:p>
              </w:tc>
              <w:tc>
                <w:tcPr>
                  <w:tcW w:w="1488" w:type="dxa"/>
                  <w:vAlign w:val="center"/>
                </w:tcPr>
                <w:p w14:paraId="729CC3D9">
                  <w:pPr>
                    <w:jc w:val="center"/>
                    <w:rPr>
                      <w:rFonts w:cs="Times New Roman"/>
                      <w:kern w:val="0"/>
                      <w:sz w:val="21"/>
                      <w:szCs w:val="21"/>
                    </w:rPr>
                  </w:pPr>
                  <w:r>
                    <w:rPr>
                      <w:rFonts w:hint="eastAsia" w:cs="Times New Roman"/>
                      <w:kern w:val="0"/>
                      <w:sz w:val="21"/>
                      <w:szCs w:val="21"/>
                    </w:rPr>
                    <w:t>108</w:t>
                  </w:r>
                </w:p>
              </w:tc>
              <w:tc>
                <w:tcPr>
                  <w:tcW w:w="1489" w:type="dxa"/>
                  <w:vAlign w:val="center"/>
                </w:tcPr>
                <w:p w14:paraId="03125239">
                  <w:pPr>
                    <w:jc w:val="center"/>
                    <w:rPr>
                      <w:rFonts w:cs="Times New Roman"/>
                      <w:kern w:val="0"/>
                      <w:sz w:val="21"/>
                      <w:szCs w:val="21"/>
                    </w:rPr>
                  </w:pPr>
                </w:p>
              </w:tc>
              <w:tc>
                <w:tcPr>
                  <w:tcW w:w="2653" w:type="dxa"/>
                  <w:vAlign w:val="center"/>
                </w:tcPr>
                <w:p w14:paraId="70E907E1">
                  <w:pPr>
                    <w:jc w:val="center"/>
                    <w:rPr>
                      <w:rFonts w:cs="Times New Roman"/>
                      <w:kern w:val="0"/>
                      <w:sz w:val="21"/>
                      <w:szCs w:val="21"/>
                    </w:rPr>
                  </w:pPr>
                  <w:r>
                    <w:rPr>
                      <w:rFonts w:hint="eastAsia" w:cs="Times New Roman"/>
                      <w:kern w:val="0"/>
                      <w:sz w:val="21"/>
                      <w:szCs w:val="21"/>
                    </w:rPr>
                    <w:t>/</w:t>
                  </w:r>
                </w:p>
              </w:tc>
            </w:tr>
          </w:tbl>
          <w:p w14:paraId="74FFDC6A">
            <w:pPr>
              <w:spacing w:line="360" w:lineRule="auto"/>
              <w:ind w:firstLine="480" w:firstLineChars="200"/>
            </w:pPr>
          </w:p>
          <w:p w14:paraId="73FFA5EA">
            <w:pPr>
              <w:spacing w:line="360" w:lineRule="auto"/>
              <w:ind w:firstLine="480" w:firstLineChars="200"/>
            </w:pPr>
            <w:r>
              <w:rPr>
                <w:rFonts w:hint="eastAsia"/>
              </w:rPr>
              <w:t>（2）排水</w:t>
            </w:r>
          </w:p>
          <w:p w14:paraId="2D78B689">
            <w:pPr>
              <w:spacing w:line="360" w:lineRule="auto"/>
              <w:ind w:firstLine="482" w:firstLineChars="200"/>
              <w:rPr>
                <w:b/>
                <w:bCs/>
                <w:u w:val="single"/>
              </w:rPr>
            </w:pPr>
            <w:r>
              <w:rPr>
                <w:rFonts w:hint="eastAsia"/>
                <w:b/>
                <w:bCs/>
                <w:u w:val="single"/>
              </w:rPr>
              <w:t>本项目运营期产生的排水包括：船舶冲洗废水、含油废水及生活污水。船舶上水在船舶运行过程中部分消耗，部分以含油废水的形式排出。</w:t>
            </w:r>
          </w:p>
          <w:p w14:paraId="08C30CFE">
            <w:pPr>
              <w:spacing w:line="360" w:lineRule="auto"/>
              <w:ind w:firstLine="480" w:firstLineChars="200"/>
            </w:pPr>
            <w:r>
              <w:rPr>
                <w:rFonts w:hint="eastAsia"/>
              </w:rPr>
              <w:t>本工程运营期产生的工作人员生活污水排至污水暂存池，生活污水产生量约2.24t/d，其中包括餐厨废水，餐厨废水先经隔油池处理后排入污水暂存池。定期清运至临江市污水处理厂进行处理。</w:t>
            </w:r>
          </w:p>
          <w:p w14:paraId="559CAA23">
            <w:pPr>
              <w:spacing w:line="360" w:lineRule="auto"/>
              <w:ind w:firstLine="482" w:firstLineChars="200"/>
              <w:rPr>
                <w:b/>
                <w:bCs/>
                <w:u w:val="single"/>
              </w:rPr>
            </w:pPr>
            <w:r>
              <w:rPr>
                <w:rFonts w:hint="eastAsia"/>
                <w:b/>
                <w:bCs/>
                <w:u w:val="single"/>
              </w:rPr>
              <w:t>本工程运营期每年冬季船舶上岸暂存时进行一次船舶冲洗，产生少量船舶冲洗废水，其产生量约1.2t/d，其产生后收集并暂存于冲洗废水收集池内，定期清运至临江市污水处理厂进行处理。</w:t>
            </w:r>
          </w:p>
          <w:p w14:paraId="2AC6D49E">
            <w:pPr>
              <w:spacing w:line="360" w:lineRule="auto"/>
              <w:ind w:firstLine="482" w:firstLineChars="200"/>
              <w:rPr>
                <w:b/>
                <w:bCs/>
                <w:u w:val="single"/>
              </w:rPr>
            </w:pPr>
            <w:r>
              <w:rPr>
                <w:rFonts w:hint="eastAsia"/>
                <w:b/>
                <w:bCs/>
                <w:u w:val="single"/>
              </w:rPr>
              <w:t>本工程运营期各船舶中，除快艇以外，其余各船只均设置了油水分离器，其产生的船舶底舱含油废水（机舱内闸阀管路漏水与润滑油、燃料油等混合形成的含油污水），经油水分离器处理，快艇产生的舱底含油废水于船内自备的容器中暂存，各船舶舱底含油废水于靠岸后定期清运，采用吸污车抽出并委托长春市瀚拓工业有限公司进行处理，不在本项目码头内收集、贮存，本项目码头内不设置收集、贮存设施及转运措施。</w:t>
            </w:r>
          </w:p>
          <w:p w14:paraId="7218E2C3">
            <w:pPr>
              <w:spacing w:line="360" w:lineRule="auto"/>
              <w:ind w:firstLine="480" w:firstLineChars="200"/>
            </w:pPr>
            <w:r>
              <w:rPr>
                <w:rFonts w:hint="eastAsia"/>
              </w:rPr>
              <w:t>（3）供电</w:t>
            </w:r>
          </w:p>
          <w:p w14:paraId="4F24EB6B">
            <w:pPr>
              <w:spacing w:line="360" w:lineRule="auto"/>
              <w:ind w:firstLine="480" w:firstLineChars="200"/>
            </w:pPr>
            <w:r>
              <w:rPr>
                <w:rFonts w:hint="eastAsia"/>
              </w:rPr>
              <w:t>本工程设置一座10/0.4kV成套箱式变电站。箱变采用一路10kV电源进线引自附近的当地电网上级变电所。</w:t>
            </w:r>
          </w:p>
          <w:p w14:paraId="76F028D5">
            <w:pPr>
              <w:spacing w:line="360" w:lineRule="auto"/>
              <w:ind w:firstLine="480" w:firstLineChars="200"/>
            </w:pPr>
            <w:r>
              <w:rPr>
                <w:rFonts w:hint="eastAsia"/>
              </w:rPr>
              <w:t>（4）供热</w:t>
            </w:r>
          </w:p>
          <w:p w14:paraId="2FC2EA39">
            <w:pPr>
              <w:spacing w:line="360" w:lineRule="auto"/>
              <w:ind w:firstLine="480" w:firstLineChars="200"/>
            </w:pPr>
            <w:r>
              <w:rPr>
                <w:rFonts w:hint="eastAsia"/>
              </w:rPr>
              <w:t>本工程需要采暖面积小，附近无热力管网，冬季采暖热源采用发热电缆地面辐射供暖。</w:t>
            </w:r>
          </w:p>
          <w:p w14:paraId="19D30E52">
            <w:pPr>
              <w:spacing w:line="360" w:lineRule="auto"/>
              <w:ind w:firstLine="480" w:firstLineChars="200"/>
            </w:pPr>
            <w:r>
              <w:rPr>
                <w:rFonts w:hint="eastAsia"/>
              </w:rPr>
              <w:t>（5）供油</w:t>
            </w:r>
          </w:p>
          <w:p w14:paraId="3534AD50">
            <w:pPr>
              <w:spacing w:line="360" w:lineRule="auto"/>
              <w:ind w:firstLine="480" w:firstLineChars="200"/>
            </w:pPr>
            <w:r>
              <w:rPr>
                <w:rFonts w:hint="eastAsia"/>
              </w:rPr>
              <w:t>本工程为船舶提供油补给，依托区域附近的加油站，通过油罐车运输到码头，本工程不设置油料存储场所。</w:t>
            </w:r>
          </w:p>
          <w:p w14:paraId="500E622D">
            <w:pPr>
              <w:spacing w:line="360" w:lineRule="auto"/>
              <w:ind w:firstLine="480" w:firstLineChars="200"/>
            </w:pPr>
            <w:r>
              <w:rPr>
                <w:rFonts w:hint="eastAsia"/>
              </w:rPr>
              <w:t>11、建设进度</w:t>
            </w:r>
          </w:p>
          <w:p w14:paraId="1BB896D7">
            <w:pPr>
              <w:spacing w:line="360" w:lineRule="auto"/>
              <w:ind w:firstLine="480" w:firstLineChars="200"/>
            </w:pPr>
            <w:r>
              <w:rPr>
                <w:rFonts w:hint="eastAsia"/>
              </w:rPr>
              <w:t>本工程区域位于云峰库区，汛期水位较高可以漫过施工区域，所以施工时间选择在非汛期，且需跨年施工，本工程总工期约18个月。</w:t>
            </w:r>
          </w:p>
          <w:p w14:paraId="32F67E8D">
            <w:pPr>
              <w:spacing w:line="360" w:lineRule="auto"/>
              <w:ind w:firstLine="480" w:firstLineChars="200"/>
            </w:pPr>
            <w:r>
              <w:rPr>
                <w:rFonts w:hint="eastAsia"/>
              </w:rPr>
              <w:t>12、劳动定员</w:t>
            </w:r>
          </w:p>
          <w:p w14:paraId="6132683D">
            <w:pPr>
              <w:spacing w:line="360" w:lineRule="auto"/>
              <w:ind w:firstLine="480" w:firstLineChars="200"/>
            </w:pPr>
            <w:r>
              <w:rPr>
                <w:rFonts w:hint="eastAsia"/>
              </w:rPr>
              <w:t>鸭绿江临江航道码头作业人员共计14名，2名管理人员，2名司机，8名操作作业人员，负责航标、堆场装卸及船艇上下水作业，2名其他人员，负责生产材料采购、运输周转、基地水电维护抢修和生产设备的维护管理等。</w:t>
            </w:r>
          </w:p>
        </w:tc>
      </w:tr>
      <w:tr w14:paraId="267C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58753901">
            <w:pPr>
              <w:jc w:val="center"/>
            </w:pPr>
            <w:r>
              <w:rPr>
                <w:rFonts w:hint="eastAsia"/>
              </w:rPr>
              <w:t>总平面及现场布置</w:t>
            </w:r>
          </w:p>
        </w:tc>
        <w:tc>
          <w:tcPr>
            <w:tcW w:w="7840" w:type="dxa"/>
            <w:vAlign w:val="center"/>
          </w:tcPr>
          <w:p w14:paraId="343AD85C">
            <w:pPr>
              <w:spacing w:line="360" w:lineRule="auto"/>
              <w:ind w:firstLine="480" w:firstLineChars="200"/>
            </w:pPr>
            <w:r>
              <w:rPr>
                <w:rFonts w:hint="eastAsia"/>
              </w:rPr>
              <w:t>1、总平面布置方案</w:t>
            </w:r>
          </w:p>
          <w:p w14:paraId="508B114B">
            <w:pPr>
              <w:spacing w:line="360" w:lineRule="auto"/>
              <w:ind w:firstLine="480" w:firstLineChars="200"/>
            </w:pPr>
            <w:r>
              <w:rPr>
                <w:rFonts w:hint="eastAsia"/>
              </w:rPr>
              <w:t>码头前沿线与现状上游护岸走向基本一致，码头后方与现状道路间形成陆域。自上游向下游分别布置：作业区码头、工作船码头、防冰突堤兼码头、港池及船舶上岸维护滑道。本项目总平面布置情况详见附图5。</w:t>
            </w:r>
          </w:p>
          <w:p w14:paraId="02235C37">
            <w:pPr>
              <w:spacing w:line="360" w:lineRule="auto"/>
              <w:ind w:firstLine="480" w:firstLineChars="200"/>
            </w:pPr>
            <w:r>
              <w:rPr>
                <w:rFonts w:hint="eastAsia"/>
              </w:rPr>
              <w:t>（1）水域布置</w:t>
            </w:r>
          </w:p>
          <w:p w14:paraId="21956806">
            <w:pPr>
              <w:spacing w:line="360" w:lineRule="auto"/>
              <w:ind w:firstLine="480" w:firstLineChars="200"/>
            </w:pPr>
            <w:r>
              <w:rPr>
                <w:rFonts w:hint="eastAsia"/>
              </w:rPr>
              <w:t>①码头前沿线</w:t>
            </w:r>
          </w:p>
          <w:p w14:paraId="7BC470F1">
            <w:pPr>
              <w:spacing w:line="360" w:lineRule="auto"/>
              <w:ind w:firstLine="480" w:firstLineChars="200"/>
            </w:pPr>
            <w:r>
              <w:rPr>
                <w:rFonts w:hint="eastAsia"/>
              </w:rPr>
              <w:t>本工程位于大栗子岸线，码头轴线方位为26°~206°，码头前沿线与河道中心线平行，码头岸线长度321.0m，包括作业区码头、工作船码头及防冰突堤兼码头三部分，岸线长度分别为103.5m、177.5m及40m，根据建设单位使用经验，汛期（7~8月）船舶靠离较少，考虑人员上下安全便利，工作船码头在与作业区码头连接处设置2个低水级泊位，岸线长度71m，顶高程为318.55m；其余106.5m为标准段泊位，顶高程为322.10m。</w:t>
            </w:r>
          </w:p>
          <w:p w14:paraId="3A2DB853">
            <w:pPr>
              <w:spacing w:line="360" w:lineRule="auto"/>
              <w:ind w:firstLine="480" w:firstLineChars="200"/>
            </w:pPr>
            <w:r>
              <w:rPr>
                <w:rFonts w:hint="eastAsia"/>
              </w:rPr>
              <w:t>②港池、回旋水域</w:t>
            </w:r>
          </w:p>
          <w:p w14:paraId="07051BDA">
            <w:pPr>
              <w:spacing w:line="360" w:lineRule="auto"/>
              <w:ind w:firstLine="480" w:firstLineChars="200"/>
            </w:pPr>
            <w:r>
              <w:rPr>
                <w:rFonts w:hint="eastAsia"/>
              </w:rPr>
              <w:t>码头前沿停泊水域底高程315.2~315.6m，停泊水域宽度16m；回旋水域沿垂直水流方向的宽度取45m，回旋水域沿水流方向的长度按2.5倍船长考虑，平行于码头前沿连片布置。</w:t>
            </w:r>
          </w:p>
          <w:p w14:paraId="6A0A298C">
            <w:pPr>
              <w:spacing w:line="360" w:lineRule="auto"/>
              <w:ind w:firstLine="480" w:firstLineChars="200"/>
            </w:pPr>
            <w:r>
              <w:rPr>
                <w:rFonts w:hint="eastAsia"/>
              </w:rPr>
              <w:t>码头下游设置有掩护港池，港池及停泊水域面积11768m</w:t>
            </w:r>
            <w:r>
              <w:rPr>
                <w:rFonts w:hint="eastAsia"/>
                <w:vertAlign w:val="superscript"/>
              </w:rPr>
              <w:t>2</w:t>
            </w:r>
            <w:r>
              <w:rPr>
                <w:rFonts w:hint="eastAsia"/>
              </w:rPr>
              <w:t>，港池内设置船舶上岸维护滑道一座，坡道长69m，坡度1:10。冬季冰冻期及汛期水流较大时，船舶可进入港池停泊，小型船艇可上岸存放。为避免港池内船舶碰撞港池西侧公路挡墙，港池内增加船舶防撞桩。</w:t>
            </w:r>
          </w:p>
          <w:p w14:paraId="22E8D845">
            <w:pPr>
              <w:spacing w:line="360" w:lineRule="auto"/>
              <w:ind w:firstLine="480" w:firstLineChars="200"/>
            </w:pPr>
            <w:r>
              <w:rPr>
                <w:rFonts w:hint="eastAsia"/>
              </w:rPr>
              <w:t>（2）陆域布置</w:t>
            </w:r>
          </w:p>
          <w:p w14:paraId="59BDA4EF">
            <w:pPr>
              <w:spacing w:line="360" w:lineRule="auto"/>
              <w:ind w:firstLine="480" w:firstLineChars="200"/>
            </w:pPr>
            <w:r>
              <w:rPr>
                <w:rFonts w:hint="eastAsia"/>
              </w:rPr>
              <w:t>本工程陆域范围位于现状公路与码头之间用地，拟建陆域面积26596m</w:t>
            </w:r>
            <w:r>
              <w:rPr>
                <w:rFonts w:hint="eastAsia"/>
                <w:vertAlign w:val="superscript"/>
              </w:rPr>
              <w:t>2</w:t>
            </w:r>
            <w:r>
              <w:rPr>
                <w:rFonts w:hint="eastAsia"/>
              </w:rPr>
              <w:t>，其中场区面积为24106.42m</w:t>
            </w:r>
            <w:r>
              <w:rPr>
                <w:rFonts w:hint="eastAsia"/>
                <w:vertAlign w:val="superscript"/>
              </w:rPr>
              <w:t>2</w:t>
            </w:r>
            <w:r>
              <w:rPr>
                <w:rFonts w:hint="eastAsia"/>
              </w:rPr>
              <w:t>。主要功能区包括：码头前沿作业区、道路、材料临时存放区、船艇存放区、配套建筑及停车场等。其中，材料临时存放区布置在码头上游，作业区码头后方；船艇存放区布置在码头下游，船舶上岸滑道岸侧。</w:t>
            </w:r>
          </w:p>
          <w:p w14:paraId="5B6D44CE">
            <w:pPr>
              <w:spacing w:line="360" w:lineRule="auto"/>
              <w:ind w:firstLine="482" w:firstLineChars="200"/>
              <w:rPr>
                <w:b/>
                <w:bCs/>
                <w:u w:val="single"/>
              </w:rPr>
            </w:pPr>
            <w:r>
              <w:rPr>
                <w:rFonts w:hint="eastAsia"/>
                <w:b/>
                <w:bCs/>
                <w:u w:val="single"/>
              </w:rPr>
              <w:t>①码头前沿作业区</w:t>
            </w:r>
          </w:p>
          <w:p w14:paraId="09F586D4">
            <w:pPr>
              <w:spacing w:line="360" w:lineRule="auto"/>
              <w:ind w:firstLine="482" w:firstLineChars="200"/>
              <w:rPr>
                <w:b/>
                <w:bCs/>
                <w:u w:val="single"/>
              </w:rPr>
            </w:pPr>
            <w:r>
              <w:rPr>
                <w:rFonts w:hint="eastAsia"/>
                <w:b/>
                <w:bCs/>
                <w:u w:val="single"/>
              </w:rPr>
              <w:t>码头采用重力式结构，码头长度321.0m。码头前沿作业区位于码头后方，码头宽度15.5m。用于航道维护疏浚物及航标的装卸作业。</w:t>
            </w:r>
          </w:p>
          <w:p w14:paraId="2B422D63">
            <w:pPr>
              <w:spacing w:line="360" w:lineRule="auto"/>
              <w:ind w:firstLine="482" w:firstLineChars="200"/>
              <w:rPr>
                <w:b/>
                <w:bCs/>
                <w:u w:val="single"/>
              </w:rPr>
            </w:pPr>
            <w:r>
              <w:rPr>
                <w:rFonts w:hint="eastAsia"/>
                <w:b/>
                <w:bCs/>
                <w:u w:val="single"/>
              </w:rPr>
              <w:t>②材料临时存放区</w:t>
            </w:r>
          </w:p>
          <w:p w14:paraId="24D3F58D">
            <w:pPr>
              <w:spacing w:line="360" w:lineRule="auto"/>
              <w:ind w:firstLine="482" w:firstLineChars="200"/>
            </w:pPr>
            <w:r>
              <w:rPr>
                <w:rFonts w:hint="eastAsia"/>
                <w:b/>
                <w:bCs/>
                <w:u w:val="single"/>
              </w:rPr>
              <w:t>陆域布置材料临时存放区共4162m</w:t>
            </w:r>
            <w:r>
              <w:rPr>
                <w:rFonts w:hint="eastAsia"/>
                <w:b/>
                <w:bCs/>
                <w:u w:val="single"/>
                <w:vertAlign w:val="superscript"/>
              </w:rPr>
              <w:t>2</w:t>
            </w:r>
            <w:r>
              <w:rPr>
                <w:rFonts w:hint="eastAsia"/>
                <w:b/>
                <w:bCs/>
                <w:u w:val="single"/>
              </w:rPr>
              <w:t>，自东北向西南设置两个分区，分别为砂石料临时存放区以及航标临时存放区。东北部为吉林省航道管理局对管辖段航道局部河段进行维护性炸礁和疏浚时产生的砂石提供堆存的分区，该临时存放区总面积2962m</w:t>
            </w:r>
            <w:r>
              <w:rPr>
                <w:rFonts w:hint="eastAsia"/>
                <w:b/>
                <w:bCs/>
                <w:u w:val="single"/>
                <w:vertAlign w:val="superscript"/>
              </w:rPr>
              <w:t>2</w:t>
            </w:r>
            <w:r>
              <w:rPr>
                <w:rFonts w:hint="eastAsia"/>
                <w:b/>
                <w:bCs/>
                <w:u w:val="single"/>
              </w:rPr>
              <w:t>，此部分临时存放区的砂石将在汛期前及时转运。西南部为航标存放区，用于航标暂存及简单维修，考虑航标装卸作业等堆场内部作业面积，布置航标临时存放区面积为1200m</w:t>
            </w:r>
            <w:r>
              <w:rPr>
                <w:rFonts w:hint="eastAsia"/>
                <w:b/>
                <w:bCs/>
                <w:u w:val="single"/>
                <w:vertAlign w:val="superscript"/>
              </w:rPr>
              <w:t>2</w:t>
            </w:r>
            <w:r>
              <w:rPr>
                <w:rFonts w:hint="eastAsia"/>
                <w:b/>
                <w:bCs/>
                <w:u w:val="single"/>
              </w:rPr>
              <w:t>。</w:t>
            </w:r>
          </w:p>
          <w:p w14:paraId="687FB8A3">
            <w:pPr>
              <w:spacing w:line="360" w:lineRule="auto"/>
              <w:ind w:firstLine="482" w:firstLineChars="200"/>
              <w:rPr>
                <w:b/>
                <w:bCs/>
                <w:u w:val="single"/>
              </w:rPr>
            </w:pPr>
            <w:r>
              <w:rPr>
                <w:rFonts w:hint="eastAsia"/>
                <w:b/>
                <w:bCs/>
                <w:u w:val="single"/>
              </w:rPr>
              <w:t>③船艇冬季存放区</w:t>
            </w:r>
          </w:p>
          <w:p w14:paraId="42EF80F6">
            <w:pPr>
              <w:spacing w:line="360" w:lineRule="auto"/>
              <w:ind w:firstLine="482" w:firstLineChars="200"/>
              <w:rPr>
                <w:b/>
                <w:bCs/>
                <w:u w:val="single"/>
              </w:rPr>
            </w:pPr>
            <w:r>
              <w:rPr>
                <w:rFonts w:hint="eastAsia"/>
                <w:b/>
                <w:bCs/>
                <w:u w:val="single"/>
              </w:rPr>
              <w:t>陆域布置船艇冬季存放区，用于船艇存放，仅上岸后进行一次船体冲洗，不涉及船艇维修工作。为便于船舶上、下水及停放，船舶停放场地布置于滑道向岸侧，材料临时存放区的西南侧，场地满足6艘船艇冬季存放，横向布置3个船位，纵向布置两列船位，船艇冬季存放区面积5578 m</w:t>
            </w:r>
            <w:r>
              <w:rPr>
                <w:rFonts w:hint="eastAsia"/>
                <w:b/>
                <w:bCs/>
                <w:u w:val="single"/>
                <w:vertAlign w:val="superscript"/>
              </w:rPr>
              <w:t>2</w:t>
            </w:r>
            <w:r>
              <w:rPr>
                <w:rFonts w:hint="eastAsia"/>
                <w:b/>
                <w:bCs/>
                <w:u w:val="single"/>
              </w:rPr>
              <w:t>，满足船舶停放需求。</w:t>
            </w:r>
          </w:p>
          <w:p w14:paraId="727FD9BE">
            <w:pPr>
              <w:spacing w:line="360" w:lineRule="auto"/>
              <w:ind w:firstLine="480" w:firstLineChars="200"/>
            </w:pPr>
            <w:r>
              <w:rPr>
                <w:rFonts w:hint="eastAsia"/>
              </w:rPr>
              <w:t>④道路</w:t>
            </w:r>
          </w:p>
          <w:p w14:paraId="2DD13EB8">
            <w:pPr>
              <w:spacing w:line="360" w:lineRule="auto"/>
              <w:ind w:firstLine="480" w:firstLineChars="200"/>
            </w:pPr>
            <w:r>
              <w:rPr>
                <w:rFonts w:hint="eastAsia"/>
              </w:rPr>
              <w:t>码头内沿堆场设置环形路，道路宽度均为7m，道路总面积4871m</w:t>
            </w:r>
            <w:r>
              <w:rPr>
                <w:rFonts w:hint="eastAsia"/>
                <w:vertAlign w:val="superscript"/>
              </w:rPr>
              <w:t>2</w:t>
            </w:r>
            <w:r>
              <w:rPr>
                <w:rFonts w:hint="eastAsia"/>
              </w:rPr>
              <w:t>。</w:t>
            </w:r>
          </w:p>
          <w:p w14:paraId="4F5FD383">
            <w:pPr>
              <w:spacing w:line="360" w:lineRule="auto"/>
              <w:ind w:firstLine="480" w:firstLineChars="200"/>
            </w:pPr>
            <w:r>
              <w:rPr>
                <w:rFonts w:hint="eastAsia"/>
              </w:rPr>
              <w:t>（3）绿化</w:t>
            </w:r>
          </w:p>
          <w:p w14:paraId="2A422B0C">
            <w:pPr>
              <w:spacing w:line="360" w:lineRule="auto"/>
              <w:ind w:firstLine="480" w:firstLineChars="200"/>
            </w:pPr>
            <w:r>
              <w:rPr>
                <w:rFonts w:hint="eastAsia"/>
              </w:rPr>
              <w:t>陆域内根据实际情况，在适合的区域布置绿化，绿化面积约为4554m</w:t>
            </w:r>
            <w:r>
              <w:rPr>
                <w:rFonts w:hint="eastAsia"/>
                <w:vertAlign w:val="superscript"/>
              </w:rPr>
              <w:t>2</w:t>
            </w:r>
            <w:r>
              <w:rPr>
                <w:rFonts w:hint="eastAsia"/>
              </w:rPr>
              <w:t>。</w:t>
            </w:r>
          </w:p>
          <w:p w14:paraId="3676F79D">
            <w:pPr>
              <w:spacing w:line="360" w:lineRule="auto"/>
              <w:ind w:firstLine="480" w:firstLineChars="200"/>
            </w:pPr>
            <w:r>
              <w:rPr>
                <w:rFonts w:hint="eastAsia"/>
              </w:rPr>
              <w:t>2、施工布置</w:t>
            </w:r>
          </w:p>
          <w:p w14:paraId="3A9C9DC2">
            <w:pPr>
              <w:spacing w:line="360" w:lineRule="auto"/>
              <w:ind w:firstLine="480" w:firstLineChars="200"/>
            </w:pPr>
            <w:r>
              <w:rPr>
                <w:rFonts w:hint="eastAsia"/>
              </w:rPr>
              <w:t>（1）施工“三场”布置</w:t>
            </w:r>
          </w:p>
          <w:p w14:paraId="6DCFCC6D">
            <w:pPr>
              <w:spacing w:line="360" w:lineRule="auto"/>
              <w:ind w:firstLine="480" w:firstLineChars="200"/>
            </w:pPr>
            <w:r>
              <w:rPr>
                <w:rFonts w:hint="eastAsia"/>
              </w:rPr>
              <w:t>①取土场</w:t>
            </w:r>
          </w:p>
          <w:p w14:paraId="57E2636A">
            <w:pPr>
              <w:spacing w:line="360" w:lineRule="auto"/>
              <w:ind w:firstLine="480" w:firstLineChars="200"/>
            </w:pPr>
            <w:r>
              <w:rPr>
                <w:rFonts w:hint="eastAsia"/>
              </w:rPr>
              <w:t>本工程不设置取土场，工程施工填筑土方全部采用本工程的挖方，不足部分为外购土方。</w:t>
            </w:r>
          </w:p>
          <w:p w14:paraId="230CB00D">
            <w:pPr>
              <w:spacing w:line="360" w:lineRule="auto"/>
              <w:ind w:firstLine="480" w:firstLineChars="200"/>
            </w:pPr>
            <w:r>
              <w:rPr>
                <w:rFonts w:hint="eastAsia"/>
              </w:rPr>
              <w:t>②弃土场</w:t>
            </w:r>
          </w:p>
          <w:p w14:paraId="38CAB4B2">
            <w:pPr>
              <w:spacing w:line="360" w:lineRule="auto"/>
              <w:ind w:firstLine="480" w:firstLineChars="200"/>
            </w:pPr>
            <w:r>
              <w:rPr>
                <w:rFonts w:hint="eastAsia"/>
              </w:rPr>
              <w:t>本工程施工过程中所有挖方均回填利用，即本项目无需设置弃土场。</w:t>
            </w:r>
          </w:p>
          <w:p w14:paraId="5382DF90">
            <w:pPr>
              <w:spacing w:line="360" w:lineRule="auto"/>
              <w:ind w:firstLine="480" w:firstLineChars="200"/>
            </w:pPr>
            <w:r>
              <w:rPr>
                <w:rFonts w:hint="eastAsia"/>
              </w:rPr>
              <w:t>③拌合场</w:t>
            </w:r>
          </w:p>
          <w:p w14:paraId="5EC77B6A">
            <w:pPr>
              <w:spacing w:line="360" w:lineRule="auto"/>
              <w:ind w:firstLine="480" w:firstLineChars="200"/>
            </w:pPr>
            <w:r>
              <w:rPr>
                <w:rFonts w:hint="eastAsia"/>
              </w:rPr>
              <w:t>本项目施工所用的混凝土自本地市场购入，成品商砼直接运至本工程场地，本工程不设置拌合场地。</w:t>
            </w:r>
          </w:p>
          <w:p w14:paraId="25D68520">
            <w:pPr>
              <w:spacing w:line="360" w:lineRule="auto"/>
              <w:ind w:firstLine="480" w:firstLineChars="200"/>
            </w:pPr>
            <w:r>
              <w:rPr>
                <w:rFonts w:hint="eastAsia"/>
              </w:rPr>
              <w:t>④施工场地</w:t>
            </w:r>
          </w:p>
          <w:p w14:paraId="31BDDA84">
            <w:pPr>
              <w:spacing w:line="360" w:lineRule="auto"/>
              <w:ind w:firstLine="480" w:firstLineChars="200"/>
            </w:pPr>
            <w:r>
              <w:rPr>
                <w:rFonts w:hint="eastAsia"/>
              </w:rPr>
              <w:t>本工程利用永久占地作为施工场地，主要用于各类施工机械停放、临时堆料场、临时弃渣场，不另设临时施工场地。</w:t>
            </w:r>
          </w:p>
          <w:p w14:paraId="5B74D524">
            <w:pPr>
              <w:spacing w:line="360" w:lineRule="auto"/>
              <w:ind w:firstLine="480" w:firstLineChars="200"/>
            </w:pPr>
            <w:r>
              <w:rPr>
                <w:rFonts w:hint="eastAsia"/>
              </w:rPr>
              <w:t>⑤施工营地</w:t>
            </w:r>
          </w:p>
          <w:p w14:paraId="2C21A217">
            <w:pPr>
              <w:spacing w:line="360" w:lineRule="auto"/>
              <w:ind w:firstLine="480" w:firstLineChars="200"/>
            </w:pPr>
            <w:r>
              <w:rPr>
                <w:rFonts w:hint="eastAsia"/>
              </w:rPr>
              <w:t>本项目施工人员均来自当地，故不设置施工营地。</w:t>
            </w:r>
          </w:p>
          <w:p w14:paraId="2154284B">
            <w:pPr>
              <w:spacing w:line="360" w:lineRule="auto"/>
              <w:ind w:firstLine="480" w:firstLineChars="200"/>
            </w:pPr>
            <w:r>
              <w:rPr>
                <w:rFonts w:hint="eastAsia"/>
              </w:rPr>
              <w:t>⑥临时道路</w:t>
            </w:r>
          </w:p>
          <w:p w14:paraId="349A9A37">
            <w:pPr>
              <w:spacing w:line="360" w:lineRule="auto"/>
              <w:ind w:firstLine="482" w:firstLineChars="200"/>
              <w:rPr>
                <w:b/>
                <w:bCs/>
                <w:u w:val="single"/>
              </w:rPr>
            </w:pPr>
            <w:r>
              <w:rPr>
                <w:rFonts w:hint="eastAsia"/>
                <w:b/>
                <w:bCs/>
                <w:u w:val="single"/>
              </w:rPr>
              <w:t>本项目临近公路，工程设计建设进出场道路，可直接进入本工程，因此无需设置施工临时道路。</w:t>
            </w:r>
          </w:p>
          <w:p w14:paraId="773317B7">
            <w:pPr>
              <w:spacing w:line="360" w:lineRule="auto"/>
              <w:ind w:firstLine="482" w:firstLineChars="200"/>
              <w:rPr>
                <w:b/>
                <w:bCs/>
                <w:u w:val="single"/>
              </w:rPr>
            </w:pPr>
            <w:r>
              <w:rPr>
                <w:rFonts w:hint="eastAsia"/>
                <w:b/>
                <w:bCs/>
                <w:u w:val="single"/>
              </w:rPr>
              <w:t>3、工程用地</w:t>
            </w:r>
          </w:p>
          <w:p w14:paraId="52D3E81C">
            <w:pPr>
              <w:spacing w:line="360" w:lineRule="auto"/>
              <w:ind w:firstLine="482" w:firstLineChars="200"/>
            </w:pPr>
            <w:r>
              <w:rPr>
                <w:rFonts w:hint="eastAsia"/>
                <w:b/>
                <w:bCs/>
                <w:u w:val="single"/>
              </w:rPr>
              <w:t>根据本项目用地预审与选址意见书，本项目用地面积为</w:t>
            </w:r>
            <w:r>
              <w:rPr>
                <w:b/>
                <w:bCs/>
                <w:u w:val="single"/>
              </w:rPr>
              <w:t>38364</w:t>
            </w:r>
            <w:r>
              <w:rPr>
                <w:rFonts w:hint="eastAsia"/>
                <w:b/>
                <w:bCs/>
                <w:u w:val="single"/>
              </w:rPr>
              <w:t>㎡，用地性质及现状均为内陆滩涂。本项目建成后，形成码头陆域面积26596m</w:t>
            </w:r>
            <w:r>
              <w:rPr>
                <w:rFonts w:hint="eastAsia"/>
                <w:b/>
                <w:bCs/>
                <w:u w:val="single"/>
                <w:vertAlign w:val="superscript"/>
              </w:rPr>
              <w:t>2</w:t>
            </w:r>
            <w:r>
              <w:rPr>
                <w:rFonts w:hint="eastAsia"/>
                <w:b/>
                <w:bCs/>
                <w:u w:val="single"/>
              </w:rPr>
              <w:t>，港池及停泊水域面积11768m</w:t>
            </w:r>
            <w:r>
              <w:rPr>
                <w:rFonts w:hint="eastAsia"/>
                <w:b/>
                <w:bCs/>
                <w:u w:val="single"/>
                <w:vertAlign w:val="superscript"/>
              </w:rPr>
              <w:t>2</w:t>
            </w:r>
            <w:r>
              <w:rPr>
                <w:rFonts w:hint="eastAsia"/>
                <w:b/>
                <w:bCs/>
                <w:u w:val="single"/>
              </w:rPr>
              <w:t>。另外本项目还对设计的回旋水域部分进行疏浚，面积23371.3㎡，此部分土地利用现状为水域。</w:t>
            </w:r>
          </w:p>
        </w:tc>
      </w:tr>
      <w:tr w14:paraId="6A0C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0BDABB51">
            <w:pPr>
              <w:jc w:val="center"/>
            </w:pPr>
            <w:r>
              <w:rPr>
                <w:rFonts w:hint="eastAsia"/>
              </w:rPr>
              <w:t>施工方案</w:t>
            </w:r>
          </w:p>
        </w:tc>
        <w:tc>
          <w:tcPr>
            <w:tcW w:w="7840" w:type="dxa"/>
            <w:vAlign w:val="center"/>
          </w:tcPr>
          <w:p w14:paraId="53B91A79">
            <w:pPr>
              <w:spacing w:line="360" w:lineRule="auto"/>
              <w:ind w:firstLine="482" w:firstLineChars="200"/>
              <w:rPr>
                <w:b/>
                <w:bCs/>
                <w:u w:val="single"/>
              </w:rPr>
            </w:pPr>
            <w:r>
              <w:rPr>
                <w:rFonts w:hint="eastAsia"/>
                <w:b/>
                <w:bCs/>
                <w:u w:val="single"/>
              </w:rPr>
              <w:t>1、施工工序</w:t>
            </w:r>
          </w:p>
          <w:p w14:paraId="5D57CD30">
            <w:pPr>
              <w:spacing w:line="360" w:lineRule="auto"/>
              <w:ind w:firstLine="482" w:firstLineChars="200"/>
              <w:rPr>
                <w:b/>
                <w:bCs/>
                <w:u w:val="single"/>
              </w:rPr>
            </w:pPr>
            <w:r>
              <w:rPr>
                <w:rFonts w:hint="eastAsia"/>
                <w:b/>
                <w:bCs/>
                <w:u w:val="single"/>
              </w:rPr>
              <w:t>本项目主体设计施工前对场地进行清理，回填碎石形成施工场地。先进行码头、护岸的施工，同时开展疏浚工程及陆域回填，地基处理后开展管线、辅助建筑物及场地面层施工，建设过程中统筹安排，确保施工进度安排紧凑合理，在满足工程施工需要的同时，保证各项工程有序进行，有效减少施工时间，同时有关土石方工程尽量避开雨季施工，减少施工过程中的水土流失。</w:t>
            </w:r>
          </w:p>
          <w:p w14:paraId="7B54ABC9">
            <w:pPr>
              <w:spacing w:line="360" w:lineRule="auto"/>
              <w:ind w:firstLine="482" w:firstLineChars="200"/>
              <w:rPr>
                <w:b/>
                <w:bCs/>
                <w:u w:val="single"/>
              </w:rPr>
            </w:pPr>
            <w:r>
              <w:rPr>
                <w:rFonts w:hint="eastAsia"/>
                <w:b/>
                <w:bCs/>
                <w:u w:val="single"/>
              </w:rPr>
              <w:t>2、施工时段</w:t>
            </w:r>
          </w:p>
          <w:p w14:paraId="1B639950">
            <w:pPr>
              <w:spacing w:line="360" w:lineRule="auto"/>
              <w:ind w:firstLine="482" w:firstLineChars="200"/>
              <w:rPr>
                <w:b/>
                <w:bCs/>
                <w:u w:val="single"/>
              </w:rPr>
            </w:pPr>
            <w:r>
              <w:rPr>
                <w:rFonts w:hint="eastAsia"/>
                <w:b/>
                <w:bCs/>
                <w:u w:val="single"/>
              </w:rPr>
              <w:t>本工程区域位于云峰库区，该水库高水期回水可至大栗子街道附近，汛期水位较高可以漫过施工区域，根据水利主管部门要求，本工程汛期不进行施工，所以施工时段避开汛期及结冰期，施工时间选择在非汛期，主体工程安排在3-5月、9-11月；配套工程均为陆上作业，施工时段不受水期影响，根据陆域形成及相关工程的进度交叉安排施工。</w:t>
            </w:r>
          </w:p>
          <w:p w14:paraId="6150BEDB">
            <w:pPr>
              <w:spacing w:line="360" w:lineRule="auto"/>
              <w:ind w:firstLine="480" w:firstLineChars="200"/>
            </w:pPr>
            <w:r>
              <w:rPr>
                <w:rFonts w:hint="eastAsia"/>
              </w:rPr>
              <w:t>3、施工工艺</w:t>
            </w:r>
          </w:p>
          <w:p w14:paraId="0975D410">
            <w:pPr>
              <w:spacing w:line="360" w:lineRule="auto"/>
              <w:ind w:firstLine="480" w:firstLineChars="200"/>
            </w:pPr>
            <w:r>
              <w:rPr>
                <w:rFonts w:hint="eastAsia"/>
              </w:rPr>
              <w:t>本工程主要为码头工程、港池、水域工程、道路堆场工程、护岸工程及配套工程。</w:t>
            </w:r>
          </w:p>
          <w:p w14:paraId="66215EF7">
            <w:pPr>
              <w:spacing w:line="360" w:lineRule="auto"/>
              <w:ind w:firstLine="480" w:firstLineChars="200"/>
            </w:pPr>
            <w:r>
              <w:rPr>
                <w:rFonts w:hint="eastAsia"/>
              </w:rPr>
              <w:t>（1）码头施工</w:t>
            </w:r>
          </w:p>
          <w:p w14:paraId="3B97C389">
            <w:pPr>
              <w:spacing w:line="360" w:lineRule="auto"/>
              <w:ind w:firstLine="480" w:firstLineChars="200"/>
            </w:pPr>
            <w:r>
              <w:rPr>
                <w:rFonts w:hint="eastAsia"/>
              </w:rPr>
              <w:t>本工程区域位于云峰库区，汛期水位较高可以漫过施工区域，根据水利主管部门要求，本工程汛期不进行施工，施工时间主要选择在非汛期施工。本工程场地现状为河岸滩地，现状标高316.5~318.0m。</w:t>
            </w:r>
            <w:r>
              <w:rPr>
                <w:rFonts w:hint="eastAsia"/>
                <w:b/>
                <w:bCs/>
                <w:u w:val="single"/>
              </w:rPr>
              <w:t>除汛期7~8月以外，场地基本在水面以上。基槽可在陆上开挖，基槽开挖后可进行基床抛石并整平。因此本项目码头工程基本上均无涉水施工。</w:t>
            </w:r>
          </w:p>
          <w:p w14:paraId="69F79219">
            <w:pPr>
              <w:spacing w:line="360" w:lineRule="auto"/>
              <w:ind w:firstLine="482" w:firstLineChars="200"/>
            </w:pPr>
            <w:r>
              <w:rPr>
                <w:rFonts w:hint="eastAsia"/>
                <w:b/>
                <w:bCs/>
                <w:u w:val="single"/>
              </w:rPr>
              <w:t>本工程场地现状为河岸滩地，整平后可作为码头混凝土方块预制场，码头工程先进行混凝土胸墙施工，再进行后方石方填筑。</w:t>
            </w:r>
            <w:r>
              <w:rPr>
                <w:rFonts w:hint="eastAsia"/>
              </w:rPr>
              <w:t>基床抛石后，通过履带吊安装混凝土方块，码头胸墙采用现场浇筑施工。混凝土施工首先安装模板；商品混凝土采用混凝土运输车运至施工现场，进行浇筑振捣；混凝土施工完毕后进行后方倒滤层施工。</w:t>
            </w:r>
          </w:p>
          <w:p w14:paraId="0C3E20CA">
            <w:pPr>
              <w:spacing w:line="360" w:lineRule="auto"/>
              <w:ind w:firstLine="480" w:firstLineChars="200"/>
            </w:pPr>
            <w:r>
              <w:rPr>
                <w:rFonts w:hint="eastAsia"/>
              </w:rPr>
              <w:t>（2）港池、水域施工</w:t>
            </w:r>
          </w:p>
          <w:p w14:paraId="636B02EF">
            <w:pPr>
              <w:spacing w:line="360" w:lineRule="auto"/>
              <w:ind w:firstLine="482" w:firstLineChars="200"/>
              <w:rPr>
                <w:b/>
                <w:bCs/>
                <w:u w:val="single"/>
              </w:rPr>
            </w:pPr>
            <w:r>
              <w:rPr>
                <w:rFonts w:hint="eastAsia"/>
                <w:b/>
                <w:bCs/>
                <w:u w:val="single"/>
              </w:rPr>
              <w:t>根据本项目初步设计，本工程不涉及施工围堰建设内容，港池及回旋水域采用水上施工的方式，使用铲斗挖泥船进行疏浚工程施工，开挖的砂石通过自卸砂船皮带机输送上岸，直接用于陆域回填，不进行晾晒、干化。</w:t>
            </w:r>
          </w:p>
          <w:p w14:paraId="6DB181F2">
            <w:pPr>
              <w:spacing w:line="360" w:lineRule="auto"/>
              <w:ind w:firstLine="482" w:firstLineChars="200"/>
            </w:pPr>
            <w:r>
              <w:rPr>
                <w:rFonts w:hint="eastAsia"/>
                <w:b/>
                <w:bCs/>
                <w:u w:val="single"/>
              </w:rPr>
              <w:t>根据本项目初步设计，本工程水域开挖范围为港池、停泊水域及回旋水域范围，疏浚面积为：35139.3㎡，疏浚深度为0.27-3.52m，总疏浚量为6.27万m</w:t>
            </w:r>
            <w:r>
              <w:rPr>
                <w:rFonts w:hint="eastAsia"/>
                <w:b/>
                <w:bCs/>
                <w:u w:val="single"/>
                <w:vertAlign w:val="superscript"/>
              </w:rPr>
              <w:t>3</w:t>
            </w:r>
            <w:r>
              <w:rPr>
                <w:rFonts w:hint="eastAsia"/>
                <w:b/>
                <w:bCs/>
                <w:u w:val="single"/>
              </w:rPr>
              <w:t>，此部分采用挖泥船进行施工，产生的疏浚物全部用于陆域回填土，无弃土。本项目疏浚施工区域坐标如下表所示：</w:t>
            </w:r>
          </w:p>
          <w:p w14:paraId="31E9280F">
            <w:pPr>
              <w:spacing w:line="360" w:lineRule="auto"/>
              <w:ind w:firstLine="482" w:firstLineChars="200"/>
              <w:rPr>
                <w:b/>
                <w:bCs/>
                <w:u w:val="single"/>
              </w:rPr>
            </w:pPr>
          </w:p>
          <w:p w14:paraId="3F12FFD7">
            <w:pPr>
              <w:spacing w:line="360" w:lineRule="auto"/>
              <w:jc w:val="center"/>
              <w:rPr>
                <w:b/>
                <w:bCs/>
                <w:u w:val="single"/>
              </w:rPr>
            </w:pPr>
            <w:r>
              <w:rPr>
                <w:rFonts w:hint="eastAsia"/>
                <w:b/>
                <w:bCs/>
                <w:u w:val="single"/>
              </w:rPr>
              <w:t>表20    本项目疏浚区域拐点坐标一览表</w:t>
            </w:r>
          </w:p>
          <w:tbl>
            <w:tblPr>
              <w:tblStyle w:val="5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0"/>
              <w:gridCol w:w="2541"/>
              <w:gridCol w:w="2541"/>
            </w:tblGrid>
            <w:tr w14:paraId="14150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Merge w:val="restart"/>
                  <w:vAlign w:val="center"/>
                </w:tcPr>
                <w:p w14:paraId="2D71EDD8">
                  <w:pPr>
                    <w:jc w:val="center"/>
                    <w:rPr>
                      <w:rFonts w:cs="Times New Roman"/>
                      <w:b/>
                      <w:bCs/>
                      <w:i/>
                      <w:iCs/>
                      <w:kern w:val="0"/>
                      <w:sz w:val="21"/>
                      <w:szCs w:val="21"/>
                      <w:u w:val="single"/>
                    </w:rPr>
                  </w:pPr>
                  <w:r>
                    <w:rPr>
                      <w:rFonts w:hint="eastAsia" w:cs="Times New Roman"/>
                      <w:b/>
                      <w:bCs/>
                      <w:i/>
                      <w:iCs/>
                      <w:kern w:val="0"/>
                      <w:sz w:val="21"/>
                      <w:szCs w:val="21"/>
                      <w:u w:val="single"/>
                    </w:rPr>
                    <w:t>编号</w:t>
                  </w:r>
                </w:p>
              </w:tc>
              <w:tc>
                <w:tcPr>
                  <w:tcW w:w="5082" w:type="dxa"/>
                  <w:gridSpan w:val="2"/>
                  <w:vAlign w:val="center"/>
                </w:tcPr>
                <w:p w14:paraId="49992B0B">
                  <w:pPr>
                    <w:jc w:val="center"/>
                    <w:rPr>
                      <w:rFonts w:cs="Times New Roman"/>
                      <w:b/>
                      <w:bCs/>
                      <w:i/>
                      <w:iCs/>
                      <w:kern w:val="0"/>
                      <w:sz w:val="21"/>
                      <w:szCs w:val="21"/>
                      <w:u w:val="single"/>
                    </w:rPr>
                  </w:pPr>
                  <w:r>
                    <w:rPr>
                      <w:rFonts w:hint="eastAsia" w:cs="Times New Roman"/>
                      <w:b/>
                      <w:bCs/>
                      <w:i/>
                      <w:iCs/>
                      <w:kern w:val="0"/>
                      <w:sz w:val="21"/>
                      <w:szCs w:val="21"/>
                      <w:u w:val="single"/>
                    </w:rPr>
                    <w:t>坐标值（m）</w:t>
                  </w:r>
                </w:p>
              </w:tc>
            </w:tr>
            <w:tr w14:paraId="21E0A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Merge w:val="continue"/>
                  <w:vAlign w:val="center"/>
                </w:tcPr>
                <w:p w14:paraId="06D18600">
                  <w:pPr>
                    <w:jc w:val="center"/>
                    <w:rPr>
                      <w:rFonts w:cs="Times New Roman"/>
                      <w:b/>
                      <w:bCs/>
                      <w:i/>
                      <w:iCs/>
                      <w:kern w:val="0"/>
                      <w:sz w:val="21"/>
                      <w:szCs w:val="21"/>
                      <w:u w:val="single"/>
                    </w:rPr>
                  </w:pPr>
                </w:p>
              </w:tc>
              <w:tc>
                <w:tcPr>
                  <w:tcW w:w="2541" w:type="dxa"/>
                  <w:vAlign w:val="center"/>
                </w:tcPr>
                <w:p w14:paraId="2F0E5710">
                  <w:pPr>
                    <w:jc w:val="center"/>
                    <w:rPr>
                      <w:rFonts w:cs="Times New Roman"/>
                      <w:b/>
                      <w:bCs/>
                      <w:i/>
                      <w:iCs/>
                      <w:kern w:val="0"/>
                      <w:sz w:val="21"/>
                      <w:szCs w:val="21"/>
                      <w:u w:val="single"/>
                    </w:rPr>
                  </w:pPr>
                  <w:r>
                    <w:rPr>
                      <w:rFonts w:hint="eastAsia" w:cs="Times New Roman"/>
                      <w:b/>
                      <w:bCs/>
                      <w:i/>
                      <w:iCs/>
                      <w:kern w:val="0"/>
                      <w:sz w:val="21"/>
                      <w:szCs w:val="21"/>
                      <w:u w:val="single"/>
                    </w:rPr>
                    <w:t>X</w:t>
                  </w:r>
                </w:p>
              </w:tc>
              <w:tc>
                <w:tcPr>
                  <w:tcW w:w="2541" w:type="dxa"/>
                  <w:vAlign w:val="center"/>
                </w:tcPr>
                <w:p w14:paraId="542EC8F8">
                  <w:pPr>
                    <w:jc w:val="center"/>
                    <w:rPr>
                      <w:rFonts w:cs="Times New Roman"/>
                      <w:b/>
                      <w:bCs/>
                      <w:i/>
                      <w:iCs/>
                      <w:kern w:val="0"/>
                      <w:sz w:val="21"/>
                      <w:szCs w:val="21"/>
                      <w:u w:val="single"/>
                    </w:rPr>
                  </w:pPr>
                  <w:r>
                    <w:rPr>
                      <w:rFonts w:hint="eastAsia" w:cs="Times New Roman"/>
                      <w:b/>
                      <w:bCs/>
                      <w:i/>
                      <w:iCs/>
                      <w:kern w:val="0"/>
                      <w:sz w:val="21"/>
                      <w:szCs w:val="21"/>
                      <w:u w:val="single"/>
                    </w:rPr>
                    <w:t>Y</w:t>
                  </w:r>
                </w:p>
              </w:tc>
            </w:tr>
            <w:tr w14:paraId="7B8B5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42BAE6CC">
                  <w:pPr>
                    <w:jc w:val="center"/>
                    <w:rPr>
                      <w:rFonts w:cs="Times New Roman"/>
                      <w:i/>
                      <w:iCs/>
                      <w:kern w:val="0"/>
                      <w:sz w:val="21"/>
                      <w:szCs w:val="21"/>
                      <w:u w:val="single"/>
                    </w:rPr>
                  </w:pPr>
                  <w:r>
                    <w:rPr>
                      <w:rFonts w:hint="eastAsia" w:cs="Times New Roman"/>
                      <w:i/>
                      <w:iCs/>
                      <w:kern w:val="0"/>
                      <w:sz w:val="21"/>
                      <w:szCs w:val="21"/>
                      <w:u w:val="single"/>
                    </w:rPr>
                    <w:t>S01</w:t>
                  </w:r>
                </w:p>
              </w:tc>
              <w:tc>
                <w:tcPr>
                  <w:tcW w:w="2541" w:type="dxa"/>
                  <w:vAlign w:val="center"/>
                </w:tcPr>
                <w:p w14:paraId="17350903">
                  <w:pPr>
                    <w:jc w:val="center"/>
                    <w:rPr>
                      <w:rFonts w:cs="Times New Roman"/>
                      <w:i/>
                      <w:iCs/>
                      <w:kern w:val="0"/>
                      <w:sz w:val="21"/>
                      <w:szCs w:val="21"/>
                      <w:u w:val="single"/>
                    </w:rPr>
                  </w:pPr>
                  <w:r>
                    <w:rPr>
                      <w:rFonts w:hint="eastAsia" w:cs="Times New Roman"/>
                      <w:i/>
                      <w:iCs/>
                      <w:kern w:val="0"/>
                      <w:sz w:val="21"/>
                      <w:szCs w:val="21"/>
                      <w:u w:val="single"/>
                    </w:rPr>
                    <w:t>4622830.307</w:t>
                  </w:r>
                </w:p>
              </w:tc>
              <w:tc>
                <w:tcPr>
                  <w:tcW w:w="2541" w:type="dxa"/>
                  <w:vAlign w:val="center"/>
                </w:tcPr>
                <w:p w14:paraId="68A776F4">
                  <w:pPr>
                    <w:jc w:val="center"/>
                    <w:rPr>
                      <w:rFonts w:cs="Times New Roman"/>
                      <w:i/>
                      <w:iCs/>
                      <w:kern w:val="0"/>
                      <w:sz w:val="21"/>
                      <w:szCs w:val="21"/>
                      <w:u w:val="single"/>
                    </w:rPr>
                  </w:pPr>
                  <w:r>
                    <w:rPr>
                      <w:rFonts w:hint="eastAsia" w:cs="Times New Roman"/>
                      <w:i/>
                      <w:iCs/>
                      <w:kern w:val="0"/>
                      <w:sz w:val="21"/>
                      <w:szCs w:val="21"/>
                      <w:u w:val="single"/>
                    </w:rPr>
                    <w:t>42570118.018</w:t>
                  </w:r>
                </w:p>
              </w:tc>
            </w:tr>
            <w:tr w14:paraId="0BE52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2BAFEE1B">
                  <w:pPr>
                    <w:jc w:val="center"/>
                    <w:rPr>
                      <w:rFonts w:cs="Times New Roman"/>
                      <w:i/>
                      <w:iCs/>
                      <w:kern w:val="0"/>
                      <w:sz w:val="21"/>
                      <w:szCs w:val="21"/>
                      <w:u w:val="single"/>
                    </w:rPr>
                  </w:pPr>
                  <w:r>
                    <w:rPr>
                      <w:rFonts w:hint="eastAsia" w:cs="Times New Roman"/>
                      <w:i/>
                      <w:iCs/>
                      <w:kern w:val="0"/>
                      <w:sz w:val="21"/>
                      <w:szCs w:val="21"/>
                      <w:u w:val="single"/>
                    </w:rPr>
                    <w:t>S02</w:t>
                  </w:r>
                </w:p>
              </w:tc>
              <w:tc>
                <w:tcPr>
                  <w:tcW w:w="2541" w:type="dxa"/>
                  <w:vAlign w:val="center"/>
                </w:tcPr>
                <w:p w14:paraId="174E3C55">
                  <w:pPr>
                    <w:jc w:val="center"/>
                    <w:rPr>
                      <w:rFonts w:cs="Times New Roman"/>
                      <w:i/>
                      <w:iCs/>
                      <w:kern w:val="0"/>
                      <w:sz w:val="21"/>
                      <w:szCs w:val="21"/>
                      <w:u w:val="single"/>
                    </w:rPr>
                  </w:pPr>
                  <w:r>
                    <w:rPr>
                      <w:rFonts w:hint="eastAsia" w:cs="Times New Roman"/>
                      <w:i/>
                      <w:iCs/>
                      <w:kern w:val="0"/>
                      <w:sz w:val="21"/>
                      <w:szCs w:val="21"/>
                      <w:u w:val="single"/>
                    </w:rPr>
                    <w:t>4622740.124</w:t>
                  </w:r>
                </w:p>
              </w:tc>
              <w:tc>
                <w:tcPr>
                  <w:tcW w:w="2541" w:type="dxa"/>
                  <w:vAlign w:val="center"/>
                </w:tcPr>
                <w:p w14:paraId="2F6D3709">
                  <w:pPr>
                    <w:jc w:val="center"/>
                    <w:rPr>
                      <w:rFonts w:cs="Times New Roman"/>
                      <w:i/>
                      <w:iCs/>
                      <w:kern w:val="0"/>
                      <w:sz w:val="21"/>
                      <w:szCs w:val="21"/>
                      <w:u w:val="single"/>
                    </w:rPr>
                  </w:pPr>
                  <w:r>
                    <w:rPr>
                      <w:rFonts w:hint="eastAsia" w:cs="Times New Roman"/>
                      <w:i/>
                      <w:iCs/>
                      <w:kern w:val="0"/>
                      <w:sz w:val="21"/>
                      <w:szCs w:val="21"/>
                      <w:u w:val="single"/>
                    </w:rPr>
                    <w:t>42570096.416</w:t>
                  </w:r>
                </w:p>
              </w:tc>
            </w:tr>
            <w:tr w14:paraId="0A4FF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7185C115">
                  <w:pPr>
                    <w:jc w:val="center"/>
                    <w:rPr>
                      <w:rFonts w:cs="Times New Roman"/>
                      <w:i/>
                      <w:iCs/>
                      <w:kern w:val="0"/>
                      <w:sz w:val="21"/>
                      <w:szCs w:val="21"/>
                      <w:u w:val="single"/>
                    </w:rPr>
                  </w:pPr>
                  <w:r>
                    <w:rPr>
                      <w:rFonts w:hint="eastAsia" w:cs="Times New Roman"/>
                      <w:i/>
                      <w:iCs/>
                      <w:kern w:val="0"/>
                      <w:sz w:val="21"/>
                      <w:szCs w:val="21"/>
                      <w:u w:val="single"/>
                    </w:rPr>
                    <w:t>S03</w:t>
                  </w:r>
                </w:p>
              </w:tc>
              <w:tc>
                <w:tcPr>
                  <w:tcW w:w="2541" w:type="dxa"/>
                  <w:vAlign w:val="center"/>
                </w:tcPr>
                <w:p w14:paraId="334D42FB">
                  <w:pPr>
                    <w:jc w:val="center"/>
                    <w:rPr>
                      <w:rFonts w:cs="Times New Roman"/>
                      <w:i/>
                      <w:iCs/>
                      <w:kern w:val="0"/>
                      <w:sz w:val="21"/>
                      <w:szCs w:val="21"/>
                      <w:u w:val="single"/>
                    </w:rPr>
                  </w:pPr>
                  <w:r>
                    <w:rPr>
                      <w:rFonts w:hint="eastAsia" w:cs="Times New Roman"/>
                      <w:i/>
                      <w:iCs/>
                      <w:kern w:val="0"/>
                      <w:sz w:val="21"/>
                      <w:szCs w:val="21"/>
                      <w:u w:val="single"/>
                    </w:rPr>
                    <w:t>4622654.057</w:t>
                  </w:r>
                </w:p>
              </w:tc>
              <w:tc>
                <w:tcPr>
                  <w:tcW w:w="2541" w:type="dxa"/>
                  <w:vAlign w:val="center"/>
                </w:tcPr>
                <w:p w14:paraId="360F76DE">
                  <w:pPr>
                    <w:jc w:val="center"/>
                    <w:rPr>
                      <w:rFonts w:cs="Times New Roman"/>
                      <w:i/>
                      <w:iCs/>
                      <w:kern w:val="0"/>
                      <w:sz w:val="21"/>
                      <w:szCs w:val="21"/>
                      <w:u w:val="single"/>
                    </w:rPr>
                  </w:pPr>
                  <w:r>
                    <w:rPr>
                      <w:rFonts w:hint="eastAsia" w:cs="Times New Roman"/>
                      <w:i/>
                      <w:iCs/>
                      <w:kern w:val="0"/>
                      <w:sz w:val="21"/>
                      <w:szCs w:val="21"/>
                      <w:u w:val="single"/>
                    </w:rPr>
                    <w:t>42570125.186</w:t>
                  </w:r>
                </w:p>
              </w:tc>
            </w:tr>
            <w:tr w14:paraId="27E46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3953FC0F">
                  <w:pPr>
                    <w:jc w:val="center"/>
                    <w:rPr>
                      <w:rFonts w:cs="Times New Roman"/>
                      <w:i/>
                      <w:iCs/>
                      <w:kern w:val="0"/>
                      <w:sz w:val="21"/>
                      <w:szCs w:val="21"/>
                      <w:u w:val="single"/>
                    </w:rPr>
                  </w:pPr>
                  <w:r>
                    <w:rPr>
                      <w:rFonts w:hint="eastAsia" w:cs="Times New Roman"/>
                      <w:i/>
                      <w:iCs/>
                      <w:kern w:val="0"/>
                      <w:sz w:val="21"/>
                      <w:szCs w:val="21"/>
                      <w:u w:val="single"/>
                    </w:rPr>
                    <w:t>S04</w:t>
                  </w:r>
                </w:p>
              </w:tc>
              <w:tc>
                <w:tcPr>
                  <w:tcW w:w="2541" w:type="dxa"/>
                  <w:vAlign w:val="center"/>
                </w:tcPr>
                <w:p w14:paraId="65F99088">
                  <w:pPr>
                    <w:jc w:val="center"/>
                    <w:rPr>
                      <w:rFonts w:cs="Times New Roman"/>
                      <w:i/>
                      <w:iCs/>
                      <w:kern w:val="0"/>
                      <w:sz w:val="21"/>
                      <w:szCs w:val="21"/>
                      <w:u w:val="single"/>
                    </w:rPr>
                  </w:pPr>
                  <w:r>
                    <w:rPr>
                      <w:rFonts w:hint="eastAsia" w:cs="Times New Roman"/>
                      <w:i/>
                      <w:iCs/>
                      <w:kern w:val="0"/>
                      <w:sz w:val="21"/>
                      <w:szCs w:val="21"/>
                      <w:u w:val="single"/>
                    </w:rPr>
                    <w:t>4622653.513</w:t>
                  </w:r>
                </w:p>
              </w:tc>
              <w:tc>
                <w:tcPr>
                  <w:tcW w:w="2541" w:type="dxa"/>
                  <w:vAlign w:val="center"/>
                </w:tcPr>
                <w:p w14:paraId="322A9D61">
                  <w:pPr>
                    <w:jc w:val="center"/>
                    <w:rPr>
                      <w:rFonts w:cs="Times New Roman"/>
                      <w:i/>
                      <w:iCs/>
                      <w:kern w:val="0"/>
                      <w:sz w:val="21"/>
                      <w:szCs w:val="21"/>
                      <w:u w:val="single"/>
                    </w:rPr>
                  </w:pPr>
                  <w:r>
                    <w:rPr>
                      <w:rFonts w:hint="eastAsia" w:cs="Times New Roman"/>
                      <w:i/>
                      <w:iCs/>
                      <w:kern w:val="0"/>
                      <w:sz w:val="21"/>
                      <w:szCs w:val="21"/>
                      <w:u w:val="single"/>
                    </w:rPr>
                    <w:t>42570126.303</w:t>
                  </w:r>
                </w:p>
              </w:tc>
            </w:tr>
            <w:tr w14:paraId="21842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7F9A7DE0">
                  <w:pPr>
                    <w:jc w:val="center"/>
                    <w:rPr>
                      <w:rFonts w:cs="Times New Roman"/>
                      <w:i/>
                      <w:iCs/>
                      <w:kern w:val="0"/>
                      <w:sz w:val="21"/>
                      <w:szCs w:val="21"/>
                      <w:u w:val="single"/>
                    </w:rPr>
                  </w:pPr>
                  <w:r>
                    <w:rPr>
                      <w:rFonts w:hint="eastAsia" w:cs="Times New Roman"/>
                      <w:i/>
                      <w:iCs/>
                      <w:kern w:val="0"/>
                      <w:sz w:val="21"/>
                      <w:szCs w:val="21"/>
                      <w:u w:val="single"/>
                    </w:rPr>
                    <w:t>S05</w:t>
                  </w:r>
                </w:p>
              </w:tc>
              <w:tc>
                <w:tcPr>
                  <w:tcW w:w="2541" w:type="dxa"/>
                  <w:vAlign w:val="center"/>
                </w:tcPr>
                <w:p w14:paraId="64DBFCE6">
                  <w:pPr>
                    <w:jc w:val="center"/>
                    <w:rPr>
                      <w:rFonts w:cs="Times New Roman"/>
                      <w:i/>
                      <w:iCs/>
                      <w:kern w:val="0"/>
                      <w:sz w:val="21"/>
                      <w:szCs w:val="21"/>
                      <w:u w:val="single"/>
                    </w:rPr>
                  </w:pPr>
                  <w:r>
                    <w:rPr>
                      <w:rFonts w:hint="eastAsia" w:cs="Times New Roman"/>
                      <w:i/>
                      <w:iCs/>
                      <w:kern w:val="0"/>
                      <w:sz w:val="21"/>
                      <w:szCs w:val="21"/>
                      <w:u w:val="single"/>
                    </w:rPr>
                    <w:t>4622632.494</w:t>
                  </w:r>
                </w:p>
              </w:tc>
              <w:tc>
                <w:tcPr>
                  <w:tcW w:w="2541" w:type="dxa"/>
                  <w:vAlign w:val="center"/>
                </w:tcPr>
                <w:p w14:paraId="6681ED94">
                  <w:pPr>
                    <w:jc w:val="center"/>
                    <w:rPr>
                      <w:rFonts w:cs="Times New Roman"/>
                      <w:i/>
                      <w:iCs/>
                      <w:kern w:val="0"/>
                      <w:sz w:val="21"/>
                      <w:szCs w:val="21"/>
                      <w:u w:val="single"/>
                    </w:rPr>
                  </w:pPr>
                  <w:r>
                    <w:rPr>
                      <w:rFonts w:hint="eastAsia" w:cs="Times New Roman"/>
                      <w:i/>
                      <w:iCs/>
                      <w:kern w:val="0"/>
                      <w:sz w:val="21"/>
                      <w:szCs w:val="21"/>
                      <w:u w:val="single"/>
                    </w:rPr>
                    <w:t>42570169.456</w:t>
                  </w:r>
                </w:p>
              </w:tc>
            </w:tr>
            <w:tr w14:paraId="581A8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65034A8E">
                  <w:pPr>
                    <w:jc w:val="center"/>
                    <w:rPr>
                      <w:rFonts w:cs="Times New Roman"/>
                      <w:i/>
                      <w:iCs/>
                      <w:kern w:val="0"/>
                      <w:sz w:val="21"/>
                      <w:szCs w:val="21"/>
                      <w:u w:val="single"/>
                    </w:rPr>
                  </w:pPr>
                  <w:r>
                    <w:rPr>
                      <w:rFonts w:hint="eastAsia" w:cs="Times New Roman"/>
                      <w:i/>
                      <w:iCs/>
                      <w:kern w:val="0"/>
                      <w:sz w:val="21"/>
                      <w:szCs w:val="21"/>
                      <w:u w:val="single"/>
                    </w:rPr>
                    <w:t>S06</w:t>
                  </w:r>
                </w:p>
              </w:tc>
              <w:tc>
                <w:tcPr>
                  <w:tcW w:w="2541" w:type="dxa"/>
                  <w:vAlign w:val="center"/>
                </w:tcPr>
                <w:p w14:paraId="4A50225F">
                  <w:pPr>
                    <w:jc w:val="center"/>
                    <w:rPr>
                      <w:rFonts w:cs="Times New Roman"/>
                      <w:i/>
                      <w:iCs/>
                      <w:kern w:val="0"/>
                      <w:sz w:val="21"/>
                      <w:szCs w:val="21"/>
                      <w:u w:val="single"/>
                    </w:rPr>
                  </w:pPr>
                  <w:r>
                    <w:rPr>
                      <w:rFonts w:hint="eastAsia" w:cs="Times New Roman"/>
                      <w:i/>
                      <w:iCs/>
                      <w:kern w:val="0"/>
                      <w:sz w:val="21"/>
                      <w:szCs w:val="21"/>
                      <w:u w:val="single"/>
                    </w:rPr>
                    <w:t>4622772.128</w:t>
                  </w:r>
                </w:p>
              </w:tc>
              <w:tc>
                <w:tcPr>
                  <w:tcW w:w="2541" w:type="dxa"/>
                  <w:vAlign w:val="center"/>
                </w:tcPr>
                <w:p w14:paraId="7F4368DB">
                  <w:pPr>
                    <w:jc w:val="center"/>
                    <w:rPr>
                      <w:rFonts w:cs="Times New Roman"/>
                      <w:i/>
                      <w:iCs/>
                      <w:kern w:val="0"/>
                      <w:sz w:val="21"/>
                      <w:szCs w:val="21"/>
                      <w:u w:val="single"/>
                    </w:rPr>
                  </w:pPr>
                  <w:r>
                    <w:rPr>
                      <w:rFonts w:hint="eastAsia" w:cs="Times New Roman"/>
                      <w:i/>
                      <w:iCs/>
                      <w:kern w:val="0"/>
                      <w:sz w:val="21"/>
                      <w:szCs w:val="21"/>
                      <w:u w:val="single"/>
                    </w:rPr>
                    <w:t>42570237.466</w:t>
                  </w:r>
                </w:p>
              </w:tc>
            </w:tr>
            <w:tr w14:paraId="2B1F8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0D5ED8A0">
                  <w:pPr>
                    <w:jc w:val="center"/>
                    <w:rPr>
                      <w:rFonts w:cs="Times New Roman"/>
                      <w:i/>
                      <w:iCs/>
                      <w:kern w:val="0"/>
                      <w:sz w:val="21"/>
                      <w:szCs w:val="21"/>
                      <w:u w:val="single"/>
                    </w:rPr>
                  </w:pPr>
                  <w:r>
                    <w:rPr>
                      <w:rFonts w:hint="eastAsia" w:cs="Times New Roman"/>
                      <w:i/>
                      <w:iCs/>
                      <w:kern w:val="0"/>
                      <w:sz w:val="21"/>
                      <w:szCs w:val="21"/>
                      <w:u w:val="single"/>
                    </w:rPr>
                    <w:t>S07</w:t>
                  </w:r>
                </w:p>
              </w:tc>
              <w:tc>
                <w:tcPr>
                  <w:tcW w:w="2541" w:type="dxa"/>
                  <w:vAlign w:val="center"/>
                </w:tcPr>
                <w:p w14:paraId="0AA928D4">
                  <w:pPr>
                    <w:jc w:val="center"/>
                    <w:rPr>
                      <w:rFonts w:cs="Times New Roman"/>
                      <w:i/>
                      <w:iCs/>
                      <w:kern w:val="0"/>
                      <w:sz w:val="21"/>
                      <w:szCs w:val="21"/>
                      <w:u w:val="single"/>
                    </w:rPr>
                  </w:pPr>
                  <w:r>
                    <w:rPr>
                      <w:rFonts w:hint="eastAsia" w:cs="Times New Roman"/>
                      <w:i/>
                      <w:iCs/>
                      <w:kern w:val="0"/>
                      <w:sz w:val="21"/>
                      <w:szCs w:val="21"/>
                      <w:u w:val="single"/>
                    </w:rPr>
                    <w:t>4622949.687</w:t>
                  </w:r>
                </w:p>
              </w:tc>
              <w:tc>
                <w:tcPr>
                  <w:tcW w:w="2541" w:type="dxa"/>
                  <w:vAlign w:val="center"/>
                </w:tcPr>
                <w:p w14:paraId="168FF10F">
                  <w:pPr>
                    <w:jc w:val="center"/>
                    <w:rPr>
                      <w:rFonts w:cs="Times New Roman"/>
                      <w:i/>
                      <w:iCs/>
                      <w:kern w:val="0"/>
                      <w:sz w:val="21"/>
                      <w:szCs w:val="21"/>
                      <w:u w:val="single"/>
                    </w:rPr>
                  </w:pPr>
                  <w:r>
                    <w:rPr>
                      <w:rFonts w:hint="eastAsia" w:cs="Times New Roman"/>
                      <w:i/>
                      <w:iCs/>
                      <w:kern w:val="0"/>
                      <w:sz w:val="21"/>
                      <w:szCs w:val="21"/>
                      <w:u w:val="single"/>
                    </w:rPr>
                    <w:t>42570323.948</w:t>
                  </w:r>
                </w:p>
              </w:tc>
            </w:tr>
            <w:tr w14:paraId="1268D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749AC053">
                  <w:pPr>
                    <w:jc w:val="center"/>
                    <w:rPr>
                      <w:rFonts w:cs="Times New Roman"/>
                      <w:i/>
                      <w:iCs/>
                      <w:kern w:val="0"/>
                      <w:sz w:val="21"/>
                      <w:szCs w:val="21"/>
                      <w:u w:val="single"/>
                    </w:rPr>
                  </w:pPr>
                  <w:r>
                    <w:rPr>
                      <w:rFonts w:hint="eastAsia" w:cs="Times New Roman"/>
                      <w:i/>
                      <w:iCs/>
                      <w:kern w:val="0"/>
                      <w:sz w:val="21"/>
                      <w:szCs w:val="21"/>
                      <w:u w:val="single"/>
                    </w:rPr>
                    <w:t>S08</w:t>
                  </w:r>
                </w:p>
              </w:tc>
              <w:tc>
                <w:tcPr>
                  <w:tcW w:w="2541" w:type="dxa"/>
                  <w:vAlign w:val="center"/>
                </w:tcPr>
                <w:p w14:paraId="6FD1244A">
                  <w:pPr>
                    <w:jc w:val="center"/>
                    <w:rPr>
                      <w:rFonts w:cs="Times New Roman"/>
                      <w:i/>
                      <w:iCs/>
                      <w:kern w:val="0"/>
                      <w:sz w:val="21"/>
                      <w:szCs w:val="21"/>
                      <w:u w:val="single"/>
                    </w:rPr>
                  </w:pPr>
                  <w:r>
                    <w:rPr>
                      <w:rFonts w:hint="eastAsia" w:cs="Times New Roman"/>
                      <w:i/>
                      <w:iCs/>
                      <w:kern w:val="0"/>
                      <w:sz w:val="21"/>
                      <w:szCs w:val="21"/>
                      <w:u w:val="single"/>
                    </w:rPr>
                    <w:t>4623041.839</w:t>
                  </w:r>
                </w:p>
              </w:tc>
              <w:tc>
                <w:tcPr>
                  <w:tcW w:w="2541" w:type="dxa"/>
                  <w:vAlign w:val="center"/>
                </w:tcPr>
                <w:p w14:paraId="456A19B4">
                  <w:pPr>
                    <w:jc w:val="center"/>
                    <w:rPr>
                      <w:rFonts w:cs="Times New Roman"/>
                      <w:i/>
                      <w:iCs/>
                      <w:kern w:val="0"/>
                      <w:sz w:val="21"/>
                      <w:szCs w:val="21"/>
                      <w:u w:val="single"/>
                    </w:rPr>
                  </w:pPr>
                  <w:r>
                    <w:rPr>
                      <w:rFonts w:hint="eastAsia" w:cs="Times New Roman"/>
                      <w:i/>
                      <w:iCs/>
                      <w:kern w:val="0"/>
                      <w:sz w:val="21"/>
                      <w:szCs w:val="21"/>
                      <w:u w:val="single"/>
                    </w:rPr>
                    <w:t>42570368.832</w:t>
                  </w:r>
                </w:p>
              </w:tc>
            </w:tr>
            <w:tr w14:paraId="61323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5B9C8862">
                  <w:pPr>
                    <w:jc w:val="center"/>
                    <w:rPr>
                      <w:rFonts w:cs="Times New Roman"/>
                      <w:i/>
                      <w:iCs/>
                      <w:kern w:val="0"/>
                      <w:sz w:val="21"/>
                      <w:szCs w:val="21"/>
                      <w:u w:val="single"/>
                    </w:rPr>
                  </w:pPr>
                  <w:r>
                    <w:rPr>
                      <w:rFonts w:hint="eastAsia" w:cs="Times New Roman"/>
                      <w:i/>
                      <w:iCs/>
                      <w:kern w:val="0"/>
                      <w:sz w:val="21"/>
                      <w:szCs w:val="21"/>
                      <w:u w:val="single"/>
                    </w:rPr>
                    <w:t>S09</w:t>
                  </w:r>
                </w:p>
              </w:tc>
              <w:tc>
                <w:tcPr>
                  <w:tcW w:w="2541" w:type="dxa"/>
                  <w:vAlign w:val="center"/>
                </w:tcPr>
                <w:p w14:paraId="1F28FDE2">
                  <w:pPr>
                    <w:jc w:val="center"/>
                    <w:rPr>
                      <w:rFonts w:cs="Times New Roman"/>
                      <w:i/>
                      <w:iCs/>
                      <w:kern w:val="0"/>
                      <w:sz w:val="21"/>
                      <w:szCs w:val="21"/>
                      <w:u w:val="single"/>
                    </w:rPr>
                  </w:pPr>
                  <w:r>
                    <w:rPr>
                      <w:rFonts w:hint="eastAsia" w:cs="Times New Roman"/>
                      <w:i/>
                      <w:iCs/>
                      <w:kern w:val="0"/>
                      <w:sz w:val="21"/>
                      <w:szCs w:val="21"/>
                      <w:u w:val="single"/>
                    </w:rPr>
                    <w:t>4623062.858</w:t>
                  </w:r>
                </w:p>
              </w:tc>
              <w:tc>
                <w:tcPr>
                  <w:tcW w:w="2541" w:type="dxa"/>
                  <w:vAlign w:val="center"/>
                </w:tcPr>
                <w:p w14:paraId="02A07842">
                  <w:pPr>
                    <w:jc w:val="center"/>
                    <w:rPr>
                      <w:rFonts w:cs="Times New Roman"/>
                      <w:i/>
                      <w:iCs/>
                      <w:kern w:val="0"/>
                      <w:sz w:val="21"/>
                      <w:szCs w:val="21"/>
                      <w:u w:val="single"/>
                    </w:rPr>
                  </w:pPr>
                  <w:r>
                    <w:rPr>
                      <w:rFonts w:hint="eastAsia" w:cs="Times New Roman"/>
                      <w:i/>
                      <w:iCs/>
                      <w:kern w:val="0"/>
                      <w:sz w:val="21"/>
                      <w:szCs w:val="21"/>
                      <w:u w:val="single"/>
                    </w:rPr>
                    <w:t>42570325.678</w:t>
                  </w:r>
                </w:p>
              </w:tc>
            </w:tr>
            <w:tr w14:paraId="04990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5E393C78">
                  <w:pPr>
                    <w:jc w:val="center"/>
                    <w:rPr>
                      <w:rFonts w:cs="Times New Roman"/>
                      <w:i/>
                      <w:iCs/>
                      <w:kern w:val="0"/>
                      <w:sz w:val="21"/>
                      <w:szCs w:val="21"/>
                      <w:u w:val="single"/>
                    </w:rPr>
                  </w:pPr>
                  <w:r>
                    <w:rPr>
                      <w:rFonts w:hint="eastAsia" w:cs="Times New Roman"/>
                      <w:i/>
                      <w:iCs/>
                      <w:kern w:val="0"/>
                      <w:sz w:val="21"/>
                      <w:szCs w:val="21"/>
                      <w:u w:val="single"/>
                    </w:rPr>
                    <w:t>S10</w:t>
                  </w:r>
                </w:p>
              </w:tc>
              <w:tc>
                <w:tcPr>
                  <w:tcW w:w="2541" w:type="dxa"/>
                  <w:vAlign w:val="center"/>
                </w:tcPr>
                <w:p w14:paraId="54D1A135">
                  <w:pPr>
                    <w:jc w:val="center"/>
                    <w:rPr>
                      <w:rFonts w:cs="Times New Roman"/>
                      <w:i/>
                      <w:iCs/>
                      <w:kern w:val="0"/>
                      <w:sz w:val="21"/>
                      <w:szCs w:val="21"/>
                      <w:u w:val="single"/>
                    </w:rPr>
                  </w:pPr>
                  <w:r>
                    <w:rPr>
                      <w:rFonts w:hint="eastAsia" w:cs="Times New Roman"/>
                      <w:i/>
                      <w:iCs/>
                      <w:kern w:val="0"/>
                      <w:sz w:val="21"/>
                      <w:szCs w:val="21"/>
                      <w:u w:val="single"/>
                    </w:rPr>
                    <w:t>4623063.402</w:t>
                  </w:r>
                </w:p>
              </w:tc>
              <w:tc>
                <w:tcPr>
                  <w:tcW w:w="2541" w:type="dxa"/>
                  <w:vAlign w:val="center"/>
                </w:tcPr>
                <w:p w14:paraId="09225163">
                  <w:pPr>
                    <w:jc w:val="center"/>
                    <w:rPr>
                      <w:rFonts w:cs="Times New Roman"/>
                      <w:i/>
                      <w:iCs/>
                      <w:kern w:val="0"/>
                      <w:sz w:val="21"/>
                      <w:szCs w:val="21"/>
                      <w:u w:val="single"/>
                    </w:rPr>
                  </w:pPr>
                  <w:r>
                    <w:rPr>
                      <w:rFonts w:hint="eastAsia" w:cs="Times New Roman"/>
                      <w:i/>
                      <w:iCs/>
                      <w:kern w:val="0"/>
                      <w:sz w:val="21"/>
                      <w:szCs w:val="21"/>
                      <w:u w:val="single"/>
                    </w:rPr>
                    <w:t>42570324.561</w:t>
                  </w:r>
                </w:p>
              </w:tc>
            </w:tr>
            <w:tr w14:paraId="28E2B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7CFC2A28">
                  <w:pPr>
                    <w:jc w:val="center"/>
                    <w:rPr>
                      <w:rFonts w:cs="Times New Roman"/>
                      <w:i/>
                      <w:iCs/>
                      <w:kern w:val="0"/>
                      <w:sz w:val="21"/>
                      <w:szCs w:val="21"/>
                      <w:u w:val="single"/>
                    </w:rPr>
                  </w:pPr>
                  <w:r>
                    <w:rPr>
                      <w:rFonts w:hint="eastAsia" w:cs="Times New Roman"/>
                      <w:i/>
                      <w:iCs/>
                      <w:kern w:val="0"/>
                      <w:sz w:val="21"/>
                      <w:szCs w:val="21"/>
                      <w:u w:val="single"/>
                    </w:rPr>
                    <w:t>S11</w:t>
                  </w:r>
                </w:p>
              </w:tc>
              <w:tc>
                <w:tcPr>
                  <w:tcW w:w="2541" w:type="dxa"/>
                  <w:vAlign w:val="center"/>
                </w:tcPr>
                <w:p w14:paraId="70EA3D36">
                  <w:pPr>
                    <w:jc w:val="center"/>
                    <w:rPr>
                      <w:rFonts w:cs="Times New Roman"/>
                      <w:i/>
                      <w:iCs/>
                      <w:kern w:val="0"/>
                      <w:sz w:val="21"/>
                      <w:szCs w:val="21"/>
                      <w:u w:val="single"/>
                    </w:rPr>
                  </w:pPr>
                  <w:r>
                    <w:rPr>
                      <w:rFonts w:hint="eastAsia" w:cs="Times New Roman"/>
                      <w:i/>
                      <w:iCs/>
                      <w:kern w:val="0"/>
                      <w:sz w:val="21"/>
                      <w:szCs w:val="21"/>
                      <w:u w:val="single"/>
                    </w:rPr>
                    <w:t>4623056.809</w:t>
                  </w:r>
                </w:p>
              </w:tc>
              <w:tc>
                <w:tcPr>
                  <w:tcW w:w="2541" w:type="dxa"/>
                  <w:vAlign w:val="center"/>
                </w:tcPr>
                <w:p w14:paraId="653B240C">
                  <w:pPr>
                    <w:jc w:val="center"/>
                    <w:rPr>
                      <w:rFonts w:cs="Times New Roman"/>
                      <w:i/>
                      <w:iCs/>
                      <w:kern w:val="0"/>
                      <w:sz w:val="21"/>
                      <w:szCs w:val="21"/>
                      <w:u w:val="single"/>
                    </w:rPr>
                  </w:pPr>
                  <w:r>
                    <w:rPr>
                      <w:rFonts w:hint="eastAsia" w:cs="Times New Roman"/>
                      <w:i/>
                      <w:iCs/>
                      <w:kern w:val="0"/>
                      <w:sz w:val="21"/>
                      <w:szCs w:val="21"/>
                      <w:u w:val="single"/>
                    </w:rPr>
                    <w:t>42570305.452</w:t>
                  </w:r>
                </w:p>
              </w:tc>
            </w:tr>
            <w:tr w14:paraId="66C9A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1D47859D">
                  <w:pPr>
                    <w:jc w:val="center"/>
                    <w:rPr>
                      <w:rFonts w:cs="Times New Roman"/>
                      <w:i/>
                      <w:iCs/>
                      <w:kern w:val="0"/>
                      <w:sz w:val="21"/>
                      <w:szCs w:val="21"/>
                      <w:u w:val="single"/>
                    </w:rPr>
                  </w:pPr>
                  <w:r>
                    <w:rPr>
                      <w:rFonts w:hint="eastAsia" w:cs="Times New Roman"/>
                      <w:i/>
                      <w:iCs/>
                      <w:kern w:val="0"/>
                      <w:sz w:val="21"/>
                      <w:szCs w:val="21"/>
                      <w:u w:val="single"/>
                    </w:rPr>
                    <w:t>S12</w:t>
                  </w:r>
                </w:p>
              </w:tc>
              <w:tc>
                <w:tcPr>
                  <w:tcW w:w="2541" w:type="dxa"/>
                  <w:vAlign w:val="center"/>
                </w:tcPr>
                <w:p w14:paraId="5BDDABBB">
                  <w:pPr>
                    <w:jc w:val="center"/>
                    <w:rPr>
                      <w:rFonts w:cs="Times New Roman"/>
                      <w:i/>
                      <w:iCs/>
                      <w:kern w:val="0"/>
                      <w:sz w:val="21"/>
                      <w:szCs w:val="21"/>
                      <w:u w:val="single"/>
                    </w:rPr>
                  </w:pPr>
                  <w:r>
                    <w:rPr>
                      <w:rFonts w:hint="eastAsia" w:cs="Times New Roman"/>
                      <w:i/>
                      <w:iCs/>
                      <w:kern w:val="0"/>
                      <w:sz w:val="21"/>
                      <w:szCs w:val="21"/>
                      <w:u w:val="single"/>
                    </w:rPr>
                    <w:t>4623052.780</w:t>
                  </w:r>
                </w:p>
              </w:tc>
              <w:tc>
                <w:tcPr>
                  <w:tcW w:w="2541" w:type="dxa"/>
                  <w:vAlign w:val="center"/>
                </w:tcPr>
                <w:p w14:paraId="6211FAA6">
                  <w:pPr>
                    <w:jc w:val="center"/>
                    <w:rPr>
                      <w:rFonts w:cs="Times New Roman"/>
                      <w:i/>
                      <w:iCs/>
                      <w:kern w:val="0"/>
                      <w:sz w:val="21"/>
                      <w:szCs w:val="21"/>
                      <w:u w:val="single"/>
                    </w:rPr>
                  </w:pPr>
                  <w:r>
                    <w:rPr>
                      <w:rFonts w:hint="eastAsia" w:cs="Times New Roman"/>
                      <w:i/>
                      <w:iCs/>
                      <w:kern w:val="0"/>
                      <w:sz w:val="21"/>
                      <w:szCs w:val="21"/>
                      <w:u w:val="single"/>
                    </w:rPr>
                    <w:t>42570302.973</w:t>
                  </w:r>
                </w:p>
              </w:tc>
            </w:tr>
            <w:tr w14:paraId="41B9D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61A70459">
                  <w:pPr>
                    <w:jc w:val="center"/>
                    <w:rPr>
                      <w:rFonts w:cs="Times New Roman"/>
                      <w:i/>
                      <w:iCs/>
                      <w:kern w:val="0"/>
                      <w:sz w:val="21"/>
                      <w:szCs w:val="21"/>
                      <w:u w:val="single"/>
                    </w:rPr>
                  </w:pPr>
                  <w:r>
                    <w:rPr>
                      <w:rFonts w:hint="eastAsia" w:cs="Times New Roman"/>
                      <w:i/>
                      <w:iCs/>
                      <w:kern w:val="0"/>
                      <w:sz w:val="21"/>
                      <w:szCs w:val="21"/>
                      <w:u w:val="single"/>
                    </w:rPr>
                    <w:t>S13</w:t>
                  </w:r>
                </w:p>
              </w:tc>
              <w:tc>
                <w:tcPr>
                  <w:tcW w:w="2541" w:type="dxa"/>
                  <w:vAlign w:val="center"/>
                </w:tcPr>
                <w:p w14:paraId="5F5EAA50">
                  <w:pPr>
                    <w:jc w:val="center"/>
                    <w:rPr>
                      <w:rFonts w:cs="Times New Roman"/>
                      <w:i/>
                      <w:iCs/>
                      <w:kern w:val="0"/>
                      <w:sz w:val="21"/>
                      <w:szCs w:val="21"/>
                      <w:u w:val="single"/>
                    </w:rPr>
                  </w:pPr>
                  <w:r>
                    <w:rPr>
                      <w:rFonts w:hint="eastAsia" w:cs="Times New Roman"/>
                      <w:i/>
                      <w:iCs/>
                      <w:kern w:val="0"/>
                      <w:sz w:val="21"/>
                      <w:szCs w:val="21"/>
                      <w:u w:val="single"/>
                    </w:rPr>
                    <w:t>4622959.731</w:t>
                  </w:r>
                </w:p>
              </w:tc>
              <w:tc>
                <w:tcPr>
                  <w:tcW w:w="2541" w:type="dxa"/>
                  <w:vAlign w:val="center"/>
                </w:tcPr>
                <w:p w14:paraId="4DB8B30D">
                  <w:pPr>
                    <w:jc w:val="center"/>
                    <w:rPr>
                      <w:rFonts w:cs="Times New Roman"/>
                      <w:i/>
                      <w:iCs/>
                      <w:kern w:val="0"/>
                      <w:sz w:val="21"/>
                      <w:szCs w:val="21"/>
                      <w:u w:val="single"/>
                    </w:rPr>
                  </w:pPr>
                  <w:r>
                    <w:rPr>
                      <w:rFonts w:hint="eastAsia" w:cs="Times New Roman"/>
                      <w:i/>
                      <w:iCs/>
                      <w:kern w:val="0"/>
                      <w:sz w:val="21"/>
                      <w:szCs w:val="21"/>
                      <w:u w:val="single"/>
                    </w:rPr>
                    <w:t>42570257.652</w:t>
                  </w:r>
                </w:p>
              </w:tc>
            </w:tr>
            <w:tr w14:paraId="28F65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11FE8117">
                  <w:pPr>
                    <w:jc w:val="center"/>
                    <w:rPr>
                      <w:rFonts w:cs="Times New Roman"/>
                      <w:i/>
                      <w:iCs/>
                      <w:kern w:val="0"/>
                      <w:sz w:val="21"/>
                      <w:szCs w:val="21"/>
                      <w:u w:val="single"/>
                    </w:rPr>
                  </w:pPr>
                  <w:r>
                    <w:rPr>
                      <w:rFonts w:hint="eastAsia" w:cs="Times New Roman"/>
                      <w:i/>
                      <w:iCs/>
                      <w:kern w:val="0"/>
                      <w:sz w:val="21"/>
                      <w:szCs w:val="21"/>
                      <w:u w:val="single"/>
                    </w:rPr>
                    <w:t>S14</w:t>
                  </w:r>
                </w:p>
              </w:tc>
              <w:tc>
                <w:tcPr>
                  <w:tcW w:w="2541" w:type="dxa"/>
                  <w:vAlign w:val="center"/>
                </w:tcPr>
                <w:p w14:paraId="6BAB06E0">
                  <w:pPr>
                    <w:jc w:val="center"/>
                    <w:rPr>
                      <w:rFonts w:cs="Times New Roman"/>
                      <w:i/>
                      <w:iCs/>
                      <w:kern w:val="0"/>
                      <w:sz w:val="21"/>
                      <w:szCs w:val="21"/>
                      <w:u w:val="single"/>
                    </w:rPr>
                  </w:pPr>
                  <w:r>
                    <w:rPr>
                      <w:rFonts w:hint="eastAsia" w:cs="Times New Roman"/>
                      <w:i/>
                      <w:iCs/>
                      <w:kern w:val="0"/>
                      <w:sz w:val="21"/>
                      <w:szCs w:val="21"/>
                      <w:u w:val="single"/>
                    </w:rPr>
                    <w:t>4622800.157</w:t>
                  </w:r>
                </w:p>
              </w:tc>
              <w:tc>
                <w:tcPr>
                  <w:tcW w:w="2541" w:type="dxa"/>
                  <w:vAlign w:val="center"/>
                </w:tcPr>
                <w:p w14:paraId="1B33B012">
                  <w:pPr>
                    <w:jc w:val="center"/>
                    <w:rPr>
                      <w:rFonts w:cs="Times New Roman"/>
                      <w:i/>
                      <w:iCs/>
                      <w:kern w:val="0"/>
                      <w:sz w:val="21"/>
                      <w:szCs w:val="21"/>
                      <w:u w:val="single"/>
                    </w:rPr>
                  </w:pPr>
                  <w:r>
                    <w:rPr>
                      <w:rFonts w:hint="eastAsia" w:cs="Times New Roman"/>
                      <w:i/>
                      <w:iCs/>
                      <w:kern w:val="0"/>
                      <w:sz w:val="21"/>
                      <w:szCs w:val="21"/>
                      <w:u w:val="single"/>
                    </w:rPr>
                    <w:t>42570179.930</w:t>
                  </w:r>
                </w:p>
              </w:tc>
            </w:tr>
            <w:tr w14:paraId="4CDCE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0E629CB7">
                  <w:pPr>
                    <w:jc w:val="center"/>
                    <w:rPr>
                      <w:rFonts w:cs="Times New Roman"/>
                      <w:i/>
                      <w:iCs/>
                      <w:kern w:val="0"/>
                      <w:sz w:val="21"/>
                      <w:szCs w:val="21"/>
                      <w:u w:val="single"/>
                    </w:rPr>
                  </w:pPr>
                  <w:r>
                    <w:rPr>
                      <w:rFonts w:hint="eastAsia" w:cs="Times New Roman"/>
                      <w:i/>
                      <w:iCs/>
                      <w:kern w:val="0"/>
                      <w:sz w:val="21"/>
                      <w:szCs w:val="21"/>
                      <w:u w:val="single"/>
                    </w:rPr>
                    <w:t>S15</w:t>
                  </w:r>
                </w:p>
              </w:tc>
              <w:tc>
                <w:tcPr>
                  <w:tcW w:w="2541" w:type="dxa"/>
                  <w:vAlign w:val="center"/>
                </w:tcPr>
                <w:p w14:paraId="7822BF84">
                  <w:pPr>
                    <w:jc w:val="center"/>
                    <w:rPr>
                      <w:rFonts w:cs="Times New Roman"/>
                      <w:i/>
                      <w:iCs/>
                      <w:kern w:val="0"/>
                      <w:sz w:val="21"/>
                      <w:szCs w:val="21"/>
                      <w:u w:val="single"/>
                    </w:rPr>
                  </w:pPr>
                  <w:r>
                    <w:rPr>
                      <w:rFonts w:hint="eastAsia" w:cs="Times New Roman"/>
                      <w:i/>
                      <w:iCs/>
                      <w:kern w:val="0"/>
                      <w:sz w:val="21"/>
                      <w:szCs w:val="21"/>
                      <w:u w:val="single"/>
                    </w:rPr>
                    <w:t>4622764.195</w:t>
                  </w:r>
                </w:p>
              </w:tc>
              <w:tc>
                <w:tcPr>
                  <w:tcW w:w="2541" w:type="dxa"/>
                  <w:vAlign w:val="center"/>
                </w:tcPr>
                <w:p w14:paraId="681A1D24">
                  <w:pPr>
                    <w:jc w:val="center"/>
                    <w:rPr>
                      <w:rFonts w:cs="Times New Roman"/>
                      <w:i/>
                      <w:iCs/>
                      <w:kern w:val="0"/>
                      <w:sz w:val="21"/>
                      <w:szCs w:val="21"/>
                      <w:u w:val="single"/>
                    </w:rPr>
                  </w:pPr>
                  <w:r>
                    <w:rPr>
                      <w:rFonts w:hint="eastAsia" w:cs="Times New Roman"/>
                      <w:i/>
                      <w:iCs/>
                      <w:kern w:val="0"/>
                      <w:sz w:val="21"/>
                      <w:szCs w:val="21"/>
                      <w:u w:val="single"/>
                    </w:rPr>
                    <w:t>42570162.418</w:t>
                  </w:r>
                </w:p>
              </w:tc>
            </w:tr>
            <w:tr w14:paraId="0FC46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51A59DBA">
                  <w:pPr>
                    <w:jc w:val="center"/>
                    <w:rPr>
                      <w:rFonts w:cs="Times New Roman"/>
                      <w:i/>
                      <w:iCs/>
                      <w:kern w:val="0"/>
                      <w:sz w:val="21"/>
                      <w:szCs w:val="21"/>
                      <w:u w:val="single"/>
                    </w:rPr>
                  </w:pPr>
                  <w:r>
                    <w:rPr>
                      <w:rFonts w:hint="eastAsia" w:cs="Times New Roman"/>
                      <w:i/>
                      <w:iCs/>
                      <w:kern w:val="0"/>
                      <w:sz w:val="21"/>
                      <w:szCs w:val="21"/>
                      <w:u w:val="single"/>
                    </w:rPr>
                    <w:t>S16</w:t>
                  </w:r>
                </w:p>
              </w:tc>
              <w:tc>
                <w:tcPr>
                  <w:tcW w:w="2541" w:type="dxa"/>
                  <w:vAlign w:val="center"/>
                </w:tcPr>
                <w:p w14:paraId="59A0BD76">
                  <w:pPr>
                    <w:jc w:val="center"/>
                    <w:rPr>
                      <w:rFonts w:cs="Times New Roman"/>
                      <w:i/>
                      <w:iCs/>
                      <w:kern w:val="0"/>
                      <w:sz w:val="21"/>
                      <w:szCs w:val="21"/>
                      <w:u w:val="single"/>
                    </w:rPr>
                  </w:pPr>
                  <w:r>
                    <w:rPr>
                      <w:rFonts w:hint="eastAsia" w:cs="Times New Roman"/>
                      <w:i/>
                      <w:iCs/>
                      <w:kern w:val="0"/>
                      <w:sz w:val="21"/>
                      <w:szCs w:val="21"/>
                      <w:u w:val="single"/>
                    </w:rPr>
                    <w:t>4622767.699</w:t>
                  </w:r>
                </w:p>
              </w:tc>
              <w:tc>
                <w:tcPr>
                  <w:tcW w:w="2541" w:type="dxa"/>
                  <w:vAlign w:val="center"/>
                </w:tcPr>
                <w:p w14:paraId="0691505B">
                  <w:pPr>
                    <w:jc w:val="center"/>
                    <w:rPr>
                      <w:rFonts w:cs="Times New Roman"/>
                      <w:i/>
                      <w:iCs/>
                      <w:kern w:val="0"/>
                      <w:sz w:val="21"/>
                      <w:szCs w:val="21"/>
                      <w:u w:val="single"/>
                    </w:rPr>
                  </w:pPr>
                  <w:r>
                    <w:rPr>
                      <w:rFonts w:hint="eastAsia" w:cs="Times New Roman"/>
                      <w:i/>
                      <w:iCs/>
                      <w:kern w:val="0"/>
                      <w:sz w:val="21"/>
                      <w:szCs w:val="21"/>
                      <w:u w:val="single"/>
                    </w:rPr>
                    <w:t>42570155.222</w:t>
                  </w:r>
                </w:p>
              </w:tc>
            </w:tr>
            <w:tr w14:paraId="7BB1A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0" w:type="dxa"/>
                  <w:vAlign w:val="center"/>
                </w:tcPr>
                <w:p w14:paraId="7D116244">
                  <w:pPr>
                    <w:jc w:val="center"/>
                    <w:rPr>
                      <w:rFonts w:cs="Times New Roman"/>
                      <w:i/>
                      <w:iCs/>
                      <w:kern w:val="0"/>
                      <w:sz w:val="21"/>
                      <w:szCs w:val="21"/>
                      <w:u w:val="single"/>
                    </w:rPr>
                  </w:pPr>
                  <w:r>
                    <w:rPr>
                      <w:rFonts w:hint="eastAsia" w:cs="Times New Roman"/>
                      <w:i/>
                      <w:iCs/>
                      <w:kern w:val="0"/>
                      <w:sz w:val="21"/>
                      <w:szCs w:val="21"/>
                      <w:u w:val="single"/>
                    </w:rPr>
                    <w:t>S17</w:t>
                  </w:r>
                </w:p>
              </w:tc>
              <w:tc>
                <w:tcPr>
                  <w:tcW w:w="2541" w:type="dxa"/>
                  <w:vAlign w:val="center"/>
                </w:tcPr>
                <w:p w14:paraId="1EF3BF12">
                  <w:pPr>
                    <w:jc w:val="center"/>
                    <w:rPr>
                      <w:rFonts w:cs="Times New Roman"/>
                      <w:i/>
                      <w:iCs/>
                      <w:kern w:val="0"/>
                      <w:sz w:val="21"/>
                      <w:szCs w:val="21"/>
                      <w:u w:val="single"/>
                    </w:rPr>
                  </w:pPr>
                  <w:r>
                    <w:rPr>
                      <w:rFonts w:hint="eastAsia" w:cs="Times New Roman"/>
                      <w:i/>
                      <w:iCs/>
                      <w:kern w:val="0"/>
                      <w:sz w:val="21"/>
                      <w:szCs w:val="21"/>
                      <w:u w:val="single"/>
                    </w:rPr>
                    <w:t>4622803.656</w:t>
                  </w:r>
                </w:p>
              </w:tc>
              <w:tc>
                <w:tcPr>
                  <w:tcW w:w="2541" w:type="dxa"/>
                  <w:vAlign w:val="center"/>
                </w:tcPr>
                <w:p w14:paraId="07F5CC77">
                  <w:pPr>
                    <w:jc w:val="center"/>
                    <w:rPr>
                      <w:rFonts w:cs="Times New Roman"/>
                      <w:i/>
                      <w:iCs/>
                      <w:kern w:val="0"/>
                      <w:sz w:val="21"/>
                      <w:szCs w:val="21"/>
                      <w:u w:val="single"/>
                    </w:rPr>
                  </w:pPr>
                  <w:r>
                    <w:rPr>
                      <w:rFonts w:hint="eastAsia" w:cs="Times New Roman"/>
                      <w:i/>
                      <w:iCs/>
                      <w:kern w:val="0"/>
                      <w:sz w:val="21"/>
                      <w:szCs w:val="21"/>
                      <w:u w:val="single"/>
                    </w:rPr>
                    <w:t>42570172.735</w:t>
                  </w:r>
                </w:p>
              </w:tc>
            </w:tr>
          </w:tbl>
          <w:p w14:paraId="6F62BEEF">
            <w:pPr>
              <w:spacing w:line="360" w:lineRule="auto"/>
              <w:ind w:firstLine="482" w:firstLineChars="200"/>
              <w:rPr>
                <w:b/>
                <w:bCs/>
                <w:u w:val="single"/>
              </w:rPr>
            </w:pPr>
            <w:r>
              <w:rPr>
                <w:rFonts w:hint="eastAsia"/>
                <w:b/>
                <w:bCs/>
                <w:u w:val="single"/>
              </w:rPr>
              <w:t>根据天津水运工程勘察设计院编制的《鸭绿江临江船舶临时停靠基地专项养护工程岩土工程勘察报告》，以及天津华兴勘察设计有限公司编制的《鸭绿江临江航道码头建设工程补充勘察岩土工程勘察报告》中的相关内容，明确本项目工程区的工程地质层为：第四系全新统冲洪积层（</w:t>
            </w:r>
            <m:oMath>
              <m:sSubSup>
                <m:sSubSupPr>
                  <m:ctrlPr>
                    <w:rPr>
                      <w:rFonts w:ascii="Cambria Math" w:hAnsi="Cambria Math"/>
                      <w:b/>
                      <w:bCs/>
                      <w:i/>
                      <w:u w:val="single"/>
                    </w:rPr>
                  </m:ctrlPr>
                </m:sSubSupPr>
                <m:e>
                  <m:r>
                    <m:rPr>
                      <m:sty m:val="bi"/>
                    </m:rPr>
                    <w:rPr>
                      <w:rFonts w:ascii="Cambria Math" w:hAnsi="Cambria Math"/>
                      <w:u w:val="single"/>
                    </w:rPr>
                    <m:t>Q</m:t>
                  </m:r>
                  <m:ctrlPr>
                    <w:rPr>
                      <w:rFonts w:ascii="Cambria Math" w:hAnsi="Cambria Math"/>
                      <w:b/>
                      <w:bCs/>
                      <w:i/>
                      <w:u w:val="single"/>
                    </w:rPr>
                  </m:ctrlPr>
                </m:e>
                <m:sub>
                  <m:r>
                    <m:rPr>
                      <m:sty m:val="bi"/>
                    </m:rPr>
                    <w:rPr>
                      <w:rFonts w:ascii="Cambria Math" w:hAnsi="Cambria Math"/>
                      <w:u w:val="single"/>
                    </w:rPr>
                    <m:t>4</m:t>
                  </m:r>
                  <m:ctrlPr>
                    <w:rPr>
                      <w:rFonts w:ascii="Cambria Math" w:hAnsi="Cambria Math"/>
                      <w:b/>
                      <w:bCs/>
                      <w:i/>
                      <w:u w:val="single"/>
                    </w:rPr>
                  </m:ctrlPr>
                </m:sub>
                <m:sup>
                  <m:r>
                    <m:rPr>
                      <m:sty m:val="bi"/>
                    </m:rPr>
                    <w:rPr>
                      <w:rFonts w:hint="eastAsia" w:ascii="Cambria Math" w:hAnsi="Cambria Math"/>
                      <w:u w:val="single"/>
                    </w:rPr>
                    <m:t>al</m:t>
                  </m:r>
                  <m:r>
                    <m:rPr>
                      <m:sty m:val="bi"/>
                    </m:rPr>
                    <w:rPr>
                      <w:rFonts w:ascii="Cambria Math" w:hAnsi="Cambria Math"/>
                      <w:u w:val="single"/>
                    </w:rPr>
                    <m:t>+</m:t>
                  </m:r>
                  <m:r>
                    <m:rPr>
                      <m:sty m:val="bi"/>
                    </m:rPr>
                    <w:rPr>
                      <w:rFonts w:hint="eastAsia" w:ascii="Cambria Math" w:hAnsi="Cambria Math"/>
                      <w:u w:val="single"/>
                    </w:rPr>
                    <m:t>pl</m:t>
                  </m:r>
                  <m:ctrlPr>
                    <w:rPr>
                      <w:rFonts w:ascii="Cambria Math" w:hAnsi="Cambria Math"/>
                      <w:b/>
                      <w:bCs/>
                      <w:i/>
                      <w:u w:val="single"/>
                    </w:rPr>
                  </m:ctrlPr>
                </m:sup>
              </m:sSubSup>
            </m:oMath>
            <w:r>
              <w:rPr>
                <w:rFonts w:hint="eastAsia"/>
                <w:b/>
                <w:bCs/>
                <w:u w:val="single"/>
              </w:rPr>
              <w:t>），主要亚层为卵石，粒径一般约2-8cm，骨架颗粒含量约80—90%，填充物为中粗砂，局部卵石层上存在漂石亚层，粒径大于20cm，中粗砂充填约占40%。根据本项目施工设计说明，本项目施工疏浚物经开挖后在船上进行简单沥水，由于其粒径较大，持水力较差，因此其经简单沥水后含水率较低，可直接用于陆域回填，无脱水、晾晒过程。</w:t>
            </w:r>
          </w:p>
          <w:p w14:paraId="247D9FED">
            <w:pPr>
              <w:spacing w:line="360" w:lineRule="auto"/>
              <w:ind w:firstLine="480" w:firstLineChars="200"/>
            </w:pPr>
            <w:r>
              <w:rPr>
                <w:rFonts w:hint="eastAsia"/>
              </w:rPr>
              <w:t>（3）道路堆场施工</w:t>
            </w:r>
          </w:p>
          <w:p w14:paraId="219344A3">
            <w:pPr>
              <w:spacing w:line="360" w:lineRule="auto"/>
              <w:ind w:firstLine="482" w:firstLineChars="200"/>
            </w:pPr>
            <w:r>
              <w:rPr>
                <w:rFonts w:hint="eastAsia"/>
                <w:b/>
                <w:bCs/>
                <w:u w:val="single"/>
              </w:rPr>
              <w:t>根据本项目施工设计说明，本工程陆域形成采用港池及水域开挖砂石及山皮土回填形成，</w:t>
            </w:r>
            <w:r>
              <w:rPr>
                <w:rFonts w:hint="eastAsia"/>
              </w:rPr>
              <w:t>施工按照土方平衡原则安排施工计划，尽量将土方的开挖与回填工作结合起来，避免发生二次倒运。路基施工采用推土机整平，分层回填、碾压，重型压实满足设计要求。陆域形成及地基处理完成后，道路堆场可按常规做法施工完成。</w:t>
            </w:r>
          </w:p>
          <w:p w14:paraId="29D9C9B6">
            <w:pPr>
              <w:spacing w:line="360" w:lineRule="auto"/>
              <w:ind w:firstLine="482" w:firstLineChars="200"/>
              <w:rPr>
                <w:b/>
                <w:bCs/>
                <w:u w:val="single"/>
              </w:rPr>
            </w:pPr>
            <w:r>
              <w:rPr>
                <w:rFonts w:hint="eastAsia"/>
                <w:b/>
                <w:bCs/>
                <w:u w:val="single"/>
              </w:rPr>
              <w:t>本项目水域疏浚施工开挖的砂石以卵石为主，填充物为中粗砂，材料强度较高，满足本项目施工要求。根据本项目施工设计说明，其在本项目回填区分层回填，回填平铺30cm厚度层后即进行碾压，可用8t—12t的平碾，工作面狭窄处可采用冲击式打夯机夯实，压实度不低于95%。以确保回填区的承载能力。碾压完成后对回填施工段进行检测，验收合格后方可进行下一层施工。</w:t>
            </w:r>
          </w:p>
          <w:p w14:paraId="79350A03">
            <w:pPr>
              <w:spacing w:line="360" w:lineRule="auto"/>
              <w:ind w:firstLine="480" w:firstLineChars="200"/>
            </w:pPr>
            <w:r>
              <w:rPr>
                <w:rFonts w:hint="eastAsia"/>
              </w:rPr>
              <w:t>（4）护岸施工</w:t>
            </w:r>
          </w:p>
          <w:p w14:paraId="43CD82AD">
            <w:pPr>
              <w:spacing w:line="360" w:lineRule="auto"/>
              <w:ind w:firstLine="480" w:firstLineChars="200"/>
            </w:pPr>
            <w:r>
              <w:rPr>
                <w:rFonts w:hint="eastAsia"/>
              </w:rPr>
              <w:t>护岸施工前，应将基地杂质、浮土、松动石块等清除干净；完毕后应及时进行防护层施工；护脚、垫层、护面施工根据部位的实际情况选择机械，施工水位上采用长臂挖掘机抛填，施工水位以下可采用水上抛填。施工应按照“先护脚、后护坡、再封顶”的原则施工。其与码头工程一起施工，基本无涉水施工。</w:t>
            </w:r>
          </w:p>
          <w:p w14:paraId="1DF5F12B">
            <w:pPr>
              <w:spacing w:line="360" w:lineRule="auto"/>
              <w:ind w:firstLine="480" w:firstLineChars="200"/>
            </w:pPr>
            <w:r>
              <w:rPr>
                <w:rFonts w:hint="eastAsia"/>
              </w:rPr>
              <w:t>（5）其他配套设施安装</w:t>
            </w:r>
          </w:p>
          <w:p w14:paraId="4DB3CAE7">
            <w:pPr>
              <w:spacing w:line="360" w:lineRule="auto"/>
              <w:ind w:firstLine="480" w:firstLineChars="200"/>
            </w:pPr>
            <w:r>
              <w:rPr>
                <w:rFonts w:hint="eastAsia"/>
              </w:rPr>
              <w:t>配套工程包括工艺设备、给排水工程、电气工程等，这些工程均为陆上作业，其施工方法多为常规方式，可根据陆域形成及相关工程的进度交叉安排施工。</w:t>
            </w:r>
          </w:p>
          <w:p w14:paraId="7A4405D2">
            <w:pPr>
              <w:spacing w:line="360" w:lineRule="auto"/>
              <w:ind w:firstLine="480" w:firstLineChars="200"/>
            </w:pPr>
            <w:r>
              <w:rPr>
                <w:rFonts w:hint="eastAsia"/>
              </w:rPr>
              <w:t>3、施工机械</w:t>
            </w:r>
          </w:p>
          <w:p w14:paraId="03675899">
            <w:pPr>
              <w:spacing w:line="360" w:lineRule="auto"/>
              <w:ind w:firstLine="480" w:firstLineChars="200"/>
            </w:pPr>
            <w:r>
              <w:rPr>
                <w:rFonts w:hint="eastAsia"/>
              </w:rPr>
              <w:t>本工程施工主要施工机械见下表：</w:t>
            </w:r>
          </w:p>
          <w:p w14:paraId="0040F492">
            <w:pPr>
              <w:spacing w:line="360" w:lineRule="auto"/>
              <w:jc w:val="center"/>
              <w:rPr>
                <w:b/>
                <w:bCs/>
              </w:rPr>
            </w:pPr>
            <w:r>
              <w:rPr>
                <w:rFonts w:hint="eastAsia"/>
                <w:b/>
                <w:bCs/>
              </w:rPr>
              <w:t>表21        本工程施工主要机械设备一览表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3097"/>
              <w:gridCol w:w="2998"/>
              <w:gridCol w:w="811"/>
            </w:tblGrid>
            <w:tr w14:paraId="197D1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B477421">
                  <w:pPr>
                    <w:jc w:val="center"/>
                    <w:rPr>
                      <w:rFonts w:cs="Times New Roman"/>
                      <w:kern w:val="0"/>
                      <w:sz w:val="21"/>
                      <w:szCs w:val="16"/>
                    </w:rPr>
                  </w:pPr>
                  <w:r>
                    <w:rPr>
                      <w:rFonts w:hint="eastAsia" w:cs="Times New Roman"/>
                      <w:kern w:val="0"/>
                      <w:sz w:val="21"/>
                      <w:szCs w:val="16"/>
                    </w:rPr>
                    <w:t>序号</w:t>
                  </w:r>
                </w:p>
              </w:tc>
              <w:tc>
                <w:tcPr>
                  <w:tcW w:w="3097" w:type="dxa"/>
                  <w:vAlign w:val="center"/>
                </w:tcPr>
                <w:p w14:paraId="1F3ED4EE">
                  <w:pPr>
                    <w:jc w:val="center"/>
                    <w:rPr>
                      <w:rFonts w:cs="Times New Roman"/>
                      <w:kern w:val="0"/>
                      <w:sz w:val="21"/>
                      <w:szCs w:val="16"/>
                    </w:rPr>
                  </w:pPr>
                  <w:r>
                    <w:rPr>
                      <w:rFonts w:hint="eastAsia" w:cs="Times New Roman"/>
                      <w:kern w:val="0"/>
                      <w:sz w:val="21"/>
                      <w:szCs w:val="16"/>
                    </w:rPr>
                    <w:t>施工机械</w:t>
                  </w:r>
                </w:p>
              </w:tc>
              <w:tc>
                <w:tcPr>
                  <w:tcW w:w="2998" w:type="dxa"/>
                  <w:vAlign w:val="center"/>
                </w:tcPr>
                <w:p w14:paraId="487B781E">
                  <w:pPr>
                    <w:jc w:val="center"/>
                    <w:rPr>
                      <w:rFonts w:cs="Times New Roman"/>
                      <w:kern w:val="0"/>
                      <w:sz w:val="21"/>
                      <w:szCs w:val="16"/>
                    </w:rPr>
                  </w:pPr>
                  <w:r>
                    <w:rPr>
                      <w:rFonts w:hint="eastAsia" w:cs="Times New Roman"/>
                      <w:kern w:val="0"/>
                      <w:sz w:val="21"/>
                      <w:szCs w:val="16"/>
                    </w:rPr>
                    <w:t>规格</w:t>
                  </w:r>
                </w:p>
              </w:tc>
              <w:tc>
                <w:tcPr>
                  <w:tcW w:w="811" w:type="dxa"/>
                  <w:vAlign w:val="center"/>
                </w:tcPr>
                <w:p w14:paraId="43BBDF94">
                  <w:pPr>
                    <w:jc w:val="center"/>
                    <w:rPr>
                      <w:rFonts w:cs="Times New Roman"/>
                      <w:kern w:val="0"/>
                      <w:sz w:val="21"/>
                      <w:szCs w:val="16"/>
                    </w:rPr>
                  </w:pPr>
                  <w:r>
                    <w:rPr>
                      <w:rFonts w:hint="eastAsia" w:cs="Times New Roman"/>
                      <w:kern w:val="0"/>
                      <w:sz w:val="21"/>
                      <w:szCs w:val="16"/>
                    </w:rPr>
                    <w:t>数量</w:t>
                  </w:r>
                </w:p>
              </w:tc>
            </w:tr>
            <w:tr w14:paraId="7FAEA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6E26614E">
                  <w:pPr>
                    <w:jc w:val="center"/>
                    <w:rPr>
                      <w:rFonts w:cs="Times New Roman"/>
                      <w:kern w:val="0"/>
                      <w:sz w:val="21"/>
                      <w:szCs w:val="16"/>
                    </w:rPr>
                  </w:pPr>
                  <w:r>
                    <w:rPr>
                      <w:rFonts w:hint="eastAsia" w:cs="Times New Roman"/>
                      <w:kern w:val="0"/>
                      <w:sz w:val="21"/>
                      <w:szCs w:val="16"/>
                    </w:rPr>
                    <w:t>1</w:t>
                  </w:r>
                </w:p>
              </w:tc>
              <w:tc>
                <w:tcPr>
                  <w:tcW w:w="3097" w:type="dxa"/>
                  <w:vAlign w:val="center"/>
                </w:tcPr>
                <w:p w14:paraId="516FD8DB">
                  <w:pPr>
                    <w:jc w:val="center"/>
                    <w:rPr>
                      <w:rFonts w:cs="Times New Roman"/>
                      <w:kern w:val="0"/>
                      <w:sz w:val="21"/>
                      <w:szCs w:val="16"/>
                    </w:rPr>
                  </w:pPr>
                  <w:r>
                    <w:rPr>
                      <w:rFonts w:hint="eastAsia" w:cs="Times New Roman"/>
                      <w:kern w:val="0"/>
                      <w:sz w:val="21"/>
                      <w:szCs w:val="16"/>
                    </w:rPr>
                    <w:t>铲斗挖泥船</w:t>
                  </w:r>
                </w:p>
              </w:tc>
              <w:tc>
                <w:tcPr>
                  <w:tcW w:w="2998" w:type="dxa"/>
                  <w:vAlign w:val="center"/>
                </w:tcPr>
                <w:p w14:paraId="4ADF3C93">
                  <w:pPr>
                    <w:jc w:val="center"/>
                    <w:rPr>
                      <w:rFonts w:cs="Times New Roman"/>
                      <w:kern w:val="0"/>
                      <w:sz w:val="21"/>
                      <w:szCs w:val="16"/>
                    </w:rPr>
                  </w:pPr>
                  <w:r>
                    <w:rPr>
                      <w:rFonts w:hint="eastAsia" w:cs="Times New Roman"/>
                      <w:kern w:val="0"/>
                      <w:sz w:val="21"/>
                      <w:szCs w:val="16"/>
                    </w:rPr>
                    <w:t>4m³</w:t>
                  </w:r>
                </w:p>
              </w:tc>
              <w:tc>
                <w:tcPr>
                  <w:tcW w:w="811" w:type="dxa"/>
                  <w:vAlign w:val="center"/>
                </w:tcPr>
                <w:p w14:paraId="7123A645">
                  <w:pPr>
                    <w:jc w:val="center"/>
                    <w:rPr>
                      <w:rFonts w:cs="Times New Roman"/>
                      <w:kern w:val="0"/>
                      <w:sz w:val="21"/>
                      <w:szCs w:val="16"/>
                    </w:rPr>
                  </w:pPr>
                  <w:r>
                    <w:rPr>
                      <w:rFonts w:hint="eastAsia" w:cs="Times New Roman"/>
                      <w:kern w:val="0"/>
                      <w:sz w:val="21"/>
                      <w:szCs w:val="16"/>
                    </w:rPr>
                    <w:t>1</w:t>
                  </w:r>
                </w:p>
              </w:tc>
            </w:tr>
            <w:tr w14:paraId="71AAA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696BE0CB">
                  <w:pPr>
                    <w:jc w:val="center"/>
                    <w:rPr>
                      <w:rFonts w:cs="Times New Roman"/>
                      <w:kern w:val="0"/>
                      <w:sz w:val="21"/>
                      <w:szCs w:val="16"/>
                    </w:rPr>
                  </w:pPr>
                  <w:r>
                    <w:rPr>
                      <w:rFonts w:hint="eastAsia" w:cs="Times New Roman"/>
                      <w:kern w:val="0"/>
                      <w:sz w:val="21"/>
                      <w:szCs w:val="16"/>
                    </w:rPr>
                    <w:t>2</w:t>
                  </w:r>
                </w:p>
              </w:tc>
              <w:tc>
                <w:tcPr>
                  <w:tcW w:w="3097" w:type="dxa"/>
                  <w:vAlign w:val="center"/>
                </w:tcPr>
                <w:p w14:paraId="6A9BCAE6">
                  <w:pPr>
                    <w:jc w:val="center"/>
                    <w:rPr>
                      <w:rFonts w:cs="Times New Roman"/>
                      <w:kern w:val="0"/>
                      <w:sz w:val="21"/>
                      <w:szCs w:val="16"/>
                    </w:rPr>
                  </w:pPr>
                  <w:r>
                    <w:rPr>
                      <w:rFonts w:hint="eastAsia" w:cs="Times New Roman"/>
                      <w:kern w:val="0"/>
                      <w:sz w:val="21"/>
                      <w:szCs w:val="16"/>
                    </w:rPr>
                    <w:t>自航泥驳</w:t>
                  </w:r>
                </w:p>
              </w:tc>
              <w:tc>
                <w:tcPr>
                  <w:tcW w:w="2998" w:type="dxa"/>
                  <w:vAlign w:val="center"/>
                </w:tcPr>
                <w:p w14:paraId="75C3BCC2">
                  <w:pPr>
                    <w:jc w:val="center"/>
                    <w:rPr>
                      <w:rFonts w:cs="Times New Roman"/>
                      <w:kern w:val="0"/>
                      <w:sz w:val="21"/>
                      <w:szCs w:val="16"/>
                    </w:rPr>
                  </w:pPr>
                  <w:r>
                    <w:rPr>
                      <w:rFonts w:hint="eastAsia" w:cs="Times New Roman"/>
                      <w:kern w:val="0"/>
                      <w:sz w:val="21"/>
                      <w:szCs w:val="16"/>
                    </w:rPr>
                    <w:t>500m³</w:t>
                  </w:r>
                </w:p>
              </w:tc>
              <w:tc>
                <w:tcPr>
                  <w:tcW w:w="811" w:type="dxa"/>
                  <w:vAlign w:val="center"/>
                </w:tcPr>
                <w:p w14:paraId="712D4B32">
                  <w:pPr>
                    <w:jc w:val="center"/>
                    <w:rPr>
                      <w:rFonts w:cs="Times New Roman"/>
                      <w:kern w:val="0"/>
                      <w:sz w:val="21"/>
                      <w:szCs w:val="16"/>
                    </w:rPr>
                  </w:pPr>
                  <w:r>
                    <w:rPr>
                      <w:rFonts w:hint="eastAsia" w:cs="Times New Roman"/>
                      <w:kern w:val="0"/>
                      <w:sz w:val="21"/>
                      <w:szCs w:val="16"/>
                    </w:rPr>
                    <w:t>2</w:t>
                  </w:r>
                </w:p>
              </w:tc>
            </w:tr>
            <w:tr w14:paraId="3FD4E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3BABADDD">
                  <w:pPr>
                    <w:jc w:val="center"/>
                    <w:rPr>
                      <w:rFonts w:cs="Times New Roman"/>
                      <w:kern w:val="0"/>
                      <w:sz w:val="21"/>
                      <w:szCs w:val="16"/>
                    </w:rPr>
                  </w:pPr>
                  <w:r>
                    <w:rPr>
                      <w:rFonts w:hint="eastAsia" w:cs="Times New Roman"/>
                      <w:kern w:val="0"/>
                      <w:sz w:val="21"/>
                      <w:szCs w:val="16"/>
                    </w:rPr>
                    <w:t>3</w:t>
                  </w:r>
                </w:p>
              </w:tc>
              <w:tc>
                <w:tcPr>
                  <w:tcW w:w="3097" w:type="dxa"/>
                  <w:vAlign w:val="center"/>
                </w:tcPr>
                <w:p w14:paraId="4439DA1E">
                  <w:pPr>
                    <w:jc w:val="center"/>
                    <w:rPr>
                      <w:rFonts w:cs="Times New Roman"/>
                      <w:kern w:val="0"/>
                      <w:sz w:val="21"/>
                      <w:szCs w:val="16"/>
                    </w:rPr>
                  </w:pPr>
                  <w:r>
                    <w:rPr>
                      <w:rFonts w:hint="eastAsia" w:cs="Times New Roman"/>
                      <w:kern w:val="0"/>
                      <w:sz w:val="21"/>
                      <w:szCs w:val="16"/>
                    </w:rPr>
                    <w:t>履带式起重机</w:t>
                  </w:r>
                </w:p>
              </w:tc>
              <w:tc>
                <w:tcPr>
                  <w:tcW w:w="2998" w:type="dxa"/>
                  <w:vAlign w:val="center"/>
                </w:tcPr>
                <w:p w14:paraId="7A717AC6">
                  <w:pPr>
                    <w:jc w:val="center"/>
                    <w:rPr>
                      <w:rFonts w:cs="Times New Roman"/>
                      <w:kern w:val="0"/>
                      <w:sz w:val="21"/>
                      <w:szCs w:val="16"/>
                    </w:rPr>
                  </w:pPr>
                  <w:r>
                    <w:rPr>
                      <w:rFonts w:hint="eastAsia" w:cs="Times New Roman"/>
                      <w:kern w:val="0"/>
                      <w:sz w:val="21"/>
                      <w:szCs w:val="16"/>
                    </w:rPr>
                    <w:t>提升质量15t</w:t>
                  </w:r>
                </w:p>
              </w:tc>
              <w:tc>
                <w:tcPr>
                  <w:tcW w:w="811" w:type="dxa"/>
                  <w:vAlign w:val="center"/>
                </w:tcPr>
                <w:p w14:paraId="6E8001E0">
                  <w:pPr>
                    <w:jc w:val="center"/>
                    <w:rPr>
                      <w:rFonts w:cs="Times New Roman"/>
                      <w:kern w:val="0"/>
                      <w:sz w:val="21"/>
                      <w:szCs w:val="16"/>
                    </w:rPr>
                  </w:pPr>
                  <w:r>
                    <w:rPr>
                      <w:rFonts w:hint="eastAsia" w:cs="Times New Roman"/>
                      <w:kern w:val="0"/>
                      <w:sz w:val="21"/>
                      <w:szCs w:val="16"/>
                    </w:rPr>
                    <w:t>1</w:t>
                  </w:r>
                </w:p>
              </w:tc>
            </w:tr>
            <w:tr w14:paraId="6D8D1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6613BE0C">
                  <w:pPr>
                    <w:jc w:val="center"/>
                    <w:rPr>
                      <w:rFonts w:cs="Times New Roman"/>
                      <w:kern w:val="0"/>
                      <w:sz w:val="21"/>
                      <w:szCs w:val="16"/>
                    </w:rPr>
                  </w:pPr>
                  <w:r>
                    <w:rPr>
                      <w:rFonts w:hint="eastAsia" w:cs="Times New Roman"/>
                      <w:kern w:val="0"/>
                      <w:sz w:val="21"/>
                      <w:szCs w:val="16"/>
                    </w:rPr>
                    <w:t>4</w:t>
                  </w:r>
                </w:p>
              </w:tc>
              <w:tc>
                <w:tcPr>
                  <w:tcW w:w="3097" w:type="dxa"/>
                  <w:vAlign w:val="center"/>
                </w:tcPr>
                <w:p w14:paraId="1E6EB62B">
                  <w:pPr>
                    <w:jc w:val="center"/>
                    <w:rPr>
                      <w:rFonts w:cs="Times New Roman"/>
                      <w:kern w:val="0"/>
                      <w:sz w:val="21"/>
                      <w:szCs w:val="16"/>
                    </w:rPr>
                  </w:pPr>
                  <w:r>
                    <w:rPr>
                      <w:rFonts w:hint="eastAsia" w:cs="Times New Roman"/>
                      <w:kern w:val="0"/>
                      <w:sz w:val="21"/>
                      <w:szCs w:val="16"/>
                    </w:rPr>
                    <w:t>履带式起重机</w:t>
                  </w:r>
                </w:p>
              </w:tc>
              <w:tc>
                <w:tcPr>
                  <w:tcW w:w="2998" w:type="dxa"/>
                  <w:vAlign w:val="center"/>
                </w:tcPr>
                <w:p w14:paraId="184F4100">
                  <w:pPr>
                    <w:jc w:val="center"/>
                    <w:rPr>
                      <w:rFonts w:cs="Times New Roman"/>
                      <w:kern w:val="0"/>
                      <w:sz w:val="21"/>
                      <w:szCs w:val="16"/>
                    </w:rPr>
                  </w:pPr>
                  <w:r>
                    <w:rPr>
                      <w:rFonts w:hint="eastAsia" w:cs="Times New Roman"/>
                      <w:kern w:val="0"/>
                      <w:sz w:val="21"/>
                      <w:szCs w:val="16"/>
                    </w:rPr>
                    <w:t>提升质量100t</w:t>
                  </w:r>
                </w:p>
              </w:tc>
              <w:tc>
                <w:tcPr>
                  <w:tcW w:w="811" w:type="dxa"/>
                  <w:vAlign w:val="center"/>
                </w:tcPr>
                <w:p w14:paraId="337D6B60">
                  <w:pPr>
                    <w:jc w:val="center"/>
                    <w:rPr>
                      <w:rFonts w:cs="Times New Roman"/>
                      <w:kern w:val="0"/>
                      <w:sz w:val="21"/>
                      <w:szCs w:val="16"/>
                    </w:rPr>
                  </w:pPr>
                  <w:r>
                    <w:rPr>
                      <w:rFonts w:hint="eastAsia" w:cs="Times New Roman"/>
                      <w:kern w:val="0"/>
                      <w:sz w:val="21"/>
                      <w:szCs w:val="16"/>
                    </w:rPr>
                    <w:t>1</w:t>
                  </w:r>
                </w:p>
              </w:tc>
            </w:tr>
            <w:tr w14:paraId="25F43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59674D69">
                  <w:pPr>
                    <w:jc w:val="center"/>
                    <w:rPr>
                      <w:rFonts w:cs="Times New Roman"/>
                      <w:kern w:val="0"/>
                      <w:sz w:val="21"/>
                      <w:szCs w:val="16"/>
                    </w:rPr>
                  </w:pPr>
                  <w:r>
                    <w:rPr>
                      <w:rFonts w:hint="eastAsia" w:cs="Times New Roman"/>
                      <w:kern w:val="0"/>
                      <w:sz w:val="21"/>
                      <w:szCs w:val="16"/>
                    </w:rPr>
                    <w:t>5</w:t>
                  </w:r>
                </w:p>
              </w:tc>
              <w:tc>
                <w:tcPr>
                  <w:tcW w:w="3097" w:type="dxa"/>
                  <w:vAlign w:val="center"/>
                </w:tcPr>
                <w:p w14:paraId="6B1196C6">
                  <w:pPr>
                    <w:jc w:val="center"/>
                    <w:rPr>
                      <w:rFonts w:cs="Times New Roman"/>
                      <w:kern w:val="0"/>
                      <w:sz w:val="21"/>
                      <w:szCs w:val="16"/>
                    </w:rPr>
                  </w:pPr>
                  <w:r>
                    <w:rPr>
                      <w:rFonts w:hint="eastAsia" w:cs="Times New Roman"/>
                      <w:kern w:val="0"/>
                      <w:sz w:val="21"/>
                      <w:szCs w:val="16"/>
                    </w:rPr>
                    <w:t>自卸汽车</w:t>
                  </w:r>
                </w:p>
              </w:tc>
              <w:tc>
                <w:tcPr>
                  <w:tcW w:w="2998" w:type="dxa"/>
                  <w:vAlign w:val="center"/>
                </w:tcPr>
                <w:p w14:paraId="1CD21DC5">
                  <w:pPr>
                    <w:jc w:val="center"/>
                    <w:rPr>
                      <w:rFonts w:cs="Times New Roman"/>
                      <w:kern w:val="0"/>
                      <w:sz w:val="21"/>
                      <w:szCs w:val="16"/>
                    </w:rPr>
                  </w:pPr>
                  <w:r>
                    <w:rPr>
                      <w:rFonts w:hint="eastAsia" w:cs="Times New Roman"/>
                      <w:kern w:val="0"/>
                      <w:sz w:val="21"/>
                      <w:szCs w:val="16"/>
                    </w:rPr>
                    <w:t>装载质量8t</w:t>
                  </w:r>
                </w:p>
              </w:tc>
              <w:tc>
                <w:tcPr>
                  <w:tcW w:w="811" w:type="dxa"/>
                  <w:vAlign w:val="center"/>
                </w:tcPr>
                <w:p w14:paraId="43CCE183">
                  <w:pPr>
                    <w:jc w:val="center"/>
                    <w:rPr>
                      <w:rFonts w:cs="Times New Roman"/>
                      <w:kern w:val="0"/>
                      <w:sz w:val="21"/>
                      <w:szCs w:val="16"/>
                    </w:rPr>
                  </w:pPr>
                  <w:r>
                    <w:rPr>
                      <w:rFonts w:hint="eastAsia" w:cs="Times New Roman"/>
                      <w:kern w:val="0"/>
                      <w:sz w:val="21"/>
                      <w:szCs w:val="16"/>
                    </w:rPr>
                    <w:t>4</w:t>
                  </w:r>
                </w:p>
              </w:tc>
            </w:tr>
            <w:tr w14:paraId="2A400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2595C097">
                  <w:pPr>
                    <w:jc w:val="center"/>
                    <w:rPr>
                      <w:rFonts w:cs="Times New Roman"/>
                      <w:kern w:val="0"/>
                      <w:sz w:val="21"/>
                      <w:szCs w:val="16"/>
                    </w:rPr>
                  </w:pPr>
                  <w:r>
                    <w:rPr>
                      <w:rFonts w:hint="eastAsia" w:cs="Times New Roman"/>
                      <w:kern w:val="0"/>
                      <w:sz w:val="21"/>
                      <w:szCs w:val="16"/>
                    </w:rPr>
                    <w:t>6</w:t>
                  </w:r>
                </w:p>
              </w:tc>
              <w:tc>
                <w:tcPr>
                  <w:tcW w:w="3097" w:type="dxa"/>
                  <w:vAlign w:val="center"/>
                </w:tcPr>
                <w:p w14:paraId="7D0A32F9">
                  <w:pPr>
                    <w:jc w:val="center"/>
                    <w:rPr>
                      <w:rFonts w:cs="Times New Roman"/>
                      <w:kern w:val="0"/>
                      <w:sz w:val="21"/>
                      <w:szCs w:val="16"/>
                    </w:rPr>
                  </w:pPr>
                  <w:r>
                    <w:rPr>
                      <w:rFonts w:hint="eastAsia" w:cs="Times New Roman"/>
                      <w:kern w:val="0"/>
                      <w:sz w:val="21"/>
                      <w:szCs w:val="16"/>
                    </w:rPr>
                    <w:t>履带式推土机</w:t>
                  </w:r>
                </w:p>
              </w:tc>
              <w:tc>
                <w:tcPr>
                  <w:tcW w:w="2998" w:type="dxa"/>
                  <w:vAlign w:val="center"/>
                </w:tcPr>
                <w:p w14:paraId="0B527DA9">
                  <w:pPr>
                    <w:jc w:val="center"/>
                    <w:rPr>
                      <w:rFonts w:cs="Times New Roman"/>
                      <w:kern w:val="0"/>
                      <w:sz w:val="21"/>
                      <w:szCs w:val="16"/>
                    </w:rPr>
                  </w:pPr>
                  <w:r>
                    <w:rPr>
                      <w:rFonts w:hint="eastAsia" w:cs="Times New Roman"/>
                      <w:kern w:val="0"/>
                      <w:sz w:val="21"/>
                      <w:szCs w:val="16"/>
                    </w:rPr>
                    <w:t>功率75kW</w:t>
                  </w:r>
                </w:p>
              </w:tc>
              <w:tc>
                <w:tcPr>
                  <w:tcW w:w="811" w:type="dxa"/>
                  <w:vAlign w:val="center"/>
                </w:tcPr>
                <w:p w14:paraId="76AB71F7">
                  <w:pPr>
                    <w:jc w:val="center"/>
                    <w:rPr>
                      <w:rFonts w:cs="Times New Roman"/>
                      <w:kern w:val="0"/>
                      <w:sz w:val="21"/>
                      <w:szCs w:val="16"/>
                    </w:rPr>
                  </w:pPr>
                  <w:r>
                    <w:rPr>
                      <w:rFonts w:hint="eastAsia" w:cs="Times New Roman"/>
                      <w:kern w:val="0"/>
                      <w:sz w:val="21"/>
                      <w:szCs w:val="16"/>
                    </w:rPr>
                    <w:t>2</w:t>
                  </w:r>
                </w:p>
              </w:tc>
            </w:tr>
            <w:tr w14:paraId="4064A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761B9B0D">
                  <w:pPr>
                    <w:jc w:val="center"/>
                    <w:rPr>
                      <w:rFonts w:cs="Times New Roman"/>
                      <w:kern w:val="0"/>
                      <w:sz w:val="21"/>
                      <w:szCs w:val="16"/>
                    </w:rPr>
                  </w:pPr>
                  <w:r>
                    <w:rPr>
                      <w:rFonts w:hint="eastAsia" w:cs="Times New Roman"/>
                      <w:kern w:val="0"/>
                      <w:sz w:val="21"/>
                      <w:szCs w:val="16"/>
                    </w:rPr>
                    <w:t>7</w:t>
                  </w:r>
                </w:p>
              </w:tc>
              <w:tc>
                <w:tcPr>
                  <w:tcW w:w="3097" w:type="dxa"/>
                  <w:vAlign w:val="center"/>
                </w:tcPr>
                <w:p w14:paraId="1C182860">
                  <w:pPr>
                    <w:jc w:val="center"/>
                    <w:rPr>
                      <w:rFonts w:cs="Times New Roman"/>
                      <w:kern w:val="0"/>
                      <w:sz w:val="21"/>
                      <w:szCs w:val="16"/>
                    </w:rPr>
                  </w:pPr>
                  <w:r>
                    <w:rPr>
                      <w:rFonts w:hint="eastAsia" w:cs="Times New Roman"/>
                      <w:kern w:val="0"/>
                      <w:sz w:val="21"/>
                      <w:szCs w:val="16"/>
                    </w:rPr>
                    <w:t>履带式液压单斗挖掘机</w:t>
                  </w:r>
                </w:p>
              </w:tc>
              <w:tc>
                <w:tcPr>
                  <w:tcW w:w="2998" w:type="dxa"/>
                  <w:vAlign w:val="center"/>
                </w:tcPr>
                <w:p w14:paraId="65D1BF04">
                  <w:pPr>
                    <w:jc w:val="center"/>
                    <w:rPr>
                      <w:rFonts w:cs="Times New Roman"/>
                      <w:kern w:val="0"/>
                      <w:sz w:val="21"/>
                      <w:szCs w:val="16"/>
                    </w:rPr>
                  </w:pPr>
                  <w:r>
                    <w:rPr>
                      <w:rFonts w:hint="eastAsia" w:cs="Times New Roman"/>
                      <w:kern w:val="0"/>
                      <w:sz w:val="21"/>
                      <w:szCs w:val="16"/>
                    </w:rPr>
                    <w:t>斗容量2.0m³</w:t>
                  </w:r>
                </w:p>
              </w:tc>
              <w:tc>
                <w:tcPr>
                  <w:tcW w:w="811" w:type="dxa"/>
                  <w:vAlign w:val="center"/>
                </w:tcPr>
                <w:p w14:paraId="3A99FBFB">
                  <w:pPr>
                    <w:jc w:val="center"/>
                    <w:rPr>
                      <w:rFonts w:cs="Times New Roman"/>
                      <w:kern w:val="0"/>
                      <w:sz w:val="21"/>
                      <w:szCs w:val="16"/>
                    </w:rPr>
                  </w:pPr>
                  <w:r>
                    <w:rPr>
                      <w:rFonts w:hint="eastAsia" w:cs="Times New Roman"/>
                      <w:kern w:val="0"/>
                      <w:sz w:val="21"/>
                      <w:szCs w:val="16"/>
                    </w:rPr>
                    <w:t>2</w:t>
                  </w:r>
                </w:p>
              </w:tc>
            </w:tr>
            <w:tr w14:paraId="3FF8D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71223BC3">
                  <w:pPr>
                    <w:jc w:val="center"/>
                    <w:rPr>
                      <w:rFonts w:cs="Times New Roman"/>
                      <w:kern w:val="0"/>
                      <w:sz w:val="21"/>
                      <w:szCs w:val="16"/>
                    </w:rPr>
                  </w:pPr>
                  <w:r>
                    <w:rPr>
                      <w:rFonts w:hint="eastAsia" w:cs="Times New Roman"/>
                      <w:kern w:val="0"/>
                      <w:sz w:val="21"/>
                      <w:szCs w:val="16"/>
                    </w:rPr>
                    <w:t>8</w:t>
                  </w:r>
                </w:p>
              </w:tc>
              <w:tc>
                <w:tcPr>
                  <w:tcW w:w="3097" w:type="dxa"/>
                  <w:vAlign w:val="center"/>
                </w:tcPr>
                <w:p w14:paraId="495B990E">
                  <w:pPr>
                    <w:jc w:val="center"/>
                    <w:rPr>
                      <w:rFonts w:cs="Times New Roman"/>
                      <w:kern w:val="0"/>
                      <w:sz w:val="21"/>
                      <w:szCs w:val="16"/>
                    </w:rPr>
                  </w:pPr>
                  <w:r>
                    <w:rPr>
                      <w:rFonts w:hint="eastAsia" w:cs="Times New Roman"/>
                      <w:kern w:val="0"/>
                      <w:sz w:val="21"/>
                      <w:szCs w:val="16"/>
                    </w:rPr>
                    <w:t>轮胎式装载机</w:t>
                  </w:r>
                </w:p>
              </w:tc>
              <w:tc>
                <w:tcPr>
                  <w:tcW w:w="2998" w:type="dxa"/>
                  <w:vAlign w:val="center"/>
                </w:tcPr>
                <w:p w14:paraId="5A0B999B">
                  <w:pPr>
                    <w:jc w:val="center"/>
                    <w:rPr>
                      <w:rFonts w:cs="Times New Roman"/>
                      <w:kern w:val="0"/>
                      <w:sz w:val="21"/>
                      <w:szCs w:val="16"/>
                    </w:rPr>
                  </w:pPr>
                  <w:r>
                    <w:rPr>
                      <w:rFonts w:hint="eastAsia" w:cs="Times New Roman"/>
                      <w:kern w:val="0"/>
                      <w:sz w:val="21"/>
                      <w:szCs w:val="16"/>
                    </w:rPr>
                    <w:t>斗容量1m³</w:t>
                  </w:r>
                </w:p>
              </w:tc>
              <w:tc>
                <w:tcPr>
                  <w:tcW w:w="811" w:type="dxa"/>
                  <w:vAlign w:val="center"/>
                </w:tcPr>
                <w:p w14:paraId="0A10C241">
                  <w:pPr>
                    <w:jc w:val="center"/>
                    <w:rPr>
                      <w:rFonts w:cs="Times New Roman"/>
                      <w:kern w:val="0"/>
                      <w:sz w:val="21"/>
                      <w:szCs w:val="16"/>
                    </w:rPr>
                  </w:pPr>
                  <w:r>
                    <w:rPr>
                      <w:rFonts w:hint="eastAsia" w:cs="Times New Roman"/>
                      <w:kern w:val="0"/>
                      <w:sz w:val="21"/>
                      <w:szCs w:val="16"/>
                    </w:rPr>
                    <w:t>2</w:t>
                  </w:r>
                </w:p>
              </w:tc>
            </w:tr>
            <w:tr w14:paraId="69C7E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948FB15">
                  <w:pPr>
                    <w:jc w:val="center"/>
                    <w:rPr>
                      <w:rFonts w:cs="Times New Roman"/>
                      <w:kern w:val="0"/>
                      <w:sz w:val="21"/>
                      <w:szCs w:val="16"/>
                    </w:rPr>
                  </w:pPr>
                  <w:r>
                    <w:rPr>
                      <w:rFonts w:hint="eastAsia" w:cs="Times New Roman"/>
                      <w:kern w:val="0"/>
                      <w:sz w:val="21"/>
                      <w:szCs w:val="16"/>
                    </w:rPr>
                    <w:t>9</w:t>
                  </w:r>
                </w:p>
              </w:tc>
              <w:tc>
                <w:tcPr>
                  <w:tcW w:w="3097" w:type="dxa"/>
                  <w:vAlign w:val="center"/>
                </w:tcPr>
                <w:p w14:paraId="0FD52D46">
                  <w:pPr>
                    <w:jc w:val="center"/>
                    <w:rPr>
                      <w:rFonts w:cs="Times New Roman"/>
                      <w:kern w:val="0"/>
                      <w:sz w:val="21"/>
                      <w:szCs w:val="16"/>
                    </w:rPr>
                  </w:pPr>
                  <w:r>
                    <w:rPr>
                      <w:rFonts w:hint="eastAsia" w:cs="Times New Roman"/>
                      <w:kern w:val="0"/>
                      <w:sz w:val="21"/>
                      <w:szCs w:val="16"/>
                    </w:rPr>
                    <w:t>机动翻斗车</w:t>
                  </w:r>
                </w:p>
              </w:tc>
              <w:tc>
                <w:tcPr>
                  <w:tcW w:w="2998" w:type="dxa"/>
                  <w:vAlign w:val="center"/>
                </w:tcPr>
                <w:p w14:paraId="00368557">
                  <w:pPr>
                    <w:jc w:val="center"/>
                    <w:rPr>
                      <w:rFonts w:cs="Times New Roman"/>
                      <w:kern w:val="0"/>
                      <w:sz w:val="21"/>
                      <w:szCs w:val="16"/>
                    </w:rPr>
                  </w:pPr>
                  <w:r>
                    <w:rPr>
                      <w:rFonts w:hint="eastAsia" w:cs="Times New Roman"/>
                      <w:kern w:val="0"/>
                      <w:sz w:val="21"/>
                      <w:szCs w:val="16"/>
                    </w:rPr>
                    <w:t>提升质量1t</w:t>
                  </w:r>
                </w:p>
              </w:tc>
              <w:tc>
                <w:tcPr>
                  <w:tcW w:w="811" w:type="dxa"/>
                  <w:vAlign w:val="center"/>
                </w:tcPr>
                <w:p w14:paraId="46A602D8">
                  <w:pPr>
                    <w:jc w:val="center"/>
                    <w:rPr>
                      <w:rFonts w:cs="Times New Roman"/>
                      <w:kern w:val="0"/>
                      <w:sz w:val="21"/>
                      <w:szCs w:val="16"/>
                    </w:rPr>
                  </w:pPr>
                  <w:r>
                    <w:rPr>
                      <w:rFonts w:hint="eastAsia" w:cs="Times New Roman"/>
                      <w:kern w:val="0"/>
                      <w:sz w:val="21"/>
                      <w:szCs w:val="16"/>
                    </w:rPr>
                    <w:t>2</w:t>
                  </w:r>
                </w:p>
              </w:tc>
            </w:tr>
          </w:tbl>
          <w:p w14:paraId="15E033AE">
            <w:pPr>
              <w:spacing w:line="360" w:lineRule="auto"/>
              <w:ind w:firstLine="480" w:firstLineChars="200"/>
            </w:pPr>
          </w:p>
          <w:p w14:paraId="17B4EE3C">
            <w:pPr>
              <w:spacing w:line="360" w:lineRule="auto"/>
              <w:ind w:firstLine="480" w:firstLineChars="200"/>
            </w:pPr>
            <w:r>
              <w:rPr>
                <w:rFonts w:hint="eastAsia"/>
              </w:rPr>
              <w:t>4</w:t>
            </w:r>
            <w:r>
              <w:t>、施工土石方平衡</w:t>
            </w:r>
          </w:p>
          <w:p w14:paraId="1324258D">
            <w:pPr>
              <w:spacing w:line="360" w:lineRule="auto"/>
              <w:ind w:firstLine="482" w:firstLineChars="200"/>
              <w:rPr>
                <w:b/>
                <w:bCs/>
                <w:u w:val="single"/>
              </w:rPr>
            </w:pPr>
            <w:r>
              <w:rPr>
                <w:rFonts w:hint="eastAsia"/>
                <w:b/>
                <w:bCs/>
                <w:u w:val="single"/>
              </w:rPr>
              <w:t>根据本工程水土保持报告中本项目施工土石方核算内容，本工程挖方全部用于陆域回填使用，无弃土产生。本工程土石方挖填总量为18.98万m³（自然方），其中挖方量8.24万m³，填方量10.74万m³，借方2.49万m³（含石方2.40万m³，一般土方0.09万m³），无弃方，借方来源于白山至临江高速公路土石方综合利用。本工程施工</w:t>
            </w:r>
            <w:r>
              <w:rPr>
                <w:b/>
                <w:bCs/>
                <w:u w:val="single"/>
              </w:rPr>
              <w:t>土石方平衡详见下表：</w:t>
            </w:r>
          </w:p>
          <w:p w14:paraId="2C951F2B">
            <w:pPr>
              <w:spacing w:line="360" w:lineRule="auto"/>
              <w:ind w:firstLine="482" w:firstLineChars="200"/>
              <w:rPr>
                <w:b/>
                <w:bCs/>
                <w:u w:val="single"/>
              </w:rPr>
            </w:pPr>
          </w:p>
          <w:p w14:paraId="10CB5199">
            <w:pPr>
              <w:spacing w:line="360" w:lineRule="auto"/>
              <w:jc w:val="center"/>
              <w:rPr>
                <w:b/>
                <w:bCs/>
                <w:u w:val="single"/>
              </w:rPr>
            </w:pPr>
            <w:r>
              <w:rPr>
                <w:rFonts w:hint="eastAsia"/>
                <w:b/>
                <w:bCs/>
                <w:u w:val="single"/>
              </w:rPr>
              <w:t>表22   本项目施工土石方平衡一览表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52"/>
              <w:gridCol w:w="739"/>
              <w:gridCol w:w="738"/>
              <w:gridCol w:w="761"/>
              <w:gridCol w:w="689"/>
              <w:gridCol w:w="1056"/>
              <w:gridCol w:w="786"/>
              <w:gridCol w:w="655"/>
              <w:gridCol w:w="786"/>
              <w:gridCol w:w="648"/>
            </w:tblGrid>
            <w:tr w14:paraId="7F6EC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Merge w:val="restart"/>
                  <w:vAlign w:val="center"/>
                </w:tcPr>
                <w:p w14:paraId="6306139A">
                  <w:pPr>
                    <w:jc w:val="center"/>
                    <w:rPr>
                      <w:rFonts w:cs="Times New Roman"/>
                      <w:b/>
                      <w:bCs/>
                      <w:i/>
                      <w:iCs/>
                      <w:kern w:val="0"/>
                      <w:sz w:val="21"/>
                      <w:szCs w:val="21"/>
                      <w:u w:val="single"/>
                    </w:rPr>
                  </w:pPr>
                  <w:r>
                    <w:rPr>
                      <w:rFonts w:hint="eastAsia" w:cs="Times New Roman"/>
                      <w:b/>
                      <w:bCs/>
                      <w:i/>
                      <w:iCs/>
                      <w:kern w:val="0"/>
                      <w:sz w:val="21"/>
                      <w:szCs w:val="21"/>
                      <w:u w:val="single"/>
                    </w:rPr>
                    <w:t>单元</w:t>
                  </w:r>
                </w:p>
              </w:tc>
              <w:tc>
                <w:tcPr>
                  <w:tcW w:w="499" w:type="pct"/>
                  <w:vMerge w:val="restart"/>
                  <w:vAlign w:val="center"/>
                </w:tcPr>
                <w:p w14:paraId="7B2ADD8C">
                  <w:pPr>
                    <w:jc w:val="center"/>
                    <w:rPr>
                      <w:rFonts w:cs="Times New Roman"/>
                      <w:b/>
                      <w:bCs/>
                      <w:i/>
                      <w:iCs/>
                      <w:kern w:val="0"/>
                      <w:sz w:val="21"/>
                      <w:szCs w:val="21"/>
                      <w:u w:val="single"/>
                    </w:rPr>
                  </w:pPr>
                  <w:r>
                    <w:rPr>
                      <w:rFonts w:hint="eastAsia" w:cs="Times New Roman"/>
                      <w:b/>
                      <w:bCs/>
                      <w:i/>
                      <w:iCs/>
                      <w:kern w:val="0"/>
                      <w:sz w:val="21"/>
                      <w:szCs w:val="21"/>
                      <w:u w:val="single"/>
                    </w:rPr>
                    <w:t>分类</w:t>
                  </w:r>
                </w:p>
              </w:tc>
              <w:tc>
                <w:tcPr>
                  <w:tcW w:w="498" w:type="pct"/>
                  <w:vMerge w:val="restart"/>
                  <w:vAlign w:val="center"/>
                </w:tcPr>
                <w:p w14:paraId="36824590">
                  <w:pPr>
                    <w:jc w:val="center"/>
                    <w:rPr>
                      <w:rFonts w:cs="Times New Roman"/>
                      <w:b/>
                      <w:bCs/>
                      <w:i/>
                      <w:iCs/>
                      <w:kern w:val="0"/>
                      <w:sz w:val="21"/>
                      <w:szCs w:val="21"/>
                      <w:u w:val="single"/>
                    </w:rPr>
                  </w:pPr>
                  <w:r>
                    <w:rPr>
                      <w:rFonts w:hint="eastAsia" w:cs="Times New Roman"/>
                      <w:b/>
                      <w:bCs/>
                      <w:i/>
                      <w:iCs/>
                      <w:kern w:val="0"/>
                      <w:sz w:val="21"/>
                      <w:szCs w:val="21"/>
                      <w:u w:val="single"/>
                    </w:rPr>
                    <w:t>挖方</w:t>
                  </w:r>
                </w:p>
              </w:tc>
              <w:tc>
                <w:tcPr>
                  <w:tcW w:w="513" w:type="pct"/>
                  <w:vMerge w:val="restart"/>
                  <w:vAlign w:val="center"/>
                </w:tcPr>
                <w:p w14:paraId="3EB368F9">
                  <w:pPr>
                    <w:jc w:val="center"/>
                    <w:rPr>
                      <w:rFonts w:cs="Times New Roman"/>
                      <w:b/>
                      <w:bCs/>
                      <w:i/>
                      <w:iCs/>
                      <w:kern w:val="0"/>
                      <w:sz w:val="21"/>
                      <w:szCs w:val="21"/>
                      <w:u w:val="single"/>
                    </w:rPr>
                  </w:pPr>
                  <w:r>
                    <w:rPr>
                      <w:rFonts w:hint="eastAsia" w:cs="Times New Roman"/>
                      <w:b/>
                      <w:bCs/>
                      <w:i/>
                      <w:iCs/>
                      <w:kern w:val="0"/>
                      <w:sz w:val="21"/>
                      <w:szCs w:val="21"/>
                      <w:u w:val="single"/>
                    </w:rPr>
                    <w:t>填方</w:t>
                  </w:r>
                </w:p>
              </w:tc>
              <w:tc>
                <w:tcPr>
                  <w:tcW w:w="912" w:type="pct"/>
                  <w:gridSpan w:val="2"/>
                  <w:vAlign w:val="center"/>
                </w:tcPr>
                <w:p w14:paraId="03CEF320">
                  <w:pPr>
                    <w:jc w:val="center"/>
                    <w:rPr>
                      <w:rFonts w:cs="Times New Roman"/>
                      <w:b/>
                      <w:bCs/>
                      <w:i/>
                      <w:iCs/>
                      <w:kern w:val="0"/>
                      <w:sz w:val="21"/>
                      <w:szCs w:val="21"/>
                      <w:u w:val="single"/>
                    </w:rPr>
                  </w:pPr>
                  <w:r>
                    <w:rPr>
                      <w:rFonts w:hint="eastAsia" w:cs="Times New Roman"/>
                      <w:b/>
                      <w:bCs/>
                      <w:i/>
                      <w:iCs/>
                      <w:kern w:val="0"/>
                      <w:sz w:val="21"/>
                      <w:szCs w:val="21"/>
                      <w:u w:val="single"/>
                    </w:rPr>
                    <w:t>调入方</w:t>
                  </w:r>
                </w:p>
              </w:tc>
              <w:tc>
                <w:tcPr>
                  <w:tcW w:w="974" w:type="pct"/>
                  <w:gridSpan w:val="2"/>
                  <w:vAlign w:val="center"/>
                </w:tcPr>
                <w:p w14:paraId="3551BDDC">
                  <w:pPr>
                    <w:jc w:val="center"/>
                    <w:rPr>
                      <w:rFonts w:cs="Times New Roman"/>
                      <w:b/>
                      <w:bCs/>
                      <w:i/>
                      <w:iCs/>
                      <w:kern w:val="0"/>
                      <w:sz w:val="21"/>
                      <w:szCs w:val="21"/>
                      <w:u w:val="single"/>
                    </w:rPr>
                  </w:pPr>
                  <w:r>
                    <w:rPr>
                      <w:rFonts w:hint="eastAsia" w:cs="Times New Roman"/>
                      <w:b/>
                      <w:bCs/>
                      <w:i/>
                      <w:iCs/>
                      <w:kern w:val="0"/>
                      <w:sz w:val="21"/>
                      <w:szCs w:val="21"/>
                      <w:u w:val="single"/>
                    </w:rPr>
                    <w:t>调出方</w:t>
                  </w:r>
                </w:p>
              </w:tc>
              <w:tc>
                <w:tcPr>
                  <w:tcW w:w="969" w:type="pct"/>
                  <w:gridSpan w:val="2"/>
                  <w:vAlign w:val="center"/>
                </w:tcPr>
                <w:p w14:paraId="1BED7358">
                  <w:pPr>
                    <w:jc w:val="center"/>
                    <w:rPr>
                      <w:rFonts w:cs="Times New Roman"/>
                      <w:b/>
                      <w:bCs/>
                      <w:i/>
                      <w:iCs/>
                      <w:kern w:val="0"/>
                      <w:sz w:val="21"/>
                      <w:szCs w:val="21"/>
                      <w:u w:val="single"/>
                    </w:rPr>
                  </w:pPr>
                  <w:r>
                    <w:rPr>
                      <w:rFonts w:hint="eastAsia" w:cs="Times New Roman"/>
                      <w:b/>
                      <w:bCs/>
                      <w:i/>
                      <w:iCs/>
                      <w:kern w:val="0"/>
                      <w:sz w:val="21"/>
                      <w:szCs w:val="21"/>
                      <w:u w:val="single"/>
                    </w:rPr>
                    <w:t>借方</w:t>
                  </w:r>
                </w:p>
              </w:tc>
            </w:tr>
            <w:tr w14:paraId="4591C8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Merge w:val="continue"/>
                  <w:vAlign w:val="center"/>
                </w:tcPr>
                <w:p w14:paraId="582DF3CD">
                  <w:pPr>
                    <w:jc w:val="center"/>
                    <w:rPr>
                      <w:rFonts w:cs="Times New Roman"/>
                      <w:b/>
                      <w:bCs/>
                      <w:i/>
                      <w:iCs/>
                      <w:kern w:val="0"/>
                      <w:sz w:val="21"/>
                      <w:szCs w:val="21"/>
                      <w:u w:val="single"/>
                    </w:rPr>
                  </w:pPr>
                </w:p>
              </w:tc>
              <w:tc>
                <w:tcPr>
                  <w:tcW w:w="499" w:type="pct"/>
                  <w:vMerge w:val="continue"/>
                  <w:vAlign w:val="center"/>
                </w:tcPr>
                <w:p w14:paraId="75EEF57B">
                  <w:pPr>
                    <w:jc w:val="center"/>
                    <w:rPr>
                      <w:rFonts w:cs="Times New Roman"/>
                      <w:b/>
                      <w:bCs/>
                      <w:i/>
                      <w:iCs/>
                      <w:kern w:val="0"/>
                      <w:sz w:val="21"/>
                      <w:szCs w:val="21"/>
                      <w:u w:val="single"/>
                    </w:rPr>
                  </w:pPr>
                </w:p>
              </w:tc>
              <w:tc>
                <w:tcPr>
                  <w:tcW w:w="498" w:type="pct"/>
                  <w:vMerge w:val="continue"/>
                  <w:vAlign w:val="center"/>
                </w:tcPr>
                <w:p w14:paraId="6B4C731B">
                  <w:pPr>
                    <w:jc w:val="center"/>
                    <w:rPr>
                      <w:rFonts w:cs="Times New Roman"/>
                      <w:b/>
                      <w:bCs/>
                      <w:i/>
                      <w:iCs/>
                      <w:kern w:val="0"/>
                      <w:sz w:val="21"/>
                      <w:szCs w:val="21"/>
                      <w:u w:val="single"/>
                    </w:rPr>
                  </w:pPr>
                </w:p>
              </w:tc>
              <w:tc>
                <w:tcPr>
                  <w:tcW w:w="513" w:type="pct"/>
                  <w:vMerge w:val="continue"/>
                  <w:vAlign w:val="center"/>
                </w:tcPr>
                <w:p w14:paraId="6EE8C3B9">
                  <w:pPr>
                    <w:jc w:val="center"/>
                    <w:rPr>
                      <w:rFonts w:cs="Times New Roman"/>
                      <w:b/>
                      <w:bCs/>
                      <w:i/>
                      <w:iCs/>
                      <w:kern w:val="0"/>
                      <w:sz w:val="21"/>
                      <w:szCs w:val="21"/>
                      <w:u w:val="single"/>
                    </w:rPr>
                  </w:pPr>
                </w:p>
              </w:tc>
              <w:tc>
                <w:tcPr>
                  <w:tcW w:w="467" w:type="pct"/>
                  <w:vAlign w:val="center"/>
                </w:tcPr>
                <w:p w14:paraId="72A98637">
                  <w:pPr>
                    <w:jc w:val="center"/>
                    <w:rPr>
                      <w:rFonts w:cs="Times New Roman"/>
                      <w:b/>
                      <w:bCs/>
                      <w:i/>
                      <w:iCs/>
                      <w:kern w:val="0"/>
                      <w:sz w:val="21"/>
                      <w:szCs w:val="21"/>
                      <w:u w:val="single"/>
                    </w:rPr>
                  </w:pPr>
                  <w:r>
                    <w:rPr>
                      <w:rFonts w:hint="eastAsia" w:cs="Times New Roman"/>
                      <w:b/>
                      <w:bCs/>
                      <w:i/>
                      <w:iCs/>
                      <w:kern w:val="0"/>
                      <w:sz w:val="21"/>
                      <w:szCs w:val="21"/>
                      <w:u w:val="single"/>
                    </w:rPr>
                    <w:t>数量</w:t>
                  </w:r>
                </w:p>
              </w:tc>
              <w:tc>
                <w:tcPr>
                  <w:tcW w:w="445" w:type="pct"/>
                  <w:vAlign w:val="center"/>
                </w:tcPr>
                <w:p w14:paraId="6C8EEF7A">
                  <w:pPr>
                    <w:jc w:val="center"/>
                    <w:rPr>
                      <w:rFonts w:cs="Times New Roman"/>
                      <w:b/>
                      <w:bCs/>
                      <w:i/>
                      <w:iCs/>
                      <w:kern w:val="0"/>
                      <w:sz w:val="21"/>
                      <w:szCs w:val="21"/>
                      <w:u w:val="single"/>
                    </w:rPr>
                  </w:pPr>
                  <w:r>
                    <w:rPr>
                      <w:rFonts w:hint="eastAsia" w:cs="Times New Roman"/>
                      <w:b/>
                      <w:bCs/>
                      <w:i/>
                      <w:iCs/>
                      <w:kern w:val="0"/>
                      <w:sz w:val="21"/>
                      <w:szCs w:val="21"/>
                      <w:u w:val="single"/>
                    </w:rPr>
                    <w:t>来源</w:t>
                  </w:r>
                </w:p>
              </w:tc>
              <w:tc>
                <w:tcPr>
                  <w:tcW w:w="529" w:type="pct"/>
                  <w:vAlign w:val="center"/>
                </w:tcPr>
                <w:p w14:paraId="42861321">
                  <w:pPr>
                    <w:jc w:val="center"/>
                    <w:rPr>
                      <w:rFonts w:cs="Times New Roman"/>
                      <w:b/>
                      <w:bCs/>
                      <w:i/>
                      <w:iCs/>
                      <w:kern w:val="0"/>
                      <w:sz w:val="21"/>
                      <w:szCs w:val="21"/>
                      <w:u w:val="single"/>
                    </w:rPr>
                  </w:pPr>
                  <w:r>
                    <w:rPr>
                      <w:rFonts w:hint="eastAsia" w:cs="Times New Roman"/>
                      <w:b/>
                      <w:bCs/>
                      <w:i/>
                      <w:iCs/>
                      <w:kern w:val="0"/>
                      <w:sz w:val="21"/>
                      <w:szCs w:val="21"/>
                      <w:u w:val="single"/>
                    </w:rPr>
                    <w:t>数量</w:t>
                  </w:r>
                </w:p>
              </w:tc>
              <w:tc>
                <w:tcPr>
                  <w:tcW w:w="445" w:type="pct"/>
                  <w:vAlign w:val="center"/>
                </w:tcPr>
                <w:p w14:paraId="2C98C3EA">
                  <w:pPr>
                    <w:jc w:val="center"/>
                    <w:rPr>
                      <w:rFonts w:cs="Times New Roman"/>
                      <w:b/>
                      <w:bCs/>
                      <w:i/>
                      <w:iCs/>
                      <w:kern w:val="0"/>
                      <w:sz w:val="21"/>
                      <w:szCs w:val="21"/>
                      <w:u w:val="single"/>
                    </w:rPr>
                  </w:pPr>
                  <w:r>
                    <w:rPr>
                      <w:rFonts w:hint="eastAsia" w:cs="Times New Roman"/>
                      <w:b/>
                      <w:bCs/>
                      <w:i/>
                      <w:iCs/>
                      <w:kern w:val="0"/>
                      <w:sz w:val="21"/>
                      <w:szCs w:val="21"/>
                      <w:u w:val="single"/>
                    </w:rPr>
                    <w:t>去向</w:t>
                  </w:r>
                </w:p>
              </w:tc>
              <w:tc>
                <w:tcPr>
                  <w:tcW w:w="529" w:type="pct"/>
                  <w:vAlign w:val="center"/>
                </w:tcPr>
                <w:p w14:paraId="7BA0A333">
                  <w:pPr>
                    <w:jc w:val="center"/>
                    <w:rPr>
                      <w:rFonts w:cs="Times New Roman"/>
                      <w:b/>
                      <w:bCs/>
                      <w:i/>
                      <w:iCs/>
                      <w:kern w:val="0"/>
                      <w:sz w:val="21"/>
                      <w:szCs w:val="21"/>
                      <w:u w:val="single"/>
                    </w:rPr>
                  </w:pPr>
                  <w:r>
                    <w:rPr>
                      <w:rFonts w:hint="eastAsia" w:cs="Times New Roman"/>
                      <w:b/>
                      <w:bCs/>
                      <w:i/>
                      <w:iCs/>
                      <w:kern w:val="0"/>
                      <w:sz w:val="21"/>
                      <w:szCs w:val="21"/>
                      <w:u w:val="single"/>
                    </w:rPr>
                    <w:t>数量</w:t>
                  </w:r>
                </w:p>
              </w:tc>
              <w:tc>
                <w:tcPr>
                  <w:tcW w:w="440" w:type="pct"/>
                  <w:vAlign w:val="center"/>
                </w:tcPr>
                <w:p w14:paraId="5CA1C866">
                  <w:pPr>
                    <w:jc w:val="center"/>
                    <w:rPr>
                      <w:rFonts w:cs="Times New Roman"/>
                      <w:b/>
                      <w:bCs/>
                      <w:i/>
                      <w:iCs/>
                      <w:kern w:val="0"/>
                      <w:sz w:val="21"/>
                      <w:szCs w:val="21"/>
                      <w:u w:val="single"/>
                    </w:rPr>
                  </w:pPr>
                  <w:r>
                    <w:rPr>
                      <w:rFonts w:hint="eastAsia" w:cs="Times New Roman"/>
                      <w:b/>
                      <w:bCs/>
                      <w:i/>
                      <w:iCs/>
                      <w:kern w:val="0"/>
                      <w:sz w:val="21"/>
                      <w:szCs w:val="21"/>
                      <w:u w:val="single"/>
                    </w:rPr>
                    <w:t>来源</w:t>
                  </w:r>
                </w:p>
              </w:tc>
            </w:tr>
            <w:tr w14:paraId="4B4443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Align w:val="center"/>
                </w:tcPr>
                <w:p w14:paraId="04B449C8">
                  <w:pPr>
                    <w:jc w:val="center"/>
                    <w:rPr>
                      <w:rFonts w:cs="Times New Roman"/>
                      <w:i/>
                      <w:iCs/>
                      <w:kern w:val="0"/>
                      <w:sz w:val="21"/>
                      <w:szCs w:val="21"/>
                      <w:u w:val="single"/>
                    </w:rPr>
                  </w:pPr>
                  <w:r>
                    <w:rPr>
                      <w:rFonts w:hint="eastAsia" w:cs="Times New Roman"/>
                      <w:i/>
                      <w:iCs/>
                      <w:kern w:val="0"/>
                      <w:sz w:val="21"/>
                      <w:szCs w:val="21"/>
                      <w:u w:val="single"/>
                    </w:rPr>
                    <w:t>码头工程①</w:t>
                  </w:r>
                </w:p>
              </w:tc>
              <w:tc>
                <w:tcPr>
                  <w:tcW w:w="499" w:type="pct"/>
                  <w:vAlign w:val="center"/>
                </w:tcPr>
                <w:p w14:paraId="137F33D5">
                  <w:pPr>
                    <w:jc w:val="center"/>
                    <w:rPr>
                      <w:rFonts w:cs="Times New Roman"/>
                      <w:i/>
                      <w:iCs/>
                      <w:kern w:val="0"/>
                      <w:sz w:val="21"/>
                      <w:szCs w:val="21"/>
                      <w:u w:val="single"/>
                    </w:rPr>
                  </w:pPr>
                  <w:r>
                    <w:rPr>
                      <w:rFonts w:hint="eastAsia" w:cs="Times New Roman"/>
                      <w:i/>
                      <w:iCs/>
                      <w:kern w:val="0"/>
                      <w:sz w:val="21"/>
                      <w:szCs w:val="21"/>
                      <w:u w:val="single"/>
                    </w:rPr>
                    <w:t>石方</w:t>
                  </w:r>
                </w:p>
              </w:tc>
              <w:tc>
                <w:tcPr>
                  <w:tcW w:w="498" w:type="pct"/>
                  <w:vAlign w:val="center"/>
                </w:tcPr>
                <w:p w14:paraId="11F4325F">
                  <w:pPr>
                    <w:jc w:val="center"/>
                    <w:rPr>
                      <w:rFonts w:cs="Times New Roman"/>
                      <w:i/>
                      <w:iCs/>
                      <w:kern w:val="0"/>
                      <w:sz w:val="21"/>
                      <w:szCs w:val="21"/>
                      <w:u w:val="single"/>
                    </w:rPr>
                  </w:pPr>
                  <w:r>
                    <w:rPr>
                      <w:rFonts w:hint="eastAsia" w:cs="Times New Roman"/>
                      <w:i/>
                      <w:iCs/>
                      <w:kern w:val="0"/>
                      <w:sz w:val="21"/>
                      <w:szCs w:val="21"/>
                      <w:u w:val="single"/>
                    </w:rPr>
                    <w:t>1.02</w:t>
                  </w:r>
                </w:p>
              </w:tc>
              <w:tc>
                <w:tcPr>
                  <w:tcW w:w="513" w:type="pct"/>
                  <w:vAlign w:val="center"/>
                </w:tcPr>
                <w:p w14:paraId="603D1EA2">
                  <w:pPr>
                    <w:jc w:val="center"/>
                    <w:rPr>
                      <w:rFonts w:cs="Times New Roman"/>
                      <w:i/>
                      <w:iCs/>
                      <w:kern w:val="0"/>
                      <w:sz w:val="21"/>
                      <w:szCs w:val="21"/>
                      <w:u w:val="single"/>
                    </w:rPr>
                  </w:pPr>
                  <w:r>
                    <w:rPr>
                      <w:rFonts w:hint="eastAsia" w:cs="Times New Roman"/>
                      <w:i/>
                      <w:iCs/>
                      <w:kern w:val="0"/>
                      <w:sz w:val="21"/>
                      <w:szCs w:val="21"/>
                      <w:u w:val="single"/>
                    </w:rPr>
                    <w:t>0.47</w:t>
                  </w:r>
                </w:p>
              </w:tc>
              <w:tc>
                <w:tcPr>
                  <w:tcW w:w="467" w:type="pct"/>
                  <w:vAlign w:val="center"/>
                </w:tcPr>
                <w:p w14:paraId="23CD0891">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0BCE62BE">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07AED21E">
                  <w:pPr>
                    <w:jc w:val="center"/>
                    <w:rPr>
                      <w:rFonts w:cs="Times New Roman"/>
                      <w:i/>
                      <w:iCs/>
                      <w:kern w:val="0"/>
                      <w:sz w:val="21"/>
                      <w:szCs w:val="21"/>
                      <w:u w:val="single"/>
                    </w:rPr>
                  </w:pPr>
                  <w:r>
                    <w:rPr>
                      <w:rFonts w:hint="eastAsia" w:cs="Times New Roman"/>
                      <w:i/>
                      <w:iCs/>
                      <w:kern w:val="0"/>
                      <w:sz w:val="21"/>
                      <w:szCs w:val="21"/>
                      <w:u w:val="single"/>
                    </w:rPr>
                    <w:t>0.55</w:t>
                  </w:r>
                </w:p>
              </w:tc>
              <w:tc>
                <w:tcPr>
                  <w:tcW w:w="445" w:type="pct"/>
                  <w:vAlign w:val="center"/>
                </w:tcPr>
                <w:p w14:paraId="58BF7A20">
                  <w:pPr>
                    <w:jc w:val="center"/>
                    <w:rPr>
                      <w:rFonts w:cs="Times New Roman"/>
                      <w:i/>
                      <w:iCs/>
                      <w:kern w:val="0"/>
                      <w:sz w:val="21"/>
                      <w:szCs w:val="21"/>
                      <w:u w:val="single"/>
                    </w:rPr>
                  </w:pPr>
                  <w:r>
                    <w:rPr>
                      <w:rFonts w:hint="eastAsia" w:cs="Times New Roman"/>
                      <w:i/>
                      <w:iCs/>
                      <w:kern w:val="0"/>
                      <w:sz w:val="21"/>
                      <w:szCs w:val="21"/>
                      <w:u w:val="single"/>
                    </w:rPr>
                    <w:t>⑤</w:t>
                  </w:r>
                </w:p>
              </w:tc>
              <w:tc>
                <w:tcPr>
                  <w:tcW w:w="529" w:type="pct"/>
                  <w:vAlign w:val="center"/>
                </w:tcPr>
                <w:p w14:paraId="44BD046D">
                  <w:pPr>
                    <w:jc w:val="center"/>
                    <w:rPr>
                      <w:rFonts w:cs="Times New Roman"/>
                      <w:i/>
                      <w:iCs/>
                      <w:kern w:val="0"/>
                      <w:sz w:val="21"/>
                      <w:szCs w:val="21"/>
                      <w:u w:val="single"/>
                    </w:rPr>
                  </w:pPr>
                  <w:r>
                    <w:rPr>
                      <w:rFonts w:hint="eastAsia" w:cs="Times New Roman"/>
                      <w:i/>
                      <w:iCs/>
                      <w:kern w:val="0"/>
                      <w:sz w:val="21"/>
                      <w:szCs w:val="21"/>
                      <w:u w:val="single"/>
                    </w:rPr>
                    <w:t>/</w:t>
                  </w:r>
                </w:p>
              </w:tc>
              <w:tc>
                <w:tcPr>
                  <w:tcW w:w="440" w:type="pct"/>
                  <w:vAlign w:val="center"/>
                </w:tcPr>
                <w:p w14:paraId="225FAB88">
                  <w:pPr>
                    <w:jc w:val="center"/>
                    <w:rPr>
                      <w:rFonts w:cs="Times New Roman"/>
                      <w:i/>
                      <w:iCs/>
                      <w:kern w:val="0"/>
                      <w:sz w:val="21"/>
                      <w:szCs w:val="21"/>
                      <w:u w:val="single"/>
                    </w:rPr>
                  </w:pPr>
                  <w:r>
                    <w:rPr>
                      <w:rFonts w:hint="eastAsia" w:cs="Times New Roman"/>
                      <w:i/>
                      <w:iCs/>
                      <w:kern w:val="0"/>
                      <w:sz w:val="21"/>
                      <w:szCs w:val="21"/>
                      <w:u w:val="single"/>
                    </w:rPr>
                    <w:t>/</w:t>
                  </w:r>
                </w:p>
              </w:tc>
            </w:tr>
            <w:tr w14:paraId="6A15B9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Align w:val="center"/>
                </w:tcPr>
                <w:p w14:paraId="14DA3C02">
                  <w:pPr>
                    <w:jc w:val="center"/>
                    <w:rPr>
                      <w:rFonts w:cs="Times New Roman"/>
                      <w:i/>
                      <w:iCs/>
                      <w:kern w:val="0"/>
                      <w:sz w:val="21"/>
                      <w:szCs w:val="21"/>
                      <w:u w:val="single"/>
                    </w:rPr>
                  </w:pPr>
                  <w:r>
                    <w:rPr>
                      <w:rFonts w:hint="eastAsia" w:cs="Times New Roman"/>
                      <w:i/>
                      <w:iCs/>
                      <w:kern w:val="0"/>
                      <w:sz w:val="21"/>
                      <w:szCs w:val="21"/>
                      <w:u w:val="single"/>
                    </w:rPr>
                    <w:t>护岸工程②</w:t>
                  </w:r>
                </w:p>
              </w:tc>
              <w:tc>
                <w:tcPr>
                  <w:tcW w:w="499" w:type="pct"/>
                  <w:vAlign w:val="center"/>
                </w:tcPr>
                <w:p w14:paraId="133CC2B1">
                  <w:pPr>
                    <w:jc w:val="center"/>
                    <w:rPr>
                      <w:rFonts w:cs="Times New Roman"/>
                      <w:i/>
                      <w:iCs/>
                      <w:kern w:val="0"/>
                      <w:sz w:val="21"/>
                      <w:szCs w:val="21"/>
                      <w:u w:val="single"/>
                    </w:rPr>
                  </w:pPr>
                  <w:r>
                    <w:rPr>
                      <w:rFonts w:hint="eastAsia" w:cs="Times New Roman"/>
                      <w:i/>
                      <w:iCs/>
                      <w:kern w:val="0"/>
                      <w:sz w:val="21"/>
                      <w:szCs w:val="21"/>
                      <w:u w:val="single"/>
                    </w:rPr>
                    <w:t>石方</w:t>
                  </w:r>
                </w:p>
              </w:tc>
              <w:tc>
                <w:tcPr>
                  <w:tcW w:w="498" w:type="pct"/>
                  <w:vAlign w:val="center"/>
                </w:tcPr>
                <w:p w14:paraId="1D05A8FD">
                  <w:pPr>
                    <w:jc w:val="center"/>
                    <w:rPr>
                      <w:rFonts w:cs="Times New Roman"/>
                      <w:i/>
                      <w:iCs/>
                      <w:kern w:val="0"/>
                      <w:sz w:val="21"/>
                      <w:szCs w:val="21"/>
                      <w:u w:val="single"/>
                    </w:rPr>
                  </w:pPr>
                  <w:r>
                    <w:rPr>
                      <w:rFonts w:hint="eastAsia" w:cs="Times New Roman"/>
                      <w:i/>
                      <w:iCs/>
                      <w:kern w:val="0"/>
                      <w:sz w:val="21"/>
                      <w:szCs w:val="21"/>
                      <w:u w:val="single"/>
                    </w:rPr>
                    <w:t>0.55</w:t>
                  </w:r>
                </w:p>
              </w:tc>
              <w:tc>
                <w:tcPr>
                  <w:tcW w:w="513" w:type="pct"/>
                  <w:vAlign w:val="center"/>
                </w:tcPr>
                <w:p w14:paraId="7D30BD96">
                  <w:pPr>
                    <w:jc w:val="center"/>
                    <w:rPr>
                      <w:rFonts w:cs="Times New Roman"/>
                      <w:i/>
                      <w:iCs/>
                      <w:kern w:val="0"/>
                      <w:sz w:val="21"/>
                      <w:szCs w:val="21"/>
                      <w:u w:val="single"/>
                    </w:rPr>
                  </w:pPr>
                  <w:r>
                    <w:rPr>
                      <w:rFonts w:hint="eastAsia" w:cs="Times New Roman"/>
                      <w:i/>
                      <w:iCs/>
                      <w:kern w:val="0"/>
                      <w:sz w:val="21"/>
                      <w:szCs w:val="21"/>
                      <w:u w:val="single"/>
                    </w:rPr>
                    <w:t>0.32</w:t>
                  </w:r>
                </w:p>
              </w:tc>
              <w:tc>
                <w:tcPr>
                  <w:tcW w:w="467" w:type="pct"/>
                  <w:vAlign w:val="center"/>
                </w:tcPr>
                <w:p w14:paraId="51E60EDD">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01D5195E">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673ADFE5">
                  <w:pPr>
                    <w:jc w:val="center"/>
                    <w:rPr>
                      <w:rFonts w:cs="Times New Roman"/>
                      <w:i/>
                      <w:iCs/>
                      <w:kern w:val="0"/>
                      <w:sz w:val="21"/>
                      <w:szCs w:val="21"/>
                      <w:u w:val="single"/>
                    </w:rPr>
                  </w:pPr>
                  <w:r>
                    <w:rPr>
                      <w:rFonts w:hint="eastAsia" w:cs="Times New Roman"/>
                      <w:i/>
                      <w:iCs/>
                      <w:kern w:val="0"/>
                      <w:sz w:val="21"/>
                      <w:szCs w:val="21"/>
                      <w:u w:val="single"/>
                    </w:rPr>
                    <w:t>0.23</w:t>
                  </w:r>
                </w:p>
              </w:tc>
              <w:tc>
                <w:tcPr>
                  <w:tcW w:w="445" w:type="pct"/>
                  <w:vAlign w:val="center"/>
                </w:tcPr>
                <w:p w14:paraId="58AC4F99">
                  <w:pPr>
                    <w:jc w:val="center"/>
                    <w:rPr>
                      <w:rFonts w:cs="Times New Roman"/>
                      <w:i/>
                      <w:iCs/>
                      <w:kern w:val="0"/>
                      <w:sz w:val="21"/>
                      <w:szCs w:val="21"/>
                      <w:u w:val="single"/>
                    </w:rPr>
                  </w:pPr>
                  <w:r>
                    <w:rPr>
                      <w:rFonts w:hint="eastAsia" w:cs="Times New Roman"/>
                      <w:i/>
                      <w:iCs/>
                      <w:kern w:val="0"/>
                      <w:sz w:val="21"/>
                      <w:szCs w:val="21"/>
                      <w:u w:val="single"/>
                    </w:rPr>
                    <w:t>⑤</w:t>
                  </w:r>
                </w:p>
              </w:tc>
              <w:tc>
                <w:tcPr>
                  <w:tcW w:w="529" w:type="pct"/>
                  <w:vAlign w:val="center"/>
                </w:tcPr>
                <w:p w14:paraId="657697A4">
                  <w:pPr>
                    <w:jc w:val="center"/>
                    <w:rPr>
                      <w:rFonts w:cs="Times New Roman"/>
                      <w:i/>
                      <w:iCs/>
                      <w:kern w:val="0"/>
                      <w:sz w:val="21"/>
                      <w:szCs w:val="21"/>
                      <w:u w:val="single"/>
                    </w:rPr>
                  </w:pPr>
                  <w:r>
                    <w:rPr>
                      <w:rFonts w:hint="eastAsia" w:cs="Times New Roman"/>
                      <w:i/>
                      <w:iCs/>
                      <w:kern w:val="0"/>
                      <w:sz w:val="21"/>
                      <w:szCs w:val="21"/>
                      <w:u w:val="single"/>
                    </w:rPr>
                    <w:t>/</w:t>
                  </w:r>
                </w:p>
              </w:tc>
              <w:tc>
                <w:tcPr>
                  <w:tcW w:w="440" w:type="pct"/>
                  <w:vAlign w:val="center"/>
                </w:tcPr>
                <w:p w14:paraId="11A46079">
                  <w:pPr>
                    <w:jc w:val="center"/>
                    <w:rPr>
                      <w:rFonts w:cs="Times New Roman"/>
                      <w:i/>
                      <w:iCs/>
                      <w:kern w:val="0"/>
                      <w:sz w:val="21"/>
                      <w:szCs w:val="21"/>
                      <w:u w:val="single"/>
                    </w:rPr>
                  </w:pPr>
                  <w:r>
                    <w:rPr>
                      <w:rFonts w:hint="eastAsia" w:cs="Times New Roman"/>
                      <w:i/>
                      <w:iCs/>
                      <w:kern w:val="0"/>
                      <w:sz w:val="21"/>
                      <w:szCs w:val="21"/>
                      <w:u w:val="single"/>
                    </w:rPr>
                    <w:t>/</w:t>
                  </w:r>
                </w:p>
              </w:tc>
            </w:tr>
            <w:tr w14:paraId="607798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Align w:val="center"/>
                </w:tcPr>
                <w:p w14:paraId="5E682EC9">
                  <w:pPr>
                    <w:jc w:val="center"/>
                    <w:rPr>
                      <w:rFonts w:cs="Times New Roman"/>
                      <w:i/>
                      <w:iCs/>
                      <w:kern w:val="0"/>
                      <w:sz w:val="21"/>
                      <w:szCs w:val="21"/>
                      <w:u w:val="single"/>
                    </w:rPr>
                  </w:pPr>
                  <w:r>
                    <w:rPr>
                      <w:rFonts w:hint="eastAsia" w:cs="Times New Roman"/>
                      <w:i/>
                      <w:iCs/>
                      <w:kern w:val="0"/>
                      <w:sz w:val="21"/>
                      <w:szCs w:val="21"/>
                      <w:u w:val="single"/>
                    </w:rPr>
                    <w:t>管线工程③</w:t>
                  </w:r>
                </w:p>
              </w:tc>
              <w:tc>
                <w:tcPr>
                  <w:tcW w:w="499" w:type="pct"/>
                  <w:vAlign w:val="center"/>
                </w:tcPr>
                <w:p w14:paraId="5DD7CEC7">
                  <w:pPr>
                    <w:jc w:val="center"/>
                    <w:rPr>
                      <w:rFonts w:cs="Times New Roman"/>
                      <w:i/>
                      <w:iCs/>
                      <w:kern w:val="0"/>
                      <w:sz w:val="21"/>
                      <w:szCs w:val="21"/>
                      <w:u w:val="single"/>
                    </w:rPr>
                  </w:pPr>
                  <w:r>
                    <w:rPr>
                      <w:rFonts w:hint="eastAsia" w:cs="Times New Roman"/>
                      <w:i/>
                      <w:iCs/>
                      <w:kern w:val="0"/>
                      <w:sz w:val="21"/>
                      <w:szCs w:val="21"/>
                      <w:u w:val="single"/>
                    </w:rPr>
                    <w:t>石方</w:t>
                  </w:r>
                </w:p>
              </w:tc>
              <w:tc>
                <w:tcPr>
                  <w:tcW w:w="498" w:type="pct"/>
                  <w:vAlign w:val="center"/>
                </w:tcPr>
                <w:p w14:paraId="3B248880">
                  <w:pPr>
                    <w:jc w:val="center"/>
                    <w:rPr>
                      <w:rFonts w:cs="Times New Roman"/>
                      <w:i/>
                      <w:iCs/>
                      <w:kern w:val="0"/>
                      <w:sz w:val="21"/>
                      <w:szCs w:val="21"/>
                      <w:u w:val="single"/>
                    </w:rPr>
                  </w:pPr>
                  <w:r>
                    <w:rPr>
                      <w:rFonts w:hint="eastAsia" w:cs="Times New Roman"/>
                      <w:i/>
                      <w:iCs/>
                      <w:kern w:val="0"/>
                      <w:sz w:val="21"/>
                      <w:szCs w:val="21"/>
                      <w:u w:val="single"/>
                    </w:rPr>
                    <w:t>0.40</w:t>
                  </w:r>
                </w:p>
              </w:tc>
              <w:tc>
                <w:tcPr>
                  <w:tcW w:w="513" w:type="pct"/>
                  <w:vAlign w:val="center"/>
                </w:tcPr>
                <w:p w14:paraId="03957909">
                  <w:pPr>
                    <w:jc w:val="center"/>
                    <w:rPr>
                      <w:rFonts w:cs="Times New Roman"/>
                      <w:i/>
                      <w:iCs/>
                      <w:kern w:val="0"/>
                      <w:sz w:val="21"/>
                      <w:szCs w:val="21"/>
                      <w:u w:val="single"/>
                    </w:rPr>
                  </w:pPr>
                  <w:r>
                    <w:rPr>
                      <w:rFonts w:hint="eastAsia" w:cs="Times New Roman"/>
                      <w:i/>
                      <w:iCs/>
                      <w:kern w:val="0"/>
                      <w:sz w:val="21"/>
                      <w:szCs w:val="21"/>
                      <w:u w:val="single"/>
                    </w:rPr>
                    <w:t>0.34</w:t>
                  </w:r>
                </w:p>
              </w:tc>
              <w:tc>
                <w:tcPr>
                  <w:tcW w:w="467" w:type="pct"/>
                  <w:vAlign w:val="center"/>
                </w:tcPr>
                <w:p w14:paraId="1850FC47">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75EAF77F">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5225BCD2">
                  <w:pPr>
                    <w:jc w:val="center"/>
                    <w:rPr>
                      <w:rFonts w:cs="Times New Roman"/>
                      <w:i/>
                      <w:iCs/>
                      <w:kern w:val="0"/>
                      <w:sz w:val="21"/>
                      <w:szCs w:val="21"/>
                      <w:u w:val="single"/>
                    </w:rPr>
                  </w:pPr>
                  <w:r>
                    <w:rPr>
                      <w:rFonts w:hint="eastAsia" w:cs="Times New Roman"/>
                      <w:i/>
                      <w:iCs/>
                      <w:kern w:val="0"/>
                      <w:sz w:val="21"/>
                      <w:szCs w:val="21"/>
                      <w:u w:val="single"/>
                    </w:rPr>
                    <w:t>0.06</w:t>
                  </w:r>
                </w:p>
              </w:tc>
              <w:tc>
                <w:tcPr>
                  <w:tcW w:w="445" w:type="pct"/>
                  <w:vAlign w:val="center"/>
                </w:tcPr>
                <w:p w14:paraId="0CC99D88">
                  <w:pPr>
                    <w:jc w:val="center"/>
                    <w:rPr>
                      <w:rFonts w:cs="Times New Roman"/>
                      <w:i/>
                      <w:iCs/>
                      <w:kern w:val="0"/>
                      <w:sz w:val="21"/>
                      <w:szCs w:val="21"/>
                      <w:u w:val="single"/>
                    </w:rPr>
                  </w:pPr>
                  <w:r>
                    <w:rPr>
                      <w:rFonts w:hint="eastAsia" w:cs="Times New Roman"/>
                      <w:i/>
                      <w:iCs/>
                      <w:kern w:val="0"/>
                      <w:sz w:val="21"/>
                      <w:szCs w:val="21"/>
                      <w:u w:val="single"/>
                    </w:rPr>
                    <w:t>⑤</w:t>
                  </w:r>
                </w:p>
              </w:tc>
              <w:tc>
                <w:tcPr>
                  <w:tcW w:w="529" w:type="pct"/>
                  <w:vAlign w:val="center"/>
                </w:tcPr>
                <w:p w14:paraId="2DAD2AB2">
                  <w:pPr>
                    <w:jc w:val="center"/>
                    <w:rPr>
                      <w:rFonts w:cs="Times New Roman"/>
                      <w:i/>
                      <w:iCs/>
                      <w:kern w:val="0"/>
                      <w:sz w:val="21"/>
                      <w:szCs w:val="21"/>
                      <w:u w:val="single"/>
                    </w:rPr>
                  </w:pPr>
                  <w:r>
                    <w:rPr>
                      <w:rFonts w:hint="eastAsia" w:cs="Times New Roman"/>
                      <w:i/>
                      <w:iCs/>
                      <w:kern w:val="0"/>
                      <w:sz w:val="21"/>
                      <w:szCs w:val="21"/>
                      <w:u w:val="single"/>
                    </w:rPr>
                    <w:t>/</w:t>
                  </w:r>
                </w:p>
              </w:tc>
              <w:tc>
                <w:tcPr>
                  <w:tcW w:w="440" w:type="pct"/>
                  <w:vAlign w:val="center"/>
                </w:tcPr>
                <w:p w14:paraId="674BC2A8">
                  <w:pPr>
                    <w:jc w:val="center"/>
                    <w:rPr>
                      <w:rFonts w:cs="Times New Roman"/>
                      <w:i/>
                      <w:iCs/>
                      <w:kern w:val="0"/>
                      <w:sz w:val="21"/>
                      <w:szCs w:val="21"/>
                      <w:u w:val="single"/>
                    </w:rPr>
                  </w:pPr>
                  <w:r>
                    <w:rPr>
                      <w:rFonts w:hint="eastAsia" w:cs="Times New Roman"/>
                      <w:i/>
                      <w:iCs/>
                      <w:kern w:val="0"/>
                      <w:sz w:val="21"/>
                      <w:szCs w:val="21"/>
                      <w:u w:val="single"/>
                    </w:rPr>
                    <w:t>/</w:t>
                  </w:r>
                </w:p>
              </w:tc>
            </w:tr>
            <w:tr w14:paraId="4AAE02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Align w:val="center"/>
                </w:tcPr>
                <w:p w14:paraId="6726F3AF">
                  <w:pPr>
                    <w:jc w:val="center"/>
                    <w:rPr>
                      <w:rFonts w:cs="Times New Roman"/>
                      <w:i/>
                      <w:iCs/>
                      <w:kern w:val="0"/>
                      <w:sz w:val="21"/>
                      <w:szCs w:val="21"/>
                      <w:u w:val="single"/>
                    </w:rPr>
                  </w:pPr>
                  <w:r>
                    <w:rPr>
                      <w:rFonts w:hint="eastAsia" w:cs="Times New Roman"/>
                      <w:i/>
                      <w:iCs/>
                      <w:kern w:val="0"/>
                      <w:sz w:val="21"/>
                      <w:szCs w:val="21"/>
                      <w:u w:val="single"/>
                    </w:rPr>
                    <w:t>疏浚工程④</w:t>
                  </w:r>
                </w:p>
              </w:tc>
              <w:tc>
                <w:tcPr>
                  <w:tcW w:w="499" w:type="pct"/>
                  <w:vAlign w:val="center"/>
                </w:tcPr>
                <w:p w14:paraId="5C5F7E4D">
                  <w:pPr>
                    <w:jc w:val="center"/>
                    <w:rPr>
                      <w:rFonts w:cs="Times New Roman"/>
                      <w:i/>
                      <w:iCs/>
                      <w:kern w:val="0"/>
                      <w:sz w:val="21"/>
                      <w:szCs w:val="21"/>
                      <w:u w:val="single"/>
                    </w:rPr>
                  </w:pPr>
                  <w:r>
                    <w:rPr>
                      <w:rFonts w:hint="eastAsia" w:cs="Times New Roman"/>
                      <w:i/>
                      <w:iCs/>
                      <w:kern w:val="0"/>
                      <w:sz w:val="21"/>
                      <w:szCs w:val="21"/>
                      <w:u w:val="single"/>
                    </w:rPr>
                    <w:t>石方</w:t>
                  </w:r>
                </w:p>
              </w:tc>
              <w:tc>
                <w:tcPr>
                  <w:tcW w:w="498" w:type="pct"/>
                  <w:vAlign w:val="center"/>
                </w:tcPr>
                <w:p w14:paraId="567D483B">
                  <w:pPr>
                    <w:jc w:val="center"/>
                    <w:rPr>
                      <w:rFonts w:cs="Times New Roman"/>
                      <w:i/>
                      <w:iCs/>
                      <w:kern w:val="0"/>
                      <w:sz w:val="21"/>
                      <w:szCs w:val="21"/>
                      <w:u w:val="single"/>
                    </w:rPr>
                  </w:pPr>
                  <w:r>
                    <w:rPr>
                      <w:rFonts w:hint="eastAsia" w:cs="Times New Roman"/>
                      <w:i/>
                      <w:iCs/>
                      <w:kern w:val="0"/>
                      <w:sz w:val="21"/>
                      <w:szCs w:val="21"/>
                      <w:u w:val="single"/>
                    </w:rPr>
                    <w:t>6.27</w:t>
                  </w:r>
                </w:p>
              </w:tc>
              <w:tc>
                <w:tcPr>
                  <w:tcW w:w="513" w:type="pct"/>
                  <w:vAlign w:val="center"/>
                </w:tcPr>
                <w:p w14:paraId="1F48EDBB">
                  <w:pPr>
                    <w:jc w:val="center"/>
                    <w:rPr>
                      <w:rFonts w:cs="Times New Roman"/>
                      <w:i/>
                      <w:iCs/>
                      <w:kern w:val="0"/>
                      <w:sz w:val="21"/>
                      <w:szCs w:val="21"/>
                      <w:u w:val="single"/>
                    </w:rPr>
                  </w:pPr>
                  <w:r>
                    <w:rPr>
                      <w:rFonts w:hint="eastAsia" w:cs="Times New Roman"/>
                      <w:i/>
                      <w:iCs/>
                      <w:kern w:val="0"/>
                      <w:sz w:val="21"/>
                      <w:szCs w:val="21"/>
                      <w:u w:val="single"/>
                    </w:rPr>
                    <w:t>/</w:t>
                  </w:r>
                </w:p>
              </w:tc>
              <w:tc>
                <w:tcPr>
                  <w:tcW w:w="467" w:type="pct"/>
                  <w:vAlign w:val="center"/>
                </w:tcPr>
                <w:p w14:paraId="4BD4E0CC">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40C0BEFC">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3D6BB153">
                  <w:pPr>
                    <w:jc w:val="center"/>
                    <w:rPr>
                      <w:rFonts w:cs="Times New Roman"/>
                      <w:i/>
                      <w:iCs/>
                      <w:kern w:val="0"/>
                      <w:sz w:val="21"/>
                      <w:szCs w:val="21"/>
                      <w:u w:val="single"/>
                    </w:rPr>
                  </w:pPr>
                  <w:r>
                    <w:rPr>
                      <w:rFonts w:hint="eastAsia" w:cs="Times New Roman"/>
                      <w:i/>
                      <w:iCs/>
                      <w:kern w:val="0"/>
                      <w:sz w:val="21"/>
                      <w:szCs w:val="21"/>
                      <w:u w:val="single"/>
                    </w:rPr>
                    <w:t>6.27</w:t>
                  </w:r>
                </w:p>
              </w:tc>
              <w:tc>
                <w:tcPr>
                  <w:tcW w:w="445" w:type="pct"/>
                  <w:vAlign w:val="center"/>
                </w:tcPr>
                <w:p w14:paraId="677E8694">
                  <w:pPr>
                    <w:jc w:val="center"/>
                    <w:rPr>
                      <w:rFonts w:cs="Times New Roman"/>
                      <w:i/>
                      <w:iCs/>
                      <w:kern w:val="0"/>
                      <w:sz w:val="21"/>
                      <w:szCs w:val="21"/>
                      <w:u w:val="single"/>
                    </w:rPr>
                  </w:pPr>
                  <w:r>
                    <w:rPr>
                      <w:rFonts w:hint="eastAsia" w:cs="Times New Roman"/>
                      <w:i/>
                      <w:iCs/>
                      <w:kern w:val="0"/>
                      <w:sz w:val="21"/>
                      <w:szCs w:val="21"/>
                      <w:u w:val="single"/>
                    </w:rPr>
                    <w:t>⑤</w:t>
                  </w:r>
                </w:p>
              </w:tc>
              <w:tc>
                <w:tcPr>
                  <w:tcW w:w="529" w:type="pct"/>
                  <w:vAlign w:val="center"/>
                </w:tcPr>
                <w:p w14:paraId="7BFDDC44">
                  <w:pPr>
                    <w:jc w:val="center"/>
                    <w:rPr>
                      <w:rFonts w:cs="Times New Roman"/>
                      <w:i/>
                      <w:iCs/>
                      <w:kern w:val="0"/>
                      <w:sz w:val="21"/>
                      <w:szCs w:val="21"/>
                      <w:u w:val="single"/>
                    </w:rPr>
                  </w:pPr>
                  <w:r>
                    <w:rPr>
                      <w:rFonts w:hint="eastAsia" w:cs="Times New Roman"/>
                      <w:i/>
                      <w:iCs/>
                      <w:kern w:val="0"/>
                      <w:sz w:val="21"/>
                      <w:szCs w:val="21"/>
                      <w:u w:val="single"/>
                    </w:rPr>
                    <w:t>/</w:t>
                  </w:r>
                </w:p>
              </w:tc>
              <w:tc>
                <w:tcPr>
                  <w:tcW w:w="440" w:type="pct"/>
                  <w:vAlign w:val="center"/>
                </w:tcPr>
                <w:p w14:paraId="54F80A3F">
                  <w:pPr>
                    <w:jc w:val="center"/>
                    <w:rPr>
                      <w:rFonts w:cs="Times New Roman"/>
                      <w:i/>
                      <w:iCs/>
                      <w:kern w:val="0"/>
                      <w:sz w:val="21"/>
                      <w:szCs w:val="21"/>
                      <w:u w:val="single"/>
                    </w:rPr>
                  </w:pPr>
                  <w:r>
                    <w:rPr>
                      <w:rFonts w:hint="eastAsia" w:cs="Times New Roman"/>
                      <w:i/>
                      <w:iCs/>
                      <w:kern w:val="0"/>
                      <w:sz w:val="21"/>
                      <w:szCs w:val="21"/>
                      <w:u w:val="single"/>
                    </w:rPr>
                    <w:t>/</w:t>
                  </w:r>
                </w:p>
              </w:tc>
            </w:tr>
            <w:tr w14:paraId="1A60D9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Align w:val="center"/>
                </w:tcPr>
                <w:p w14:paraId="109B4800">
                  <w:pPr>
                    <w:jc w:val="center"/>
                    <w:rPr>
                      <w:rFonts w:cs="Times New Roman"/>
                      <w:i/>
                      <w:iCs/>
                      <w:kern w:val="0"/>
                      <w:sz w:val="21"/>
                      <w:szCs w:val="21"/>
                      <w:u w:val="single"/>
                    </w:rPr>
                  </w:pPr>
                  <w:r>
                    <w:rPr>
                      <w:rFonts w:hint="eastAsia" w:cs="Times New Roman"/>
                      <w:i/>
                      <w:iCs/>
                      <w:kern w:val="0"/>
                      <w:sz w:val="21"/>
                      <w:szCs w:val="21"/>
                      <w:u w:val="single"/>
                    </w:rPr>
                    <w:t>陆域回填⑤</w:t>
                  </w:r>
                </w:p>
              </w:tc>
              <w:tc>
                <w:tcPr>
                  <w:tcW w:w="499" w:type="pct"/>
                  <w:vAlign w:val="center"/>
                </w:tcPr>
                <w:p w14:paraId="3025DD6D">
                  <w:pPr>
                    <w:jc w:val="center"/>
                    <w:rPr>
                      <w:rFonts w:cs="Times New Roman"/>
                      <w:i/>
                      <w:iCs/>
                      <w:kern w:val="0"/>
                      <w:sz w:val="21"/>
                      <w:szCs w:val="21"/>
                      <w:u w:val="single"/>
                    </w:rPr>
                  </w:pPr>
                  <w:r>
                    <w:rPr>
                      <w:rFonts w:hint="eastAsia" w:cs="Times New Roman"/>
                      <w:i/>
                      <w:iCs/>
                      <w:kern w:val="0"/>
                      <w:sz w:val="21"/>
                      <w:szCs w:val="21"/>
                      <w:u w:val="single"/>
                    </w:rPr>
                    <w:t>石方</w:t>
                  </w:r>
                </w:p>
              </w:tc>
              <w:tc>
                <w:tcPr>
                  <w:tcW w:w="498" w:type="pct"/>
                  <w:vAlign w:val="center"/>
                </w:tcPr>
                <w:p w14:paraId="37AC65A1">
                  <w:pPr>
                    <w:jc w:val="center"/>
                    <w:rPr>
                      <w:rFonts w:cs="Times New Roman"/>
                      <w:i/>
                      <w:iCs/>
                      <w:kern w:val="0"/>
                      <w:sz w:val="21"/>
                      <w:szCs w:val="21"/>
                      <w:u w:val="single"/>
                    </w:rPr>
                  </w:pPr>
                  <w:r>
                    <w:rPr>
                      <w:rFonts w:hint="eastAsia" w:cs="Times New Roman"/>
                      <w:i/>
                      <w:iCs/>
                      <w:kern w:val="0"/>
                      <w:sz w:val="21"/>
                      <w:szCs w:val="21"/>
                      <w:u w:val="single"/>
                    </w:rPr>
                    <w:t>/</w:t>
                  </w:r>
                </w:p>
              </w:tc>
              <w:tc>
                <w:tcPr>
                  <w:tcW w:w="513" w:type="pct"/>
                  <w:vAlign w:val="center"/>
                </w:tcPr>
                <w:p w14:paraId="6BC3B2D1">
                  <w:pPr>
                    <w:jc w:val="center"/>
                    <w:rPr>
                      <w:rFonts w:cs="Times New Roman"/>
                      <w:i/>
                      <w:iCs/>
                      <w:kern w:val="0"/>
                      <w:sz w:val="21"/>
                      <w:szCs w:val="21"/>
                      <w:u w:val="single"/>
                    </w:rPr>
                  </w:pPr>
                  <w:r>
                    <w:rPr>
                      <w:rFonts w:hint="eastAsia" w:cs="Times New Roman"/>
                      <w:i/>
                      <w:iCs/>
                      <w:kern w:val="0"/>
                      <w:sz w:val="21"/>
                      <w:szCs w:val="21"/>
                      <w:u w:val="single"/>
                    </w:rPr>
                    <w:t>9.52</w:t>
                  </w:r>
                </w:p>
              </w:tc>
              <w:tc>
                <w:tcPr>
                  <w:tcW w:w="467" w:type="pct"/>
                  <w:vAlign w:val="center"/>
                </w:tcPr>
                <w:p w14:paraId="4DAFFA41">
                  <w:pPr>
                    <w:jc w:val="center"/>
                    <w:rPr>
                      <w:rFonts w:cs="Times New Roman"/>
                      <w:i/>
                      <w:iCs/>
                      <w:kern w:val="0"/>
                      <w:sz w:val="21"/>
                      <w:szCs w:val="21"/>
                      <w:u w:val="single"/>
                    </w:rPr>
                  </w:pPr>
                  <w:r>
                    <w:rPr>
                      <w:rFonts w:hint="eastAsia" w:cs="Times New Roman"/>
                      <w:i/>
                      <w:iCs/>
                      <w:kern w:val="0"/>
                      <w:sz w:val="21"/>
                      <w:szCs w:val="21"/>
                      <w:u w:val="single"/>
                    </w:rPr>
                    <w:t>7.12</w:t>
                  </w:r>
                </w:p>
              </w:tc>
              <w:tc>
                <w:tcPr>
                  <w:tcW w:w="445" w:type="pct"/>
                  <w:vAlign w:val="center"/>
                </w:tcPr>
                <w:p w14:paraId="7320730A">
                  <w:pPr>
                    <w:jc w:val="center"/>
                    <w:rPr>
                      <w:rFonts w:cs="Times New Roman"/>
                      <w:i/>
                      <w:iCs/>
                      <w:kern w:val="0"/>
                      <w:sz w:val="21"/>
                      <w:szCs w:val="21"/>
                      <w:u w:val="single"/>
                    </w:rPr>
                  </w:pPr>
                  <w:r>
                    <w:rPr>
                      <w:rFonts w:hint="eastAsia" w:cs="Times New Roman"/>
                      <w:i/>
                      <w:iCs/>
                      <w:kern w:val="0"/>
                      <w:sz w:val="21"/>
                      <w:szCs w:val="21"/>
                      <w:u w:val="single"/>
                    </w:rPr>
                    <w:t>①②③④</w:t>
                  </w:r>
                </w:p>
              </w:tc>
              <w:tc>
                <w:tcPr>
                  <w:tcW w:w="529" w:type="pct"/>
                  <w:vAlign w:val="center"/>
                </w:tcPr>
                <w:p w14:paraId="3EEA4842">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3CE2EF1B">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68FBC48F">
                  <w:pPr>
                    <w:jc w:val="center"/>
                    <w:rPr>
                      <w:rFonts w:cs="Times New Roman"/>
                      <w:i/>
                      <w:iCs/>
                      <w:kern w:val="0"/>
                      <w:sz w:val="21"/>
                      <w:szCs w:val="21"/>
                      <w:u w:val="single"/>
                    </w:rPr>
                  </w:pPr>
                  <w:r>
                    <w:rPr>
                      <w:rFonts w:hint="eastAsia" w:cs="Times New Roman"/>
                      <w:i/>
                      <w:iCs/>
                      <w:kern w:val="0"/>
                      <w:sz w:val="21"/>
                      <w:szCs w:val="21"/>
                      <w:u w:val="single"/>
                    </w:rPr>
                    <w:t>2.40</w:t>
                  </w:r>
                </w:p>
              </w:tc>
              <w:tc>
                <w:tcPr>
                  <w:tcW w:w="440" w:type="pct"/>
                  <w:vMerge w:val="restart"/>
                  <w:vAlign w:val="center"/>
                </w:tcPr>
                <w:p w14:paraId="1DB0956B">
                  <w:pPr>
                    <w:jc w:val="center"/>
                    <w:rPr>
                      <w:rFonts w:cs="Times New Roman"/>
                      <w:i/>
                      <w:iCs/>
                      <w:kern w:val="0"/>
                      <w:sz w:val="21"/>
                      <w:szCs w:val="21"/>
                      <w:u w:val="single"/>
                    </w:rPr>
                  </w:pPr>
                  <w:r>
                    <w:rPr>
                      <w:rFonts w:hint="eastAsia" w:cs="Times New Roman"/>
                      <w:i/>
                      <w:iCs/>
                      <w:kern w:val="0"/>
                      <w:sz w:val="21"/>
                      <w:szCs w:val="21"/>
                      <w:u w:val="single"/>
                    </w:rPr>
                    <w:t>综合利用</w:t>
                  </w:r>
                </w:p>
              </w:tc>
            </w:tr>
            <w:tr w14:paraId="434739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Align w:val="center"/>
                </w:tcPr>
                <w:p w14:paraId="10915716">
                  <w:pPr>
                    <w:jc w:val="center"/>
                    <w:rPr>
                      <w:rFonts w:cs="Times New Roman"/>
                      <w:i/>
                      <w:iCs/>
                      <w:kern w:val="0"/>
                      <w:sz w:val="21"/>
                      <w:szCs w:val="21"/>
                      <w:u w:val="single"/>
                    </w:rPr>
                  </w:pPr>
                  <w:r>
                    <w:rPr>
                      <w:rFonts w:hint="eastAsia" w:cs="Times New Roman"/>
                      <w:i/>
                      <w:iCs/>
                      <w:kern w:val="0"/>
                      <w:sz w:val="21"/>
                      <w:szCs w:val="21"/>
                      <w:u w:val="single"/>
                    </w:rPr>
                    <w:t>绿化区域⑥</w:t>
                  </w:r>
                </w:p>
              </w:tc>
              <w:tc>
                <w:tcPr>
                  <w:tcW w:w="499" w:type="pct"/>
                  <w:vAlign w:val="center"/>
                </w:tcPr>
                <w:p w14:paraId="32C69BE5">
                  <w:pPr>
                    <w:jc w:val="center"/>
                    <w:rPr>
                      <w:rFonts w:cs="Times New Roman"/>
                      <w:i/>
                      <w:iCs/>
                      <w:kern w:val="0"/>
                      <w:sz w:val="21"/>
                      <w:szCs w:val="21"/>
                      <w:u w:val="single"/>
                    </w:rPr>
                  </w:pPr>
                  <w:r>
                    <w:rPr>
                      <w:rFonts w:hint="eastAsia" w:cs="Times New Roman"/>
                      <w:i/>
                      <w:iCs/>
                      <w:kern w:val="0"/>
                      <w:sz w:val="21"/>
                      <w:szCs w:val="21"/>
                      <w:u w:val="single"/>
                    </w:rPr>
                    <w:t>土方</w:t>
                  </w:r>
                </w:p>
              </w:tc>
              <w:tc>
                <w:tcPr>
                  <w:tcW w:w="498" w:type="pct"/>
                  <w:vAlign w:val="center"/>
                </w:tcPr>
                <w:p w14:paraId="08575CD0">
                  <w:pPr>
                    <w:jc w:val="center"/>
                    <w:rPr>
                      <w:rFonts w:cs="Times New Roman"/>
                      <w:i/>
                      <w:iCs/>
                      <w:kern w:val="0"/>
                      <w:sz w:val="21"/>
                      <w:szCs w:val="21"/>
                      <w:u w:val="single"/>
                    </w:rPr>
                  </w:pPr>
                  <w:r>
                    <w:rPr>
                      <w:rFonts w:hint="eastAsia" w:cs="Times New Roman"/>
                      <w:i/>
                      <w:iCs/>
                      <w:kern w:val="0"/>
                      <w:sz w:val="21"/>
                      <w:szCs w:val="21"/>
                      <w:u w:val="single"/>
                    </w:rPr>
                    <w:t>/</w:t>
                  </w:r>
                </w:p>
              </w:tc>
              <w:tc>
                <w:tcPr>
                  <w:tcW w:w="513" w:type="pct"/>
                  <w:vAlign w:val="center"/>
                </w:tcPr>
                <w:p w14:paraId="1A904905">
                  <w:pPr>
                    <w:jc w:val="center"/>
                    <w:rPr>
                      <w:rFonts w:cs="Times New Roman"/>
                      <w:i/>
                      <w:iCs/>
                      <w:kern w:val="0"/>
                      <w:sz w:val="21"/>
                      <w:szCs w:val="21"/>
                      <w:u w:val="single"/>
                    </w:rPr>
                  </w:pPr>
                  <w:r>
                    <w:rPr>
                      <w:rFonts w:hint="eastAsia" w:cs="Times New Roman"/>
                      <w:i/>
                      <w:iCs/>
                      <w:kern w:val="0"/>
                      <w:sz w:val="21"/>
                      <w:szCs w:val="21"/>
                      <w:u w:val="single"/>
                    </w:rPr>
                    <w:t>0.09</w:t>
                  </w:r>
                </w:p>
              </w:tc>
              <w:tc>
                <w:tcPr>
                  <w:tcW w:w="467" w:type="pct"/>
                  <w:vAlign w:val="center"/>
                </w:tcPr>
                <w:p w14:paraId="2C4DF3CC">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458EAEAD">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0DD00D53">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019BE0E7">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540FB6CA">
                  <w:pPr>
                    <w:jc w:val="center"/>
                    <w:rPr>
                      <w:rFonts w:cs="Times New Roman"/>
                      <w:i/>
                      <w:iCs/>
                      <w:kern w:val="0"/>
                      <w:sz w:val="21"/>
                      <w:szCs w:val="21"/>
                      <w:u w:val="single"/>
                    </w:rPr>
                  </w:pPr>
                  <w:r>
                    <w:rPr>
                      <w:rFonts w:hint="eastAsia" w:cs="Times New Roman"/>
                      <w:i/>
                      <w:iCs/>
                      <w:kern w:val="0"/>
                      <w:sz w:val="21"/>
                      <w:szCs w:val="21"/>
                      <w:u w:val="single"/>
                    </w:rPr>
                    <w:t>0.09</w:t>
                  </w:r>
                </w:p>
              </w:tc>
              <w:tc>
                <w:tcPr>
                  <w:tcW w:w="440" w:type="pct"/>
                  <w:vMerge w:val="continue"/>
                  <w:vAlign w:val="center"/>
                </w:tcPr>
                <w:p w14:paraId="79E4380D">
                  <w:pPr>
                    <w:jc w:val="center"/>
                    <w:rPr>
                      <w:rFonts w:cs="Times New Roman"/>
                      <w:i/>
                      <w:iCs/>
                      <w:kern w:val="0"/>
                      <w:sz w:val="21"/>
                      <w:szCs w:val="21"/>
                      <w:u w:val="single"/>
                    </w:rPr>
                  </w:pPr>
                </w:p>
              </w:tc>
            </w:tr>
            <w:tr w14:paraId="54F37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Merge w:val="restart"/>
                  <w:vAlign w:val="center"/>
                </w:tcPr>
                <w:p w14:paraId="1E7FF58A">
                  <w:pPr>
                    <w:jc w:val="center"/>
                    <w:rPr>
                      <w:rFonts w:cs="Times New Roman"/>
                      <w:i/>
                      <w:iCs/>
                      <w:kern w:val="0"/>
                      <w:sz w:val="21"/>
                      <w:szCs w:val="21"/>
                      <w:u w:val="single"/>
                    </w:rPr>
                  </w:pPr>
                  <w:r>
                    <w:rPr>
                      <w:rFonts w:hint="eastAsia" w:cs="Times New Roman"/>
                      <w:i/>
                      <w:iCs/>
                      <w:kern w:val="0"/>
                      <w:sz w:val="21"/>
                      <w:szCs w:val="21"/>
                      <w:u w:val="single"/>
                    </w:rPr>
                    <w:t>总计</w:t>
                  </w:r>
                </w:p>
              </w:tc>
              <w:tc>
                <w:tcPr>
                  <w:tcW w:w="499" w:type="pct"/>
                  <w:vAlign w:val="center"/>
                </w:tcPr>
                <w:p w14:paraId="2DFB60BD">
                  <w:pPr>
                    <w:jc w:val="center"/>
                    <w:rPr>
                      <w:rFonts w:cs="Times New Roman"/>
                      <w:i/>
                      <w:iCs/>
                      <w:kern w:val="0"/>
                      <w:sz w:val="21"/>
                      <w:szCs w:val="21"/>
                      <w:u w:val="single"/>
                    </w:rPr>
                  </w:pPr>
                  <w:r>
                    <w:rPr>
                      <w:rFonts w:hint="eastAsia" w:cs="Times New Roman"/>
                      <w:i/>
                      <w:iCs/>
                      <w:kern w:val="0"/>
                      <w:sz w:val="21"/>
                      <w:szCs w:val="21"/>
                      <w:u w:val="single"/>
                    </w:rPr>
                    <w:t>石方</w:t>
                  </w:r>
                </w:p>
              </w:tc>
              <w:tc>
                <w:tcPr>
                  <w:tcW w:w="498" w:type="pct"/>
                  <w:vAlign w:val="center"/>
                </w:tcPr>
                <w:p w14:paraId="1FBAEF94">
                  <w:pPr>
                    <w:jc w:val="center"/>
                    <w:rPr>
                      <w:rFonts w:cs="Times New Roman"/>
                      <w:i/>
                      <w:iCs/>
                      <w:kern w:val="0"/>
                      <w:sz w:val="21"/>
                      <w:szCs w:val="21"/>
                      <w:u w:val="single"/>
                    </w:rPr>
                  </w:pPr>
                  <w:r>
                    <w:rPr>
                      <w:rFonts w:hint="eastAsia" w:cs="Times New Roman"/>
                      <w:i/>
                      <w:iCs/>
                      <w:kern w:val="0"/>
                      <w:sz w:val="21"/>
                      <w:szCs w:val="21"/>
                      <w:u w:val="single"/>
                    </w:rPr>
                    <w:t>8.24</w:t>
                  </w:r>
                </w:p>
              </w:tc>
              <w:tc>
                <w:tcPr>
                  <w:tcW w:w="513" w:type="pct"/>
                  <w:vAlign w:val="center"/>
                </w:tcPr>
                <w:p w14:paraId="6185CE17">
                  <w:pPr>
                    <w:jc w:val="center"/>
                    <w:rPr>
                      <w:rFonts w:cs="Times New Roman"/>
                      <w:i/>
                      <w:iCs/>
                      <w:kern w:val="0"/>
                      <w:sz w:val="21"/>
                      <w:szCs w:val="21"/>
                      <w:u w:val="single"/>
                    </w:rPr>
                  </w:pPr>
                  <w:r>
                    <w:rPr>
                      <w:rFonts w:hint="eastAsia" w:cs="Times New Roman"/>
                      <w:i/>
                      <w:iCs/>
                      <w:kern w:val="0"/>
                      <w:sz w:val="21"/>
                      <w:szCs w:val="21"/>
                      <w:u w:val="single"/>
                    </w:rPr>
                    <w:t>10.65</w:t>
                  </w:r>
                </w:p>
              </w:tc>
              <w:tc>
                <w:tcPr>
                  <w:tcW w:w="467" w:type="pct"/>
                  <w:vAlign w:val="center"/>
                </w:tcPr>
                <w:p w14:paraId="65403393">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6B078BD4">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1B8C46C5">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6F83A5B1">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287864FF">
                  <w:pPr>
                    <w:jc w:val="center"/>
                    <w:rPr>
                      <w:rFonts w:cs="Times New Roman"/>
                      <w:i/>
                      <w:iCs/>
                      <w:kern w:val="0"/>
                      <w:sz w:val="21"/>
                      <w:szCs w:val="21"/>
                      <w:u w:val="single"/>
                    </w:rPr>
                  </w:pPr>
                  <w:r>
                    <w:rPr>
                      <w:rFonts w:hint="eastAsia" w:cs="Times New Roman"/>
                      <w:i/>
                      <w:iCs/>
                      <w:kern w:val="0"/>
                      <w:sz w:val="21"/>
                      <w:szCs w:val="21"/>
                      <w:u w:val="single"/>
                    </w:rPr>
                    <w:t>2.40</w:t>
                  </w:r>
                </w:p>
              </w:tc>
              <w:tc>
                <w:tcPr>
                  <w:tcW w:w="440" w:type="pct"/>
                  <w:vMerge w:val="restart"/>
                  <w:vAlign w:val="center"/>
                </w:tcPr>
                <w:p w14:paraId="2DC7617B">
                  <w:pPr>
                    <w:jc w:val="center"/>
                    <w:rPr>
                      <w:rFonts w:cs="Times New Roman"/>
                      <w:i/>
                      <w:iCs/>
                      <w:kern w:val="0"/>
                      <w:sz w:val="21"/>
                      <w:szCs w:val="21"/>
                      <w:u w:val="single"/>
                    </w:rPr>
                  </w:pPr>
                  <w:r>
                    <w:rPr>
                      <w:rFonts w:hint="eastAsia" w:cs="Times New Roman"/>
                      <w:i/>
                      <w:iCs/>
                      <w:kern w:val="0"/>
                      <w:sz w:val="21"/>
                      <w:szCs w:val="21"/>
                      <w:u w:val="single"/>
                    </w:rPr>
                    <w:t>综合利用</w:t>
                  </w:r>
                </w:p>
              </w:tc>
            </w:tr>
            <w:tr w14:paraId="72871F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Merge w:val="continue"/>
                  <w:vAlign w:val="center"/>
                </w:tcPr>
                <w:p w14:paraId="1A95F70A">
                  <w:pPr>
                    <w:jc w:val="center"/>
                    <w:rPr>
                      <w:rFonts w:cs="Times New Roman"/>
                      <w:i/>
                      <w:iCs/>
                      <w:kern w:val="0"/>
                      <w:sz w:val="21"/>
                      <w:szCs w:val="21"/>
                      <w:u w:val="single"/>
                    </w:rPr>
                  </w:pPr>
                </w:p>
              </w:tc>
              <w:tc>
                <w:tcPr>
                  <w:tcW w:w="499" w:type="pct"/>
                  <w:vAlign w:val="center"/>
                </w:tcPr>
                <w:p w14:paraId="0632F9E0">
                  <w:pPr>
                    <w:jc w:val="center"/>
                    <w:rPr>
                      <w:rFonts w:cs="Times New Roman"/>
                      <w:i/>
                      <w:iCs/>
                      <w:kern w:val="0"/>
                      <w:sz w:val="21"/>
                      <w:szCs w:val="21"/>
                      <w:u w:val="single"/>
                    </w:rPr>
                  </w:pPr>
                  <w:r>
                    <w:rPr>
                      <w:rFonts w:hint="eastAsia" w:cs="Times New Roman"/>
                      <w:i/>
                      <w:iCs/>
                      <w:kern w:val="0"/>
                      <w:sz w:val="21"/>
                      <w:szCs w:val="21"/>
                      <w:u w:val="single"/>
                    </w:rPr>
                    <w:t>土方</w:t>
                  </w:r>
                </w:p>
              </w:tc>
              <w:tc>
                <w:tcPr>
                  <w:tcW w:w="498" w:type="pct"/>
                  <w:vAlign w:val="center"/>
                </w:tcPr>
                <w:p w14:paraId="6CA8C58A">
                  <w:pPr>
                    <w:jc w:val="center"/>
                    <w:rPr>
                      <w:rFonts w:cs="Times New Roman"/>
                      <w:i/>
                      <w:iCs/>
                      <w:kern w:val="0"/>
                      <w:sz w:val="21"/>
                      <w:szCs w:val="21"/>
                      <w:u w:val="single"/>
                    </w:rPr>
                  </w:pPr>
                  <w:r>
                    <w:rPr>
                      <w:rFonts w:hint="eastAsia" w:cs="Times New Roman"/>
                      <w:i/>
                      <w:iCs/>
                      <w:kern w:val="0"/>
                      <w:sz w:val="21"/>
                      <w:szCs w:val="21"/>
                      <w:u w:val="single"/>
                    </w:rPr>
                    <w:t>/</w:t>
                  </w:r>
                </w:p>
              </w:tc>
              <w:tc>
                <w:tcPr>
                  <w:tcW w:w="513" w:type="pct"/>
                  <w:vAlign w:val="center"/>
                </w:tcPr>
                <w:p w14:paraId="21AF1DB2">
                  <w:pPr>
                    <w:jc w:val="center"/>
                    <w:rPr>
                      <w:rFonts w:cs="Times New Roman"/>
                      <w:i/>
                      <w:iCs/>
                      <w:kern w:val="0"/>
                      <w:sz w:val="21"/>
                      <w:szCs w:val="21"/>
                      <w:u w:val="single"/>
                    </w:rPr>
                  </w:pPr>
                  <w:r>
                    <w:rPr>
                      <w:rFonts w:hint="eastAsia" w:cs="Times New Roman"/>
                      <w:i/>
                      <w:iCs/>
                      <w:kern w:val="0"/>
                      <w:sz w:val="21"/>
                      <w:szCs w:val="21"/>
                      <w:u w:val="single"/>
                    </w:rPr>
                    <w:t>0.09</w:t>
                  </w:r>
                </w:p>
              </w:tc>
              <w:tc>
                <w:tcPr>
                  <w:tcW w:w="467" w:type="pct"/>
                  <w:vAlign w:val="center"/>
                </w:tcPr>
                <w:p w14:paraId="5612F221">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2FDFCC3B">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37AAD105">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2F2181A3">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3377155E">
                  <w:pPr>
                    <w:jc w:val="center"/>
                    <w:rPr>
                      <w:rFonts w:cs="Times New Roman"/>
                      <w:i/>
                      <w:iCs/>
                      <w:kern w:val="0"/>
                      <w:sz w:val="21"/>
                      <w:szCs w:val="21"/>
                      <w:u w:val="single"/>
                    </w:rPr>
                  </w:pPr>
                  <w:r>
                    <w:rPr>
                      <w:rFonts w:hint="eastAsia" w:cs="Times New Roman"/>
                      <w:i/>
                      <w:iCs/>
                      <w:kern w:val="0"/>
                      <w:sz w:val="21"/>
                      <w:szCs w:val="21"/>
                      <w:u w:val="single"/>
                    </w:rPr>
                    <w:t>0.09</w:t>
                  </w:r>
                </w:p>
              </w:tc>
              <w:tc>
                <w:tcPr>
                  <w:tcW w:w="440" w:type="pct"/>
                  <w:vMerge w:val="continue"/>
                  <w:vAlign w:val="center"/>
                </w:tcPr>
                <w:p w14:paraId="7A7B981A">
                  <w:pPr>
                    <w:jc w:val="center"/>
                    <w:rPr>
                      <w:rFonts w:cs="Times New Roman"/>
                      <w:i/>
                      <w:iCs/>
                      <w:kern w:val="0"/>
                      <w:sz w:val="21"/>
                      <w:szCs w:val="21"/>
                      <w:u w:val="single"/>
                    </w:rPr>
                  </w:pPr>
                </w:p>
              </w:tc>
            </w:tr>
            <w:tr w14:paraId="29E0B0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Merge w:val="continue"/>
                  <w:vAlign w:val="center"/>
                </w:tcPr>
                <w:p w14:paraId="44C87835">
                  <w:pPr>
                    <w:jc w:val="center"/>
                    <w:rPr>
                      <w:rFonts w:cs="Times New Roman"/>
                      <w:i/>
                      <w:iCs/>
                      <w:kern w:val="0"/>
                      <w:sz w:val="21"/>
                      <w:szCs w:val="21"/>
                      <w:u w:val="single"/>
                    </w:rPr>
                  </w:pPr>
                </w:p>
              </w:tc>
              <w:tc>
                <w:tcPr>
                  <w:tcW w:w="499" w:type="pct"/>
                  <w:vAlign w:val="center"/>
                </w:tcPr>
                <w:p w14:paraId="59B85BC0">
                  <w:pPr>
                    <w:jc w:val="center"/>
                    <w:rPr>
                      <w:rFonts w:cs="Times New Roman"/>
                      <w:i/>
                      <w:iCs/>
                      <w:kern w:val="0"/>
                      <w:sz w:val="21"/>
                      <w:szCs w:val="21"/>
                      <w:u w:val="single"/>
                    </w:rPr>
                  </w:pPr>
                  <w:r>
                    <w:rPr>
                      <w:rFonts w:hint="eastAsia" w:cs="Times New Roman"/>
                      <w:i/>
                      <w:iCs/>
                      <w:kern w:val="0"/>
                      <w:sz w:val="21"/>
                      <w:szCs w:val="21"/>
                      <w:u w:val="single"/>
                    </w:rPr>
                    <w:t>表土</w:t>
                  </w:r>
                </w:p>
              </w:tc>
              <w:tc>
                <w:tcPr>
                  <w:tcW w:w="498" w:type="pct"/>
                  <w:vAlign w:val="center"/>
                </w:tcPr>
                <w:p w14:paraId="10A4AE11">
                  <w:pPr>
                    <w:jc w:val="center"/>
                    <w:rPr>
                      <w:rFonts w:cs="Times New Roman"/>
                      <w:i/>
                      <w:iCs/>
                      <w:kern w:val="0"/>
                      <w:sz w:val="21"/>
                      <w:szCs w:val="21"/>
                      <w:u w:val="single"/>
                    </w:rPr>
                  </w:pPr>
                  <w:r>
                    <w:rPr>
                      <w:rFonts w:hint="eastAsia" w:cs="Times New Roman"/>
                      <w:i/>
                      <w:iCs/>
                      <w:kern w:val="0"/>
                      <w:sz w:val="21"/>
                      <w:szCs w:val="21"/>
                      <w:u w:val="single"/>
                    </w:rPr>
                    <w:t>0.00</w:t>
                  </w:r>
                </w:p>
              </w:tc>
              <w:tc>
                <w:tcPr>
                  <w:tcW w:w="513" w:type="pct"/>
                  <w:vAlign w:val="center"/>
                </w:tcPr>
                <w:p w14:paraId="18B6896F">
                  <w:pPr>
                    <w:jc w:val="center"/>
                    <w:rPr>
                      <w:rFonts w:cs="Times New Roman"/>
                      <w:i/>
                      <w:iCs/>
                      <w:kern w:val="0"/>
                      <w:sz w:val="21"/>
                      <w:szCs w:val="21"/>
                      <w:u w:val="single"/>
                    </w:rPr>
                  </w:pPr>
                  <w:r>
                    <w:rPr>
                      <w:rFonts w:hint="eastAsia" w:cs="Times New Roman"/>
                      <w:i/>
                      <w:iCs/>
                      <w:kern w:val="0"/>
                      <w:sz w:val="21"/>
                      <w:szCs w:val="21"/>
                      <w:u w:val="single"/>
                    </w:rPr>
                    <w:t>0.00</w:t>
                  </w:r>
                </w:p>
              </w:tc>
              <w:tc>
                <w:tcPr>
                  <w:tcW w:w="467" w:type="pct"/>
                  <w:vAlign w:val="center"/>
                </w:tcPr>
                <w:p w14:paraId="2DC33733">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35296B22">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10FFB565">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3CDEA674">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44A483E9">
                  <w:pPr>
                    <w:jc w:val="center"/>
                    <w:rPr>
                      <w:rFonts w:cs="Times New Roman"/>
                      <w:i/>
                      <w:iCs/>
                      <w:kern w:val="0"/>
                      <w:sz w:val="21"/>
                      <w:szCs w:val="21"/>
                      <w:u w:val="single"/>
                    </w:rPr>
                  </w:pPr>
                  <w:r>
                    <w:rPr>
                      <w:rFonts w:hint="eastAsia" w:cs="Times New Roman"/>
                      <w:i/>
                      <w:iCs/>
                      <w:kern w:val="0"/>
                      <w:sz w:val="21"/>
                      <w:szCs w:val="21"/>
                      <w:u w:val="single"/>
                    </w:rPr>
                    <w:t>/</w:t>
                  </w:r>
                </w:p>
              </w:tc>
              <w:tc>
                <w:tcPr>
                  <w:tcW w:w="440" w:type="pct"/>
                  <w:vAlign w:val="center"/>
                </w:tcPr>
                <w:p w14:paraId="76655E54">
                  <w:pPr>
                    <w:jc w:val="center"/>
                    <w:rPr>
                      <w:rFonts w:cs="Times New Roman"/>
                      <w:i/>
                      <w:iCs/>
                      <w:kern w:val="0"/>
                      <w:sz w:val="21"/>
                      <w:szCs w:val="21"/>
                      <w:u w:val="single"/>
                    </w:rPr>
                  </w:pPr>
                  <w:r>
                    <w:rPr>
                      <w:rFonts w:hint="eastAsia" w:cs="Times New Roman"/>
                      <w:i/>
                      <w:iCs/>
                      <w:kern w:val="0"/>
                      <w:sz w:val="21"/>
                      <w:szCs w:val="21"/>
                      <w:u w:val="single"/>
                    </w:rPr>
                    <w:t>/</w:t>
                  </w:r>
                </w:p>
              </w:tc>
            </w:tr>
            <w:tr w14:paraId="097F00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35" w:type="pct"/>
                  <w:vMerge w:val="continue"/>
                  <w:vAlign w:val="center"/>
                </w:tcPr>
                <w:p w14:paraId="2BEBA514">
                  <w:pPr>
                    <w:jc w:val="center"/>
                    <w:rPr>
                      <w:rFonts w:cs="Times New Roman"/>
                      <w:i/>
                      <w:iCs/>
                      <w:kern w:val="0"/>
                      <w:sz w:val="21"/>
                      <w:szCs w:val="21"/>
                      <w:u w:val="single"/>
                    </w:rPr>
                  </w:pPr>
                </w:p>
              </w:tc>
              <w:tc>
                <w:tcPr>
                  <w:tcW w:w="499" w:type="pct"/>
                  <w:vAlign w:val="center"/>
                </w:tcPr>
                <w:p w14:paraId="0A28CCBB">
                  <w:pPr>
                    <w:jc w:val="center"/>
                    <w:rPr>
                      <w:rFonts w:cs="Times New Roman"/>
                      <w:i/>
                      <w:iCs/>
                      <w:kern w:val="0"/>
                      <w:sz w:val="21"/>
                      <w:szCs w:val="21"/>
                      <w:u w:val="single"/>
                    </w:rPr>
                  </w:pPr>
                  <w:r>
                    <w:rPr>
                      <w:rFonts w:hint="eastAsia" w:cs="Times New Roman"/>
                      <w:i/>
                      <w:iCs/>
                      <w:kern w:val="0"/>
                      <w:sz w:val="21"/>
                      <w:szCs w:val="21"/>
                      <w:u w:val="single"/>
                    </w:rPr>
                    <w:t>小计</w:t>
                  </w:r>
                </w:p>
              </w:tc>
              <w:tc>
                <w:tcPr>
                  <w:tcW w:w="498" w:type="pct"/>
                  <w:vAlign w:val="center"/>
                </w:tcPr>
                <w:p w14:paraId="5A42DAF4">
                  <w:pPr>
                    <w:jc w:val="center"/>
                    <w:rPr>
                      <w:rFonts w:cs="Times New Roman"/>
                      <w:i/>
                      <w:iCs/>
                      <w:kern w:val="0"/>
                      <w:sz w:val="21"/>
                      <w:szCs w:val="21"/>
                      <w:u w:val="single"/>
                    </w:rPr>
                  </w:pPr>
                  <w:r>
                    <w:rPr>
                      <w:rFonts w:hint="eastAsia" w:cs="Times New Roman"/>
                      <w:i/>
                      <w:iCs/>
                      <w:kern w:val="0"/>
                      <w:sz w:val="21"/>
                      <w:szCs w:val="21"/>
                      <w:u w:val="single"/>
                    </w:rPr>
                    <w:t>8.24</w:t>
                  </w:r>
                </w:p>
              </w:tc>
              <w:tc>
                <w:tcPr>
                  <w:tcW w:w="513" w:type="pct"/>
                  <w:vAlign w:val="center"/>
                </w:tcPr>
                <w:p w14:paraId="51D6A53F">
                  <w:pPr>
                    <w:jc w:val="center"/>
                    <w:rPr>
                      <w:rFonts w:cs="Times New Roman"/>
                      <w:i/>
                      <w:iCs/>
                      <w:kern w:val="0"/>
                      <w:sz w:val="21"/>
                      <w:szCs w:val="21"/>
                      <w:u w:val="single"/>
                    </w:rPr>
                  </w:pPr>
                  <w:r>
                    <w:rPr>
                      <w:rFonts w:hint="eastAsia" w:cs="Times New Roman"/>
                      <w:i/>
                      <w:iCs/>
                      <w:kern w:val="0"/>
                      <w:sz w:val="21"/>
                      <w:szCs w:val="21"/>
                      <w:u w:val="single"/>
                    </w:rPr>
                    <w:t>10.74</w:t>
                  </w:r>
                </w:p>
              </w:tc>
              <w:tc>
                <w:tcPr>
                  <w:tcW w:w="467" w:type="pct"/>
                  <w:vAlign w:val="center"/>
                </w:tcPr>
                <w:p w14:paraId="328E3D3A">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15CF9DA9">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58E009BA">
                  <w:pPr>
                    <w:jc w:val="center"/>
                    <w:rPr>
                      <w:rFonts w:cs="Times New Roman"/>
                      <w:i/>
                      <w:iCs/>
                      <w:kern w:val="0"/>
                      <w:sz w:val="21"/>
                      <w:szCs w:val="21"/>
                      <w:u w:val="single"/>
                    </w:rPr>
                  </w:pPr>
                  <w:r>
                    <w:rPr>
                      <w:rFonts w:hint="eastAsia" w:cs="Times New Roman"/>
                      <w:i/>
                      <w:iCs/>
                      <w:kern w:val="0"/>
                      <w:sz w:val="21"/>
                      <w:szCs w:val="21"/>
                      <w:u w:val="single"/>
                    </w:rPr>
                    <w:t>/</w:t>
                  </w:r>
                </w:p>
              </w:tc>
              <w:tc>
                <w:tcPr>
                  <w:tcW w:w="445" w:type="pct"/>
                  <w:vAlign w:val="center"/>
                </w:tcPr>
                <w:p w14:paraId="25E1FA4A">
                  <w:pPr>
                    <w:jc w:val="center"/>
                    <w:rPr>
                      <w:rFonts w:cs="Times New Roman"/>
                      <w:i/>
                      <w:iCs/>
                      <w:kern w:val="0"/>
                      <w:sz w:val="21"/>
                      <w:szCs w:val="21"/>
                      <w:u w:val="single"/>
                    </w:rPr>
                  </w:pPr>
                  <w:r>
                    <w:rPr>
                      <w:rFonts w:hint="eastAsia" w:cs="Times New Roman"/>
                      <w:i/>
                      <w:iCs/>
                      <w:kern w:val="0"/>
                      <w:sz w:val="21"/>
                      <w:szCs w:val="21"/>
                      <w:u w:val="single"/>
                    </w:rPr>
                    <w:t>/</w:t>
                  </w:r>
                </w:p>
              </w:tc>
              <w:tc>
                <w:tcPr>
                  <w:tcW w:w="529" w:type="pct"/>
                  <w:vAlign w:val="center"/>
                </w:tcPr>
                <w:p w14:paraId="694BBAED">
                  <w:pPr>
                    <w:jc w:val="center"/>
                    <w:rPr>
                      <w:rFonts w:cs="Times New Roman"/>
                      <w:i/>
                      <w:iCs/>
                      <w:kern w:val="0"/>
                      <w:sz w:val="21"/>
                      <w:szCs w:val="21"/>
                      <w:u w:val="single"/>
                    </w:rPr>
                  </w:pPr>
                  <w:r>
                    <w:rPr>
                      <w:rFonts w:hint="eastAsia" w:cs="Times New Roman"/>
                      <w:i/>
                      <w:iCs/>
                      <w:kern w:val="0"/>
                      <w:sz w:val="21"/>
                      <w:szCs w:val="21"/>
                      <w:u w:val="single"/>
                    </w:rPr>
                    <w:t>2.49</w:t>
                  </w:r>
                </w:p>
              </w:tc>
              <w:tc>
                <w:tcPr>
                  <w:tcW w:w="440" w:type="pct"/>
                  <w:vAlign w:val="center"/>
                </w:tcPr>
                <w:p w14:paraId="194F1255">
                  <w:pPr>
                    <w:jc w:val="center"/>
                    <w:rPr>
                      <w:rFonts w:cs="Times New Roman"/>
                      <w:i/>
                      <w:iCs/>
                      <w:kern w:val="0"/>
                      <w:sz w:val="21"/>
                      <w:szCs w:val="21"/>
                      <w:u w:val="single"/>
                    </w:rPr>
                  </w:pPr>
                  <w:r>
                    <w:rPr>
                      <w:rFonts w:hint="eastAsia" w:cs="Times New Roman"/>
                      <w:i/>
                      <w:iCs/>
                      <w:kern w:val="0"/>
                      <w:sz w:val="21"/>
                      <w:szCs w:val="21"/>
                      <w:u w:val="single"/>
                    </w:rPr>
                    <w:t>综合利用</w:t>
                  </w:r>
                </w:p>
              </w:tc>
            </w:tr>
          </w:tbl>
          <w:p w14:paraId="05C872BC">
            <w:pPr>
              <w:spacing w:line="360" w:lineRule="auto"/>
              <w:ind w:firstLine="482" w:firstLineChars="200"/>
              <w:rPr>
                <w:b/>
                <w:bCs/>
                <w:u w:val="single"/>
              </w:rPr>
            </w:pPr>
          </w:p>
          <w:p w14:paraId="678B6771">
            <w:pPr>
              <w:spacing w:line="360" w:lineRule="auto"/>
              <w:ind w:firstLine="480" w:firstLineChars="200"/>
            </w:pPr>
          </w:p>
        </w:tc>
      </w:tr>
      <w:tr w14:paraId="0158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74545F49">
            <w:pPr>
              <w:jc w:val="center"/>
            </w:pPr>
            <w:r>
              <w:rPr>
                <w:rFonts w:hint="eastAsia"/>
              </w:rPr>
              <w:t>其他</w:t>
            </w:r>
          </w:p>
        </w:tc>
        <w:tc>
          <w:tcPr>
            <w:tcW w:w="7840" w:type="dxa"/>
            <w:vAlign w:val="center"/>
          </w:tcPr>
          <w:p w14:paraId="6CCF385B">
            <w:pPr>
              <w:spacing w:line="360" w:lineRule="auto"/>
              <w:ind w:firstLine="480" w:firstLineChars="200"/>
            </w:pPr>
          </w:p>
          <w:p w14:paraId="7626014B">
            <w:pPr>
              <w:spacing w:line="360" w:lineRule="auto"/>
              <w:ind w:firstLine="480" w:firstLineChars="200"/>
            </w:pPr>
          </w:p>
          <w:p w14:paraId="1E5A166B">
            <w:pPr>
              <w:spacing w:line="360" w:lineRule="auto"/>
              <w:ind w:firstLine="480" w:firstLineChars="200"/>
            </w:pPr>
          </w:p>
          <w:p w14:paraId="2E68164C">
            <w:pPr>
              <w:spacing w:line="360" w:lineRule="auto"/>
              <w:ind w:firstLine="480" w:firstLineChars="200"/>
            </w:pPr>
          </w:p>
          <w:p w14:paraId="3D64A2C9">
            <w:pPr>
              <w:spacing w:line="360" w:lineRule="auto"/>
              <w:ind w:firstLine="480" w:firstLineChars="200"/>
            </w:pPr>
          </w:p>
          <w:p w14:paraId="39A9E2E9">
            <w:pPr>
              <w:spacing w:line="360" w:lineRule="auto"/>
              <w:ind w:firstLine="480" w:firstLineChars="200"/>
            </w:pPr>
          </w:p>
          <w:p w14:paraId="638EA40D">
            <w:pPr>
              <w:spacing w:line="360" w:lineRule="auto"/>
              <w:ind w:firstLine="480" w:firstLineChars="200"/>
            </w:pPr>
          </w:p>
          <w:p w14:paraId="7C69719B">
            <w:pPr>
              <w:spacing w:line="360" w:lineRule="auto"/>
              <w:ind w:firstLine="480" w:firstLineChars="200"/>
            </w:pPr>
          </w:p>
          <w:p w14:paraId="181E4C67">
            <w:pPr>
              <w:spacing w:line="360" w:lineRule="auto"/>
              <w:ind w:firstLine="480" w:firstLineChars="200"/>
            </w:pPr>
          </w:p>
          <w:p w14:paraId="231CCB95">
            <w:pPr>
              <w:spacing w:line="360" w:lineRule="auto"/>
              <w:ind w:firstLine="480" w:firstLineChars="200"/>
            </w:pPr>
            <w:r>
              <w:rPr>
                <w:rFonts w:hint="eastAsia"/>
              </w:rPr>
              <w:t>无</w:t>
            </w:r>
          </w:p>
          <w:p w14:paraId="73C949D0">
            <w:pPr>
              <w:spacing w:line="360" w:lineRule="auto"/>
              <w:ind w:firstLine="480" w:firstLineChars="200"/>
            </w:pPr>
          </w:p>
          <w:p w14:paraId="01005E21">
            <w:pPr>
              <w:spacing w:line="360" w:lineRule="auto"/>
              <w:ind w:firstLine="480" w:firstLineChars="200"/>
            </w:pPr>
          </w:p>
          <w:p w14:paraId="2B25607B">
            <w:pPr>
              <w:spacing w:line="360" w:lineRule="auto"/>
              <w:ind w:firstLine="480" w:firstLineChars="200"/>
            </w:pPr>
          </w:p>
          <w:p w14:paraId="2FB48D64">
            <w:pPr>
              <w:spacing w:line="360" w:lineRule="auto"/>
              <w:ind w:firstLine="480" w:firstLineChars="200"/>
            </w:pPr>
          </w:p>
          <w:p w14:paraId="087C858F">
            <w:pPr>
              <w:spacing w:line="360" w:lineRule="auto"/>
              <w:ind w:firstLine="480" w:firstLineChars="200"/>
            </w:pPr>
          </w:p>
          <w:p w14:paraId="58702783">
            <w:pPr>
              <w:spacing w:line="360" w:lineRule="auto"/>
              <w:ind w:firstLine="480" w:firstLineChars="200"/>
            </w:pPr>
          </w:p>
          <w:p w14:paraId="20B1BCDB">
            <w:pPr>
              <w:spacing w:line="360" w:lineRule="auto"/>
              <w:ind w:firstLine="480" w:firstLineChars="200"/>
            </w:pPr>
          </w:p>
          <w:p w14:paraId="661AFC01">
            <w:pPr>
              <w:spacing w:line="360" w:lineRule="auto"/>
              <w:ind w:firstLine="480" w:firstLineChars="200"/>
            </w:pPr>
          </w:p>
          <w:p w14:paraId="3CF52597">
            <w:pPr>
              <w:spacing w:line="360" w:lineRule="auto"/>
              <w:ind w:firstLine="480" w:firstLineChars="200"/>
            </w:pPr>
          </w:p>
          <w:p w14:paraId="2CAE796E">
            <w:pPr>
              <w:spacing w:line="360" w:lineRule="auto"/>
              <w:ind w:firstLine="480" w:firstLineChars="200"/>
            </w:pPr>
          </w:p>
          <w:p w14:paraId="63D87046">
            <w:pPr>
              <w:spacing w:line="360" w:lineRule="auto"/>
              <w:ind w:firstLine="480" w:firstLineChars="200"/>
            </w:pPr>
          </w:p>
        </w:tc>
      </w:tr>
    </w:tbl>
    <w:p w14:paraId="33EED0BA">
      <w:pPr>
        <w:spacing w:line="360" w:lineRule="auto"/>
        <w:ind w:firstLine="480" w:firstLineChars="200"/>
      </w:pPr>
    </w:p>
    <w:p w14:paraId="507BDD83">
      <w:pPr>
        <w:pStyle w:val="2"/>
        <w:jc w:val="center"/>
        <w:rPr>
          <w:rFonts w:hint="eastAsia" w:ascii="黑体" w:hAnsi="黑体" w:eastAsia="黑体"/>
        </w:rPr>
      </w:pPr>
      <w:r>
        <w:rPr>
          <w:rFonts w:hint="eastAsia" w:ascii="黑体" w:hAnsi="黑体" w:eastAsia="黑体"/>
        </w:rPr>
        <w:t>三、生态环境现状、保护目标及评价标准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8101"/>
      </w:tblGrid>
      <w:tr w14:paraId="5B3B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dxa"/>
            <w:vAlign w:val="center"/>
          </w:tcPr>
          <w:p w14:paraId="3AEDC4F4">
            <w:pPr>
              <w:jc w:val="center"/>
            </w:pPr>
            <w:r>
              <w:rPr>
                <w:rFonts w:hint="eastAsia"/>
              </w:rPr>
              <w:t>生态环境现状</w:t>
            </w:r>
          </w:p>
        </w:tc>
        <w:tc>
          <w:tcPr>
            <w:tcW w:w="7893" w:type="dxa"/>
            <w:vAlign w:val="center"/>
          </w:tcPr>
          <w:p w14:paraId="4EA9A0BA">
            <w:pPr>
              <w:spacing w:line="360" w:lineRule="auto"/>
              <w:jc w:val="left"/>
            </w:pPr>
            <w:r>
              <w:rPr>
                <w:rFonts w:hint="eastAsia"/>
              </w:rPr>
              <w:t>一、生态环境</w:t>
            </w:r>
          </w:p>
          <w:p w14:paraId="5C87E279">
            <w:pPr>
              <w:spacing w:line="360" w:lineRule="auto"/>
              <w:ind w:firstLine="480" w:firstLineChars="200"/>
              <w:jc w:val="left"/>
            </w:pPr>
            <w:r>
              <w:rPr>
                <w:rFonts w:hint="eastAsia"/>
              </w:rPr>
              <w:t>1、主体功能区划</w:t>
            </w:r>
          </w:p>
          <w:p w14:paraId="6408332B">
            <w:pPr>
              <w:spacing w:line="360" w:lineRule="auto"/>
              <w:ind w:firstLine="480" w:firstLineChars="200"/>
              <w:jc w:val="left"/>
              <w:rPr>
                <w:rFonts w:cs="Times New Roman"/>
                <w:szCs w:val="24"/>
              </w:rPr>
            </w:pPr>
            <w:r>
              <w:rPr>
                <w:rFonts w:cs="Times New Roman"/>
                <w:szCs w:val="24"/>
              </w:rPr>
              <w:t>根据《吉林省主体功能区划》中的相关内容，本项目所在区域</w:t>
            </w:r>
            <w:r>
              <w:rPr>
                <w:rFonts w:hint="eastAsia" w:cs="Times New Roman"/>
                <w:szCs w:val="24"/>
              </w:rPr>
              <w:t>为中点生态功能区，该区的功能定位为：保障全省乃至全国生态安全的重要区域，人与自然和谐相处的区域。我省重点生态功能区分为水源涵养型（指长白山森林生态功能区）和防风固沙型（指科尔沁草原生态功能区）两种类型。</w:t>
            </w:r>
          </w:p>
          <w:p w14:paraId="299FD216">
            <w:pPr>
              <w:spacing w:line="360" w:lineRule="auto"/>
              <w:ind w:firstLine="480" w:firstLineChars="200"/>
              <w:jc w:val="left"/>
              <w:rPr>
                <w:rFonts w:cs="Times New Roman"/>
                <w:szCs w:val="24"/>
              </w:rPr>
            </w:pPr>
            <w:r>
              <w:rPr>
                <w:rFonts w:hint="eastAsia" w:cs="Times New Roman"/>
                <w:szCs w:val="24"/>
              </w:rPr>
              <w:t>本工程占地为滩地，不涉及占用林地等具有水源涵养意义的土地类型，不涉及森林资源采伐等破坏地表植被的行为，本工程建成后不会对区域水源涵养功能产生影响，因此本工程的建设不违背所在主体功能区的发展方向和开发管制原则。</w:t>
            </w:r>
          </w:p>
          <w:p w14:paraId="734B6B2F">
            <w:pPr>
              <w:spacing w:line="360" w:lineRule="auto"/>
              <w:ind w:firstLine="480" w:firstLineChars="200"/>
              <w:jc w:val="left"/>
            </w:pPr>
            <w:r>
              <w:rPr>
                <w:rFonts w:hint="eastAsia"/>
              </w:rPr>
              <w:t>2、生态功能区划</w:t>
            </w:r>
          </w:p>
          <w:p w14:paraId="2F5BD812">
            <w:pPr>
              <w:spacing w:line="360" w:lineRule="auto"/>
              <w:ind w:firstLine="480" w:firstLineChars="200"/>
              <w:jc w:val="left"/>
            </w:pPr>
            <w:r>
              <w:rPr>
                <w:rFonts w:hint="eastAsia"/>
              </w:rPr>
              <w:t>根据《吉林省生态功能区划研究》，本次评价区域的生态功能区划归属描述为：一级区划归属为：Ⅲ吉林东部长白山地生态区；二级区划归属为：Ⅲ</w:t>
            </w:r>
            <w:r>
              <w:rPr>
                <w:rFonts w:hint="eastAsia"/>
                <w:vertAlign w:val="subscript"/>
              </w:rPr>
              <w:t>3</w:t>
            </w:r>
            <w:r>
              <w:rPr>
                <w:rFonts w:hint="eastAsia"/>
              </w:rPr>
              <w:t>鸭绿江中低山林特生态亚区；三级区划归属为：Ⅲ</w:t>
            </w:r>
            <w:r>
              <w:rPr>
                <w:rFonts w:hint="eastAsia"/>
                <w:vertAlign w:val="subscript"/>
              </w:rPr>
              <w:t>3-2</w:t>
            </w:r>
            <w:r>
              <w:rPr>
                <w:rFonts w:hint="eastAsia"/>
              </w:rPr>
              <w:t>鸭绿江上中游中低山生物多样性保护与生态旅游生态功能区。</w:t>
            </w:r>
          </w:p>
          <w:p w14:paraId="5A6B1A66">
            <w:pPr>
              <w:spacing w:line="360" w:lineRule="auto"/>
              <w:ind w:firstLine="480" w:firstLineChars="200"/>
              <w:jc w:val="left"/>
            </w:pPr>
            <w:r>
              <w:rPr>
                <w:rFonts w:hint="eastAsia"/>
              </w:rPr>
              <w:t>（1）吉林东部长白山地生态区（Ⅲ）</w:t>
            </w:r>
          </w:p>
          <w:p w14:paraId="59E0A9A6">
            <w:pPr>
              <w:spacing w:line="360" w:lineRule="auto"/>
              <w:ind w:firstLine="480" w:firstLineChars="200"/>
              <w:jc w:val="left"/>
            </w:pPr>
            <w:r>
              <w:rPr>
                <w:rFonts w:hint="eastAsia"/>
              </w:rPr>
              <w:t>吉林东部长白山地生态区的界限大体以北东—南西向斜贯吉林省中部的大黑山西麓为界，此界限以东至吉林省的东界为本区范围。在地质构造上，本区属阴山-天山纬向构造带的东段，新华夏系第二隆起带。本区属温带湿润的针阔混交林暗棕壤气候带、温带针阔混交林分布区，是吉林省生态资源最丰富地区，主要为森林资源和野生动植物资源。全区林地面积为631.67×10</w:t>
            </w:r>
            <w:r>
              <w:rPr>
                <w:rFonts w:hint="eastAsia"/>
                <w:vertAlign w:val="superscript"/>
              </w:rPr>
              <w:t>4</w:t>
            </w:r>
            <w:r>
              <w:rPr>
                <w:rFonts w:hint="eastAsia"/>
              </w:rPr>
              <w:t>hm</w:t>
            </w:r>
            <w:r>
              <w:rPr>
                <w:rFonts w:hint="eastAsia"/>
                <w:vertAlign w:val="superscript"/>
              </w:rPr>
              <w:t>2</w:t>
            </w:r>
            <w:r>
              <w:rPr>
                <w:rFonts w:hint="eastAsia"/>
              </w:rPr>
              <w:t>，占吉林省林地面积的78.47%，野生经济植物188科1700多种。按植物地理区划属长白区系，红松林阔混交林为其地带性植被的顶级群落。在海拔1100~1800m分布的主要为云杉、冷杉林群落；至海拔2100m以上高山苔原成为主要的群落。</w:t>
            </w:r>
          </w:p>
          <w:p w14:paraId="0F5A74BE">
            <w:pPr>
              <w:spacing w:line="360" w:lineRule="auto"/>
              <w:ind w:firstLine="480" w:firstLineChars="200"/>
              <w:jc w:val="left"/>
            </w:pPr>
            <w:r>
              <w:rPr>
                <w:rFonts w:hint="eastAsia"/>
              </w:rPr>
              <w:t>根据生态系统类型、生态系统服务功能、生态环境敏感性与重要性、生态胁迫的相似性与差异性原则，吉林东部长白山地生态区可细分为4个生态亚区和27个生态功能区。</w:t>
            </w:r>
          </w:p>
          <w:p w14:paraId="1C3D4E41">
            <w:pPr>
              <w:spacing w:line="360" w:lineRule="auto"/>
              <w:ind w:firstLine="480" w:firstLineChars="200"/>
              <w:jc w:val="left"/>
            </w:pPr>
            <w:r>
              <w:t>生态功能</w:t>
            </w:r>
            <w:r>
              <w:rPr>
                <w:rFonts w:hint="eastAsia"/>
              </w:rPr>
              <w:t>一</w:t>
            </w:r>
            <w:r>
              <w:t>级区划见附图</w:t>
            </w:r>
            <w:r>
              <w:rPr>
                <w:rFonts w:hint="eastAsia"/>
              </w:rPr>
              <w:t>6。</w:t>
            </w:r>
          </w:p>
          <w:p w14:paraId="76EFD40C">
            <w:pPr>
              <w:spacing w:line="360" w:lineRule="auto"/>
              <w:ind w:firstLine="480" w:firstLineChars="200"/>
              <w:jc w:val="left"/>
            </w:pPr>
            <w:r>
              <w:rPr>
                <w:rFonts w:hint="eastAsia"/>
              </w:rPr>
              <w:t>（2）鸭绿江中低山林特生态亚区（Ⅲ</w:t>
            </w:r>
            <w:r>
              <w:rPr>
                <w:rFonts w:hint="eastAsia"/>
                <w:vertAlign w:val="subscript"/>
              </w:rPr>
              <w:t>3</w:t>
            </w:r>
            <w:r>
              <w:rPr>
                <w:rFonts w:hint="eastAsia"/>
              </w:rPr>
              <w:t>）</w:t>
            </w:r>
          </w:p>
          <w:p w14:paraId="6D3B9A92">
            <w:pPr>
              <w:spacing w:line="360" w:lineRule="auto"/>
              <w:ind w:firstLine="480" w:firstLineChars="200"/>
              <w:jc w:val="left"/>
            </w:pPr>
            <w:r>
              <w:rPr>
                <w:rFonts w:hint="eastAsia"/>
              </w:rPr>
              <w:t>本区位于吉林省东南部的鸭绿江尚、中游，东、南隔鸭绿江与朝鲜民主主义共和国相望，北部为长白山熔岩中低山林业生态亚区和吉中低山丘陵生态亚区。</w:t>
            </w:r>
          </w:p>
          <w:p w14:paraId="4F15DE4D">
            <w:pPr>
              <w:spacing w:line="360" w:lineRule="auto"/>
              <w:ind w:firstLine="480" w:firstLineChars="200"/>
            </w:pPr>
            <w:r>
              <w:rPr>
                <w:rFonts w:hint="eastAsia"/>
              </w:rPr>
              <w:t>本区属温带大陆性季风气候，四季分明，植物生长期短，日照充足。全区年温为3℃~6℃，年平均降水量为600~1000mm。地表植物以森林为主,森林资源十分丰富，是吉林省重点林区。水资源、矿产资源及依附于森林生长的野生动植物资源也十分丰富。目前，已查明的野生经济植物有1200多种，其中野生药用植物800多种，工业原料植物和食用植物各150种，赏植物和饲草植物各100多种。利用经济价值较高、较多的植物有人参、肉从蓉、黄芪、党参、越桔、薇菜、山葡萄、刺笼芽、大叶杜鹃等。依附森林而生存的野生动物有300多种，其中兽类50多种,鸟类200多种,鱼类30多种。本区也是我省重要的生物多样性分布区，国家重点保护物种和经济物种十分丰富，这些重点保护的物种资源支撑了该地区生物资源产业的发展，如人参产业、各类现代中药产业等都在全国占有重要地位。</w:t>
            </w:r>
          </w:p>
          <w:p w14:paraId="71B9D77F">
            <w:pPr>
              <w:spacing w:line="360" w:lineRule="auto"/>
              <w:ind w:firstLine="480" w:firstLineChars="200"/>
            </w:pPr>
            <w:r>
              <w:rPr>
                <w:rFonts w:hint="eastAsia"/>
              </w:rPr>
              <w:t>本区主要的生态环境问题：（1）由于人为对森林资源的过度采伐以及参业和种植业的强度开发，森林生态系统受到破坏，森林资源质量不断下降,森林生态功能明显失调；（2）水土流失严重；（3）浑江局部水体有较重程度的污染。</w:t>
            </w:r>
          </w:p>
          <w:p w14:paraId="32880E34">
            <w:pPr>
              <w:spacing w:line="360" w:lineRule="auto"/>
              <w:ind w:firstLine="480" w:firstLineChars="200"/>
            </w:pPr>
            <w:r>
              <w:rPr>
                <w:rFonts w:hint="eastAsia"/>
              </w:rPr>
              <w:t>本区生态保护目标和发展方向为：（1）重点进行森林生态环境的恢复与重建。大力实施“天然林保护工程”和退耕还林，加强全地区的林业建设和水土保持；通过建立自然保护区、“物种资源库”、中药基地、林特产品生产基地等措施，保护区域生物多样性和野生动植物资源。（2）采取生物与工程措施治理和控制水土流失。（3）加强浑江流域水体污染源的综合治理。</w:t>
            </w:r>
            <w:r>
              <w:t>生态功能</w:t>
            </w:r>
            <w:r>
              <w:rPr>
                <w:rFonts w:hint="eastAsia"/>
              </w:rPr>
              <w:t>二</w:t>
            </w:r>
            <w:r>
              <w:t>级区划见附图</w:t>
            </w:r>
            <w:r>
              <w:rPr>
                <w:rFonts w:hint="eastAsia"/>
              </w:rPr>
              <w:t>7。</w:t>
            </w:r>
          </w:p>
          <w:p w14:paraId="2895B051">
            <w:pPr>
              <w:spacing w:line="360" w:lineRule="auto"/>
              <w:ind w:firstLine="480" w:firstLineChars="200"/>
              <w:jc w:val="left"/>
            </w:pPr>
            <w:r>
              <w:rPr>
                <w:rFonts w:hint="eastAsia"/>
              </w:rPr>
              <w:t>（3）鸭绿江上中游中低山生物多样性保护与生态旅游生态功能区（Ⅲ</w:t>
            </w:r>
            <w:r>
              <w:rPr>
                <w:rFonts w:hint="eastAsia"/>
                <w:vertAlign w:val="subscript"/>
              </w:rPr>
              <w:t>3-2</w:t>
            </w:r>
            <w:r>
              <w:rPr>
                <w:rFonts w:hint="eastAsia"/>
              </w:rPr>
              <w:t>）</w:t>
            </w:r>
          </w:p>
          <w:p w14:paraId="5582C1FF">
            <w:pPr>
              <w:spacing w:line="360" w:lineRule="auto"/>
              <w:ind w:firstLine="480" w:firstLineChars="200"/>
            </w:pPr>
            <w:r>
              <w:rPr>
                <w:rFonts w:hint="eastAsia"/>
              </w:rPr>
              <w:t>本区地貌以中、低山为主，河谷平地与台地只占很少部分。地势大体为北高南低。老岭山脉位于本区的西缘，自老岭发源的多条鸭绿江支流在老岭东侧呈东西流向，在老岭南侧呈南北流向，多条河流将本区地形切割为沟谷与中、低山相间分布的格局。区内最高点为老岭主峰老秃顶（海拔1516m），最低点为凉水乡杨木村（海拔108m），全区山峦起伏，沟壑纵横，山地与河谷面积占全区土地面积的93%。本区气候温凉湿润，老岭南部的集安市素有吉林省的“小江南”之称，气候相对温暖。本区大部分土地为林业用地，仅有少量的土地为宜农地，耕地仅占全区的5%，构成“八山、一水、半分田”的用地格局。本区土壤类型较多，主要土类包括石质土、暗棕壤、棕壤、泥炭土、草甸土、冲积土、沼泽土、白浆土和水稻土。耕地土壤普遍缺钾，瘠薄土壤占耕地总面积的一半以上。区内森林资源极为丰富，是吉林省重点林区，森林覆盖率达81.4%。目前原始森林已很少见，仅在五女峰国家级森林公园有少量分布。主要天然林为次生针叶林、针阔混交林和落叶阔叶林。区内动、植物资源丰富，有许多暖温带和亚热带及第三纪的了遗种，具有经济价值的植物有131科800多种，其中木材16科81种，可食用的植物72科276种，蜜源植物46科226种，药用植物136科906种。其中的人参和葡萄产业已成为本区的支柱产业。野生动物中的兽类有28种，较重要的有黑熊、野猪等;鸟类72种，主要有花尾榛鸡、鸳鸯、白鹅、黑鹳等。两栖类7种，如林蛙等。本区地表水资源相对丰富，河川径流总量为17.65×10m</w:t>
            </w:r>
            <w:r>
              <w:rPr>
                <w:rFonts w:hint="eastAsia"/>
                <w:vertAlign w:val="superscript"/>
              </w:rPr>
              <w:t>2</w:t>
            </w:r>
            <w:r>
              <w:rPr>
                <w:rFonts w:hint="eastAsia"/>
              </w:rPr>
              <w:t>，远远高于全省的平均水平。矿产资源也较丰富，具有优势的矿产有金、硼、铅、石灰石、重晶石、石墨、云母、石棉和大理石等。该区人类社会历史悠久，古迹众多，具有已列人世界文化遗产名录的高句丽古迹“洞沟古墓群”、“丸都山城”，“太王碑”、“东方金字塔”的将军坟等，以及还有五女峰、骆驼峰等自然景观，由此形成的旅游资源十分丰富。本区无论是植物区系还是农作物均有暖温带的特点，故成为吉林省独一无二的生态功能区，也是本区发展具有独特生态经济的优势所在。</w:t>
            </w:r>
          </w:p>
          <w:p w14:paraId="3AF64138">
            <w:pPr>
              <w:spacing w:line="360" w:lineRule="auto"/>
              <w:ind w:firstLine="480" w:firstLineChars="200"/>
              <w:jc w:val="left"/>
            </w:pPr>
            <w:r>
              <w:rPr>
                <w:rFonts w:hint="eastAsia"/>
              </w:rPr>
              <w:t>本区存在的主要生态环境问题：（1）生态系统长期受到参业、种植业的破坏，森林资源质量下降。目前，大部分森林为中、幼龄林，成熟林、过熟林较少，森林生态系统的整体功能效用得不到充分发挥。（2）由于水田灌溉定额高，工业和城市居民用水量增长较快，局部地区地下水开采过大，造成水资源的破坏和浪费。（3）各种工程设施建设和城镇发展建设侵占了大量土地，农业用地逐年减少；耕地多年来处于“种大于养”的养分亏损状况，加之化肥施用量的逐年增加，使耕层土壤结构变差，制约了农业的可持续发展。（4）由于城镇人口的增加和农业面源污染的扩大及工矿企业的废水排放，致使局部地表水受到一定程度的污染，其中极度水污染面积达30.73km</w:t>
            </w:r>
            <w:r>
              <w:rPr>
                <w:rFonts w:hint="eastAsia"/>
                <w:vertAlign w:val="superscript"/>
              </w:rPr>
              <w:t>2</w:t>
            </w:r>
            <w:r>
              <w:rPr>
                <w:rFonts w:hint="eastAsia"/>
              </w:rPr>
              <w:t>。</w:t>
            </w:r>
          </w:p>
          <w:p w14:paraId="0BD16E72">
            <w:pPr>
              <w:spacing w:line="360" w:lineRule="auto"/>
              <w:ind w:firstLine="480" w:firstLineChars="200"/>
              <w:jc w:val="left"/>
            </w:pPr>
            <w:r>
              <w:rPr>
                <w:rFonts w:hint="eastAsia"/>
              </w:rPr>
              <w:t>生态保护目标：森林资源、生物多样性、水土保持、水源涵养。</w:t>
            </w:r>
          </w:p>
          <w:p w14:paraId="7CAD6D11">
            <w:pPr>
              <w:spacing w:line="360" w:lineRule="auto"/>
              <w:ind w:firstLine="480" w:firstLineChars="200"/>
              <w:jc w:val="left"/>
            </w:pPr>
            <w:r>
              <w:t>生态功能三级区划见附图</w:t>
            </w:r>
            <w:r>
              <w:rPr>
                <w:rFonts w:hint="eastAsia"/>
              </w:rPr>
              <w:t>8。</w:t>
            </w:r>
          </w:p>
          <w:p w14:paraId="6CCA6B19">
            <w:pPr>
              <w:spacing w:line="360" w:lineRule="auto"/>
              <w:ind w:firstLine="482" w:firstLineChars="200"/>
              <w:jc w:val="left"/>
              <w:rPr>
                <w:b/>
                <w:bCs/>
                <w:u w:val="single"/>
              </w:rPr>
            </w:pPr>
            <w:r>
              <w:rPr>
                <w:rFonts w:hint="eastAsia"/>
                <w:b/>
                <w:bCs/>
                <w:u w:val="single"/>
              </w:rPr>
              <w:t>3、区域水生生物种质资源保护区情况调查</w:t>
            </w:r>
          </w:p>
          <w:p w14:paraId="1A6C0B30">
            <w:pPr>
              <w:spacing w:line="360" w:lineRule="auto"/>
              <w:ind w:firstLine="482" w:firstLineChars="200"/>
              <w:jc w:val="left"/>
              <w:rPr>
                <w:b/>
                <w:bCs/>
                <w:u w:val="single"/>
              </w:rPr>
            </w:pPr>
            <w:r>
              <w:rPr>
                <w:rFonts w:hint="eastAsia"/>
                <w:b/>
                <w:bCs/>
                <w:u w:val="single"/>
              </w:rPr>
              <w:t>①鸭绿江临江段马口鱼国家级水产种质资源保护区</w:t>
            </w:r>
          </w:p>
          <w:p w14:paraId="33A53C69">
            <w:pPr>
              <w:spacing w:line="360" w:lineRule="auto"/>
              <w:ind w:firstLine="482" w:firstLineChars="200"/>
              <w:rPr>
                <w:b/>
                <w:bCs/>
                <w:u w:val="single"/>
              </w:rPr>
            </w:pPr>
            <w:r>
              <w:rPr>
                <w:rFonts w:hint="eastAsia"/>
                <w:b/>
                <w:bCs/>
                <w:u w:val="single"/>
              </w:rPr>
              <w:t>根据农业农村部发布的《第六批国家级水产种质资源保护区面积范围和功能分区》中的相关内容，明确鸭绿江临江段马口鱼国家级水产种质资源保护区总面积236公顷，其中核心区面积为86公顷，实验区面积为150公顷。特别保护期为每年的4月—7月。保护区位于吉林省东南部临江市六道沟镇西马村、东马村至七道沟村，鸭绿江中上游段，地理位置在东经127°07′39″—127°12′34″，北纬41°32′27″—41°31′25″范围内。其中核心区地理拐点坐标为：东经127°10′19″，北纬41°31′35″（东马鹿泡子五）；向东偏南至东经127°11′29″，北纬41°31′33″（东马鹿泡子四）；再向东北至东经127°11′41″，北纬41°31′54″（东马鹿泡子三）；向东至东经127°12′34″，北纬41°31′50″（东马鹿泡子二）；向南至东经127°12′24″，北纬41°31′25″（东马鹿泡子一）。实验区地理拐点坐标为：东经127°07′39″，北纬41°32′27″（龙岗十）；东经127°07′53″，北纬41°32′27″（龙岗九）；东经127°08′20″，北纬41°32′25″（龙岗八）；东经127°08′04″，北纬41°31′45″（龙岗七）；东经127°08′13″，北纬41°31′35″（龙岗六）；东经127°08′40″，北纬41°31′45″（龙岗五）；东经127°09′17″，北纬41°32′21″（龙岗四）；东经127°09′39″，北纬41°32′26″（龙岗三）；东经127°10′07″，北纬41°32′20″（龙岗二）；东经127°10′19″，北纬41°31′35″（龙岗一）。</w:t>
            </w:r>
          </w:p>
          <w:p w14:paraId="20787759">
            <w:pPr>
              <w:spacing w:line="360" w:lineRule="auto"/>
              <w:ind w:firstLine="482" w:firstLineChars="200"/>
              <w:rPr>
                <w:b/>
                <w:bCs/>
                <w:u w:val="single"/>
              </w:rPr>
            </w:pPr>
            <w:r>
              <w:rPr>
                <w:rFonts w:hint="eastAsia"/>
                <w:b/>
                <w:bCs/>
                <w:u w:val="single"/>
              </w:rPr>
              <w:t>主要保护对象为马口鱼、斑鳜，其他保护对象包括鸭绿江野生的鲤、鲫、草鱼等多种经济水生动物。</w:t>
            </w:r>
          </w:p>
          <w:p w14:paraId="75726C22">
            <w:pPr>
              <w:spacing w:line="360" w:lineRule="auto"/>
              <w:ind w:firstLine="482" w:firstLineChars="200"/>
              <w:rPr>
                <w:b/>
                <w:bCs/>
                <w:u w:val="single"/>
              </w:rPr>
            </w:pPr>
            <w:r>
              <w:rPr>
                <w:rFonts w:hint="eastAsia"/>
                <w:b/>
                <w:bCs/>
                <w:u w:val="single"/>
              </w:rPr>
              <w:t>根据上述拐点坐标，明确该水产种植资源保护区位于鸭绿江本项目上游约81.1km处，直线距离32.2km。</w:t>
            </w:r>
          </w:p>
          <w:p w14:paraId="277BE574">
            <w:pPr>
              <w:spacing w:line="360" w:lineRule="auto"/>
              <w:ind w:firstLine="482" w:firstLineChars="200"/>
              <w:jc w:val="left"/>
              <w:rPr>
                <w:b/>
                <w:bCs/>
                <w:u w:val="single"/>
              </w:rPr>
            </w:pPr>
            <w:r>
              <w:rPr>
                <w:rFonts w:hint="eastAsia"/>
                <w:b/>
                <w:bCs/>
                <w:u w:val="single"/>
              </w:rPr>
              <w:t>②鸭绿江云峰段斑鳜茴鱼国家级水产种质资源保护区</w:t>
            </w:r>
          </w:p>
          <w:p w14:paraId="006578D8">
            <w:pPr>
              <w:spacing w:line="360" w:lineRule="auto"/>
              <w:ind w:firstLine="482" w:firstLineChars="200"/>
              <w:jc w:val="left"/>
              <w:rPr>
                <w:b/>
                <w:bCs/>
                <w:u w:val="single"/>
              </w:rPr>
            </w:pPr>
            <w:r>
              <w:rPr>
                <w:rFonts w:hint="eastAsia"/>
                <w:b/>
                <w:bCs/>
                <w:u w:val="single"/>
              </w:rPr>
              <w:t>根据农业农村部发布的《农业农村部办公厅关于调整鸭绿江云峰段斑鳜茴鱼等10个国家级水产种质资源保护区面积范围和功能分区的批复》中的相关内容，明确鸭绿江云峰段斑鳜茴鱼国家级水产种质资源保护区总面积为250公顷，其中核心区面积为100公顷，实验区面积为150公顷。实验区分为两部分，第一部分为24公顷，第二部分为126公顷。保护区特别保护期为每年的4月1日至7月31日。保护区位于吉林省东南部集安市青石镇秋皮沟，行政区划为通化市，保护区范围为鸭绿江中上游，地理坐标范围在126°26′04″E—126°29′55″E，41°23′25″N—41°25′58″N之间。</w:t>
            </w:r>
          </w:p>
          <w:p w14:paraId="6CC7453A">
            <w:pPr>
              <w:spacing w:line="360" w:lineRule="auto"/>
              <w:ind w:firstLine="482" w:firstLineChars="200"/>
              <w:jc w:val="left"/>
              <w:rPr>
                <w:b/>
                <w:bCs/>
                <w:u w:val="single"/>
              </w:rPr>
            </w:pPr>
            <w:r>
              <w:rPr>
                <w:rFonts w:hint="eastAsia"/>
                <w:b/>
                <w:bCs/>
                <w:u w:val="single"/>
              </w:rPr>
              <w:t>保护区核心区面积为100公顷，分别由11个拐点连线围成，地理坐标分别为：126°26′43″E，41°23′50″N；126°26′37″E，41°23′55″N；126°27′33″E，41°24′23″N；126°27′22″E，41°24′38″N；126°26′17″E，41°24′47″N；126°27′23″E，41°24′41″N；126°27′37″E，41°24′28″N；126°27′57″E，41°24′52″N；126°28′35″E，41°25′03″N；126°28′48″E，41°24′58″N；126°28′32″E，41°24′52″N。</w:t>
            </w:r>
          </w:p>
          <w:p w14:paraId="35C08AED">
            <w:pPr>
              <w:spacing w:line="360" w:lineRule="auto"/>
              <w:ind w:firstLine="482" w:firstLineChars="200"/>
              <w:jc w:val="left"/>
              <w:rPr>
                <w:b/>
                <w:bCs/>
                <w:u w:val="single"/>
              </w:rPr>
            </w:pPr>
            <w:r>
              <w:rPr>
                <w:rFonts w:hint="eastAsia"/>
                <w:b/>
                <w:bCs/>
                <w:u w:val="single"/>
              </w:rPr>
              <w:t>保护区实验区面积为150公顷，由两部分组成，第一部分分别由3个拐点连线围成，面积24公顷，地理坐标分别为：126°26′04″E，41°23′32″N；126°26′37″E，41°23′55″N；126°26′43″E，41°23′50″N。第二部分分别由10个拐点连线围成，面积126公顷，地理坐标分别为：126°28′35″E，41°25′03″N；126°28′43″E，41°25′12″N；126°27′55″E，41°25′25″N；126°28′47″E，41°25′20″N；126°29′29″E，41°25′44″N；126°28′49″E，41°25′57″N；126°29′40″E，41°25′48″N；126°29′48″E，41°25′58″N；126°29′50″E，41°25′36″N；126°28′48″E，41°24′58″N。</w:t>
            </w:r>
          </w:p>
          <w:p w14:paraId="3FD58994">
            <w:pPr>
              <w:spacing w:line="360" w:lineRule="auto"/>
              <w:ind w:firstLine="482" w:firstLineChars="200"/>
              <w:jc w:val="left"/>
              <w:rPr>
                <w:b/>
                <w:bCs/>
                <w:u w:val="single"/>
              </w:rPr>
            </w:pPr>
            <w:r>
              <w:rPr>
                <w:rFonts w:hint="eastAsia"/>
                <w:b/>
                <w:bCs/>
                <w:u w:val="single"/>
              </w:rPr>
              <w:t>主要保护对象为鸭绿江斑鳜、茴鱼。</w:t>
            </w:r>
          </w:p>
          <w:p w14:paraId="622A477E">
            <w:pPr>
              <w:spacing w:line="360" w:lineRule="auto"/>
              <w:ind w:firstLine="482" w:firstLineChars="200"/>
              <w:jc w:val="left"/>
            </w:pPr>
            <w:r>
              <w:rPr>
                <w:rFonts w:hint="eastAsia"/>
                <w:b/>
                <w:bCs/>
                <w:u w:val="single"/>
              </w:rPr>
              <w:t>根据上述拐点坐标，明确该水产种植资源保护区位于鸭绿江本项目下游约78.8km处，直线距离44.4km。</w:t>
            </w:r>
          </w:p>
          <w:p w14:paraId="0D192655">
            <w:pPr>
              <w:spacing w:line="360" w:lineRule="auto"/>
              <w:ind w:firstLine="480" w:firstLineChars="200"/>
              <w:jc w:val="left"/>
            </w:pPr>
            <w:r>
              <w:rPr>
                <w:rFonts w:hint="eastAsia"/>
              </w:rPr>
              <w:t>4、区域土地利用现状</w:t>
            </w:r>
          </w:p>
          <w:p w14:paraId="765B6302">
            <w:pPr>
              <w:spacing w:line="360" w:lineRule="auto"/>
              <w:ind w:firstLine="480" w:firstLineChars="200"/>
              <w:jc w:val="left"/>
            </w:pPr>
            <w:r>
              <w:rPr>
                <w:rFonts w:hint="eastAsia"/>
              </w:rPr>
              <w:t>本次评价以拟建码头为中心外扩1km为调查范围，分析评价范围内土地利用现状，具体内容详见下表：</w:t>
            </w:r>
          </w:p>
          <w:p w14:paraId="2C7AE3E5">
            <w:pPr>
              <w:spacing w:line="360" w:lineRule="auto"/>
              <w:ind w:firstLine="480" w:firstLineChars="200"/>
              <w:jc w:val="left"/>
            </w:pPr>
          </w:p>
          <w:p w14:paraId="6299183E">
            <w:pPr>
              <w:spacing w:line="360" w:lineRule="auto"/>
              <w:jc w:val="center"/>
              <w:rPr>
                <w:b/>
                <w:bCs/>
              </w:rPr>
            </w:pPr>
            <w:r>
              <w:rPr>
                <w:rFonts w:hint="eastAsia"/>
                <w:b/>
                <w:bCs/>
              </w:rPr>
              <w:t>表23      项目评价范围内土地利用结构卫片解译结果一览表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597"/>
              <w:gridCol w:w="2169"/>
              <w:gridCol w:w="2119"/>
            </w:tblGrid>
            <w:tr w14:paraId="294A6E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vMerge w:val="restart"/>
                  <w:noWrap/>
                  <w:vAlign w:val="center"/>
                </w:tcPr>
                <w:p w14:paraId="2643DFA9">
                  <w:pPr>
                    <w:pStyle w:val="42"/>
                  </w:pPr>
                  <w:r>
                    <w:rPr>
                      <w:rFonts w:hint="eastAsia"/>
                    </w:rPr>
                    <w:t>土地类型</w:t>
                  </w:r>
                </w:p>
              </w:tc>
              <w:tc>
                <w:tcPr>
                  <w:tcW w:w="5475" w:type="dxa"/>
                  <w:gridSpan w:val="2"/>
                  <w:vAlign w:val="center"/>
                </w:tcPr>
                <w:p w14:paraId="14E827C5">
                  <w:pPr>
                    <w:pStyle w:val="42"/>
                  </w:pPr>
                  <w:r>
                    <w:rPr>
                      <w:rFonts w:hint="eastAsia"/>
                    </w:rPr>
                    <w:t>评价范围内</w:t>
                  </w:r>
                </w:p>
              </w:tc>
            </w:tr>
            <w:tr w14:paraId="4B6124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vMerge w:val="continue"/>
                  <w:noWrap/>
                  <w:vAlign w:val="center"/>
                </w:tcPr>
                <w:p w14:paraId="276DFA57">
                  <w:pPr>
                    <w:pStyle w:val="42"/>
                  </w:pPr>
                </w:p>
              </w:tc>
              <w:tc>
                <w:tcPr>
                  <w:tcW w:w="2736" w:type="dxa"/>
                  <w:vAlign w:val="center"/>
                </w:tcPr>
                <w:p w14:paraId="4129A5DC">
                  <w:pPr>
                    <w:pStyle w:val="42"/>
                  </w:pPr>
                  <w:r>
                    <w:t>面积（</w:t>
                  </w:r>
                  <w:r>
                    <w:rPr>
                      <w:rFonts w:hint="eastAsia"/>
                    </w:rPr>
                    <w:t>k</w:t>
                  </w:r>
                  <w:r>
                    <w:t>m</w:t>
                  </w:r>
                  <w:r>
                    <w:rPr>
                      <w:vertAlign w:val="superscript"/>
                    </w:rPr>
                    <w:t>2</w:t>
                  </w:r>
                  <w:r>
                    <w:t>）</w:t>
                  </w:r>
                </w:p>
              </w:tc>
              <w:tc>
                <w:tcPr>
                  <w:tcW w:w="2739" w:type="dxa"/>
                  <w:vAlign w:val="center"/>
                </w:tcPr>
                <w:p w14:paraId="75CCC2FC">
                  <w:pPr>
                    <w:pStyle w:val="42"/>
                  </w:pPr>
                  <w:r>
                    <w:t>比例（%）</w:t>
                  </w:r>
                </w:p>
              </w:tc>
            </w:tr>
            <w:tr w14:paraId="0AFC90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noWrap/>
                </w:tcPr>
                <w:p w14:paraId="68B3ACB9">
                  <w:pPr>
                    <w:pStyle w:val="42"/>
                  </w:pPr>
                  <w:r>
                    <w:rPr>
                      <w:rFonts w:hint="eastAsia"/>
                    </w:rPr>
                    <w:t>交通运输用地</w:t>
                  </w:r>
                </w:p>
              </w:tc>
              <w:tc>
                <w:tcPr>
                  <w:tcW w:w="2736" w:type="dxa"/>
                  <w:vAlign w:val="bottom"/>
                </w:tcPr>
                <w:p w14:paraId="4FF631E3">
                  <w:pPr>
                    <w:pStyle w:val="42"/>
                  </w:pPr>
                  <w:r>
                    <w:t>0.06</w:t>
                  </w:r>
                </w:p>
              </w:tc>
              <w:tc>
                <w:tcPr>
                  <w:tcW w:w="2739" w:type="dxa"/>
                  <w:vAlign w:val="bottom"/>
                </w:tcPr>
                <w:p w14:paraId="32E4B4E5">
                  <w:pPr>
                    <w:pStyle w:val="42"/>
                  </w:pPr>
                  <w:r>
                    <w:t>3.16</w:t>
                  </w:r>
                </w:p>
              </w:tc>
            </w:tr>
            <w:tr w14:paraId="590148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noWrap/>
                </w:tcPr>
                <w:p w14:paraId="163E9520">
                  <w:pPr>
                    <w:pStyle w:val="42"/>
                  </w:pPr>
                  <w:r>
                    <w:rPr>
                      <w:rFonts w:hint="eastAsia"/>
                    </w:rPr>
                    <w:t>住宅用地</w:t>
                  </w:r>
                </w:p>
              </w:tc>
              <w:tc>
                <w:tcPr>
                  <w:tcW w:w="2736" w:type="dxa"/>
                  <w:vAlign w:val="bottom"/>
                </w:tcPr>
                <w:p w14:paraId="79EB9E13">
                  <w:pPr>
                    <w:pStyle w:val="42"/>
                  </w:pPr>
                  <w:r>
                    <w:t>0.02</w:t>
                  </w:r>
                </w:p>
              </w:tc>
              <w:tc>
                <w:tcPr>
                  <w:tcW w:w="2739" w:type="dxa"/>
                  <w:vAlign w:val="bottom"/>
                </w:tcPr>
                <w:p w14:paraId="5F1C3A9B">
                  <w:pPr>
                    <w:pStyle w:val="42"/>
                  </w:pPr>
                  <w:r>
                    <w:t>0.89</w:t>
                  </w:r>
                </w:p>
              </w:tc>
            </w:tr>
            <w:tr w14:paraId="76DD5D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noWrap/>
                </w:tcPr>
                <w:p w14:paraId="21401682">
                  <w:pPr>
                    <w:pStyle w:val="42"/>
                  </w:pPr>
                  <w:r>
                    <w:rPr>
                      <w:rFonts w:hint="eastAsia"/>
                    </w:rPr>
                    <w:t>林地</w:t>
                  </w:r>
                </w:p>
              </w:tc>
              <w:tc>
                <w:tcPr>
                  <w:tcW w:w="2736" w:type="dxa"/>
                  <w:vAlign w:val="bottom"/>
                </w:tcPr>
                <w:p w14:paraId="32AC2CDA">
                  <w:pPr>
                    <w:pStyle w:val="42"/>
                  </w:pPr>
                  <w:r>
                    <w:t>1.01</w:t>
                  </w:r>
                </w:p>
              </w:tc>
              <w:tc>
                <w:tcPr>
                  <w:tcW w:w="2739" w:type="dxa"/>
                  <w:vAlign w:val="bottom"/>
                </w:tcPr>
                <w:p w14:paraId="124186CF">
                  <w:pPr>
                    <w:pStyle w:val="42"/>
                  </w:pPr>
                  <w:r>
                    <w:t>54.48</w:t>
                  </w:r>
                </w:p>
              </w:tc>
            </w:tr>
            <w:tr w14:paraId="7F2FF9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noWrap/>
                </w:tcPr>
                <w:p w14:paraId="256B5B86">
                  <w:pPr>
                    <w:pStyle w:val="42"/>
                  </w:pPr>
                  <w:r>
                    <w:rPr>
                      <w:rFonts w:hint="eastAsia"/>
                    </w:rPr>
                    <w:t>其他土地</w:t>
                  </w:r>
                </w:p>
              </w:tc>
              <w:tc>
                <w:tcPr>
                  <w:tcW w:w="2736" w:type="dxa"/>
                  <w:vAlign w:val="bottom"/>
                </w:tcPr>
                <w:p w14:paraId="22A2E88A">
                  <w:pPr>
                    <w:pStyle w:val="42"/>
                  </w:pPr>
                  <w:r>
                    <w:t>0.03</w:t>
                  </w:r>
                </w:p>
              </w:tc>
              <w:tc>
                <w:tcPr>
                  <w:tcW w:w="2739" w:type="dxa"/>
                  <w:vAlign w:val="bottom"/>
                </w:tcPr>
                <w:p w14:paraId="5EBFCD33">
                  <w:pPr>
                    <w:pStyle w:val="42"/>
                  </w:pPr>
                  <w:r>
                    <w:t>1.75%</w:t>
                  </w:r>
                </w:p>
              </w:tc>
            </w:tr>
            <w:tr w14:paraId="0F238E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noWrap/>
                </w:tcPr>
                <w:p w14:paraId="6E935E6C">
                  <w:pPr>
                    <w:pStyle w:val="42"/>
                  </w:pPr>
                  <w:r>
                    <w:rPr>
                      <w:rFonts w:hint="eastAsia"/>
                    </w:rPr>
                    <w:t>耕地</w:t>
                  </w:r>
                </w:p>
              </w:tc>
              <w:tc>
                <w:tcPr>
                  <w:tcW w:w="2736" w:type="dxa"/>
                  <w:vAlign w:val="bottom"/>
                </w:tcPr>
                <w:p w14:paraId="269A3BF7">
                  <w:pPr>
                    <w:pStyle w:val="42"/>
                  </w:pPr>
                  <w:r>
                    <w:t>0.47</w:t>
                  </w:r>
                </w:p>
              </w:tc>
              <w:tc>
                <w:tcPr>
                  <w:tcW w:w="2739" w:type="dxa"/>
                  <w:vAlign w:val="bottom"/>
                </w:tcPr>
                <w:p w14:paraId="05FB2769">
                  <w:pPr>
                    <w:pStyle w:val="42"/>
                  </w:pPr>
                  <w:r>
                    <w:t>25.44</w:t>
                  </w:r>
                </w:p>
              </w:tc>
            </w:tr>
            <w:tr w14:paraId="4A576E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noWrap/>
                </w:tcPr>
                <w:p w14:paraId="622C4BBC">
                  <w:pPr>
                    <w:pStyle w:val="42"/>
                  </w:pPr>
                  <w:r>
                    <w:rPr>
                      <w:rFonts w:hint="eastAsia"/>
                    </w:rPr>
                    <w:t>水域及水利设施用地</w:t>
                  </w:r>
                </w:p>
              </w:tc>
              <w:tc>
                <w:tcPr>
                  <w:tcW w:w="2736" w:type="dxa"/>
                  <w:vAlign w:val="bottom"/>
                </w:tcPr>
                <w:p w14:paraId="586265E1">
                  <w:pPr>
                    <w:pStyle w:val="42"/>
                  </w:pPr>
                  <w:r>
                    <w:t>0.27</w:t>
                  </w:r>
                </w:p>
              </w:tc>
              <w:tc>
                <w:tcPr>
                  <w:tcW w:w="2739" w:type="dxa"/>
                  <w:vAlign w:val="bottom"/>
                </w:tcPr>
                <w:p w14:paraId="51EB48DF">
                  <w:pPr>
                    <w:pStyle w:val="42"/>
                  </w:pPr>
                  <w:r>
                    <w:t>14.29</w:t>
                  </w:r>
                </w:p>
              </w:tc>
            </w:tr>
            <w:tr w14:paraId="0F333C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597" w:type="dxa"/>
                  <w:noWrap/>
                </w:tcPr>
                <w:p w14:paraId="1739D5E5">
                  <w:pPr>
                    <w:pStyle w:val="42"/>
                  </w:pPr>
                  <w:r>
                    <w:rPr>
                      <w:rFonts w:hint="eastAsia"/>
                    </w:rPr>
                    <w:t>合计</w:t>
                  </w:r>
                </w:p>
              </w:tc>
              <w:tc>
                <w:tcPr>
                  <w:tcW w:w="2736" w:type="dxa"/>
                  <w:vAlign w:val="center"/>
                </w:tcPr>
                <w:p w14:paraId="20CF7986">
                  <w:pPr>
                    <w:pStyle w:val="42"/>
                  </w:pPr>
                  <w:r>
                    <w:rPr>
                      <w:rFonts w:hint="eastAsia"/>
                    </w:rPr>
                    <w:t>1.86</w:t>
                  </w:r>
                </w:p>
              </w:tc>
              <w:tc>
                <w:tcPr>
                  <w:tcW w:w="2739" w:type="dxa"/>
                  <w:vAlign w:val="bottom"/>
                </w:tcPr>
                <w:p w14:paraId="5275E085">
                  <w:pPr>
                    <w:pStyle w:val="42"/>
                  </w:pPr>
                  <w:r>
                    <w:t>100.00</w:t>
                  </w:r>
                </w:p>
              </w:tc>
            </w:tr>
          </w:tbl>
          <w:p w14:paraId="7C2A9B28">
            <w:pPr>
              <w:spacing w:line="360" w:lineRule="auto"/>
              <w:ind w:firstLine="480" w:firstLineChars="200"/>
              <w:jc w:val="left"/>
            </w:pPr>
          </w:p>
          <w:p w14:paraId="536C76A8">
            <w:pPr>
              <w:spacing w:line="360" w:lineRule="auto"/>
              <w:ind w:firstLine="480" w:firstLineChars="200"/>
            </w:pPr>
            <w:r>
              <w:rPr>
                <w:rFonts w:hint="eastAsia"/>
              </w:rPr>
              <w:t>表中可以看出，本次调查范围内主要分为交通运输用地、住宅用地、林地、其他土地、耕地、水域及水利设施用地等6个类型，比较简单。其中林地面积最大，占评价区总面积的54.48%，主要分布于拟建码头西侧；其次为耕地，面积占25.44%，河流等水域总面积占14.29%，主要为鸭绿江干流；居民用地面积占0.89%。从土地利用结构可以看出，评价范围内主要土地利用类型为林地，其次为耕地，其间分布有一定面积的居民用地、河流等，土地利用结构体现了评价区处于吉林东部长白山地生态区的特点，由于人口密度较低，人类生产和生活活动对土地利用的压力相对较低，森林生态系统保存相对完好；受地形制约，农田生态系统仅分布在鸭绿江河谷一线的居民点附近，并以旱作为主。</w:t>
            </w:r>
          </w:p>
          <w:p w14:paraId="01128500">
            <w:pPr>
              <w:spacing w:line="360" w:lineRule="auto"/>
              <w:ind w:firstLine="480" w:firstLineChars="200"/>
            </w:pPr>
            <w:r>
              <w:rPr>
                <w:rFonts w:hint="eastAsia"/>
              </w:rPr>
              <w:t>调查范围内土地利用现状详见附图9。</w:t>
            </w:r>
          </w:p>
          <w:p w14:paraId="243E0E14">
            <w:pPr>
              <w:spacing w:line="360" w:lineRule="auto"/>
              <w:ind w:firstLine="480" w:firstLineChars="200"/>
              <w:jc w:val="left"/>
            </w:pPr>
            <w:r>
              <w:rPr>
                <w:rFonts w:hint="eastAsia"/>
              </w:rPr>
              <w:t>4、陆生生态</w:t>
            </w:r>
          </w:p>
          <w:p w14:paraId="7BAED421">
            <w:pPr>
              <w:spacing w:line="360" w:lineRule="auto"/>
              <w:ind w:firstLine="480" w:firstLineChars="200"/>
              <w:jc w:val="left"/>
            </w:pPr>
            <w:r>
              <w:rPr>
                <w:rFonts w:hint="eastAsia"/>
              </w:rPr>
              <w:t>（1）区域植被类型及分布</w:t>
            </w:r>
          </w:p>
          <w:p w14:paraId="1C563301">
            <w:pPr>
              <w:spacing w:line="360" w:lineRule="auto"/>
              <w:ind w:firstLine="480" w:firstLineChars="200"/>
            </w:pPr>
            <w:r>
              <w:rPr>
                <w:rFonts w:hint="eastAsia"/>
              </w:rPr>
              <w:t>本次调查区域周边陆域植被类型主要可以分为森林植被、农田植被等。其中森林植被中包括了常绿针叶林、落叶阔叶林、落叶针叶林、针阔混交林等群落。农田植被包括玉米、豆类、蔬菜等群落。</w:t>
            </w:r>
          </w:p>
          <w:p w14:paraId="4A0F0AFF">
            <w:pPr>
              <w:spacing w:line="360" w:lineRule="auto"/>
              <w:ind w:firstLine="480" w:firstLineChars="200"/>
            </w:pPr>
            <w:r>
              <w:rPr>
                <w:rFonts w:hint="eastAsia"/>
              </w:rPr>
              <w:t>（2）森林生态系统</w:t>
            </w:r>
          </w:p>
          <w:p w14:paraId="70E0341B">
            <w:pPr>
              <w:spacing w:line="360" w:lineRule="auto"/>
              <w:ind w:firstLine="480" w:firstLineChars="200"/>
            </w:pPr>
            <w:r>
              <w:rPr>
                <w:rFonts w:hint="eastAsia"/>
              </w:rPr>
              <w:t>按吉林省森林分区，评价区均属于吉林东部山地温带湿润针阔叶混交林地带（Ⅰ）、长白山地红松沙冷杉针阔叶混交林区（Ⅰ1）、红松沙冷杉针阔叶混交林小区（Ⅰ1－1），本项目主要位于该小区的东南部地区。由于纬度偏低，气温与降水量偏高，因而在阔叶红松林的树种组成成分上，除红松外，阔叶树种如水曲柳、胡桃楸等有所增加，温性树种如沙冷杉比重增多，故有“红白松针阔叶混交林”之称。由于区内阔叶红松林的标志种沙冷杉干形高大通直，出材量高，利用价值大，过去多被采伐利用，目前所占比重很小。但总体来说，区域的森林生态系统除了缺失原始林单元外，系统内的其他结构仍比较完整，系统的功能基本正常，它对于吉林省中西部地区的生态屏障作用，乃至对吉林全省的生态平衡具有重要意义。</w:t>
            </w:r>
          </w:p>
          <w:p w14:paraId="69E147F9">
            <w:pPr>
              <w:spacing w:line="360" w:lineRule="auto"/>
              <w:ind w:firstLine="480" w:firstLineChars="200"/>
            </w:pPr>
            <w:r>
              <w:rPr>
                <w:rFonts w:hint="eastAsia"/>
              </w:rPr>
              <w:t>①森林面积及分布</w:t>
            </w:r>
          </w:p>
          <w:p w14:paraId="6A9E92F8">
            <w:pPr>
              <w:spacing w:line="360" w:lineRule="auto"/>
              <w:ind w:firstLine="480" w:firstLineChars="200"/>
            </w:pPr>
            <w:r>
              <w:rPr>
                <w:rFonts w:hint="eastAsia"/>
              </w:rPr>
              <w:t>本项目调查范围内林地总面积101hm</w:t>
            </w:r>
            <w:r>
              <w:rPr>
                <w:rFonts w:hint="eastAsia"/>
                <w:vertAlign w:val="superscript"/>
              </w:rPr>
              <w:t>2</w:t>
            </w:r>
            <w:r>
              <w:rPr>
                <w:rFonts w:hint="eastAsia"/>
              </w:rPr>
              <w:t>，占评价区总面积的54.48%以上。本项目调查范围内林地主要分布在本项目西侧，与本项目隔G331，最近距离约17m。</w:t>
            </w:r>
          </w:p>
          <w:p w14:paraId="59D947DF">
            <w:pPr>
              <w:spacing w:line="360" w:lineRule="auto"/>
              <w:ind w:firstLine="480" w:firstLineChars="200"/>
            </w:pPr>
            <w:r>
              <w:rPr>
                <w:rFonts w:hint="eastAsia"/>
              </w:rPr>
              <w:t>②森林植被类型</w:t>
            </w:r>
          </w:p>
          <w:p w14:paraId="2359CA7C">
            <w:pPr>
              <w:spacing w:line="360" w:lineRule="auto"/>
              <w:ind w:firstLine="480" w:firstLineChars="200"/>
            </w:pPr>
            <w:r>
              <w:rPr>
                <w:rFonts w:hint="eastAsia"/>
              </w:rPr>
              <w:t>经实地调查，评价区森林林相主要为针阔混交林。森林类型及分布反映了该区所处地理位置、地形及气候特点。</w:t>
            </w:r>
          </w:p>
          <w:p w14:paraId="5C28A43A">
            <w:pPr>
              <w:spacing w:line="360" w:lineRule="auto"/>
              <w:ind w:firstLine="480" w:firstLineChars="200"/>
            </w:pPr>
            <w:r>
              <w:rPr>
                <w:rFonts w:hint="eastAsia"/>
              </w:rPr>
              <w:t>③林分结构</w:t>
            </w:r>
          </w:p>
          <w:p w14:paraId="253D2C95">
            <w:pPr>
              <w:spacing w:line="360" w:lineRule="auto"/>
              <w:ind w:firstLine="480" w:firstLineChars="200"/>
            </w:pPr>
            <w:r>
              <w:t>A</w:t>
            </w:r>
            <w:r>
              <w:rPr>
                <w:rFonts w:hint="eastAsia"/>
              </w:rPr>
              <w:t>.针叶林</w:t>
            </w:r>
          </w:p>
          <w:p w14:paraId="36E4234D">
            <w:pPr>
              <w:spacing w:line="360" w:lineRule="auto"/>
              <w:ind w:firstLine="480" w:firstLineChars="200"/>
            </w:pPr>
            <w:r>
              <w:rPr>
                <w:rFonts w:hint="eastAsia"/>
              </w:rPr>
              <w:t>天然针叶林分为以长白落叶松为主的落叶针叶林和以红松及云冷杉等为主的常绿针叶林。除建群种红松、云冷杉外，还有一些暖温性的针叶树种，如紫杉（Taxus cuspidata）、朝鲜崖柏（Thuja koraiensis）、赤松（Pinus de nsiflora）等，寒温性的针叶树种也有较多的分布，如鱼鳞云杉（Picea jezoensis）、臭冷杉（Abies nephrolepis）和红皮云杉（P. koraiensis）等。此外寒温性的樟子松（Pinus sylvestris var. mongolica）是人工引进树种，已在评价区内广泛栽培，形成成片分布的樟子松人工林。</w:t>
            </w:r>
          </w:p>
          <w:p w14:paraId="692B0C46">
            <w:pPr>
              <w:spacing w:line="360" w:lineRule="auto"/>
              <w:ind w:firstLine="480" w:firstLineChars="200"/>
            </w:pPr>
            <w:r>
              <w:rPr>
                <w:rFonts w:hint="eastAsia"/>
              </w:rPr>
              <w:t>■长白落叶松林主要衍生自阔叶红松林，主林层以长白落叶松（</w:t>
            </w:r>
            <w:r>
              <w:t>Larix olgensis var. Cangbaiensis</w:t>
            </w:r>
            <w:r>
              <w:rPr>
                <w:rFonts w:hint="eastAsia"/>
              </w:rPr>
              <w:t>）为主，混有少量鱼鳞云杉、臭冷杉、岳桦（</w:t>
            </w:r>
            <w:r>
              <w:t>Betula ermanii</w:t>
            </w:r>
            <w:r>
              <w:rPr>
                <w:rFonts w:hint="eastAsia"/>
              </w:rPr>
              <w:t>）和枫桦（</w:t>
            </w:r>
            <w:r>
              <w:t>Beula costate</w:t>
            </w:r>
            <w:r>
              <w:rPr>
                <w:rFonts w:hint="eastAsia"/>
              </w:rPr>
              <w:t>）；灌木丛匮乏，以蓝靛果忍冬（</w:t>
            </w:r>
            <w:r>
              <w:t>Lonicera edulis</w:t>
            </w:r>
            <w:r>
              <w:rPr>
                <w:rFonts w:hint="eastAsia"/>
              </w:rPr>
              <w:t>）、朝鲜荚迷（</w:t>
            </w:r>
            <w:r>
              <w:t>Viburnum koreanum</w:t>
            </w:r>
            <w:r>
              <w:rPr>
                <w:rFonts w:hint="eastAsia"/>
              </w:rPr>
              <w:t>）为主；草本层以唢呐草（</w:t>
            </w:r>
            <w:r>
              <w:t>Mitella nuda</w:t>
            </w:r>
            <w:r>
              <w:rPr>
                <w:rFonts w:hint="eastAsia"/>
              </w:rPr>
              <w:t>）、肾叶鹿蹄草（</w:t>
            </w:r>
            <w:r>
              <w:t>Pyrola renifolia</w:t>
            </w:r>
            <w:r>
              <w:rPr>
                <w:rFonts w:hint="eastAsia"/>
              </w:rPr>
              <w:t>）为主。</w:t>
            </w:r>
          </w:p>
          <w:p w14:paraId="6191F33D">
            <w:pPr>
              <w:spacing w:line="360" w:lineRule="auto"/>
              <w:ind w:firstLine="480" w:firstLineChars="200"/>
            </w:pPr>
            <w:r>
              <w:rPr>
                <w:rFonts w:hint="eastAsia"/>
              </w:rPr>
              <w:t>■云冷杉林的主要建群种有鱼鳞云杉、红皮云杉和臭冷杉等，群落中还有红松（</w:t>
            </w:r>
            <w:r>
              <w:t>Pinus koraiensis</w:t>
            </w:r>
            <w:r>
              <w:rPr>
                <w:rFonts w:hint="eastAsia"/>
              </w:rPr>
              <w:t>）、长白落叶松、枫桦、紫椴（</w:t>
            </w:r>
            <w:r>
              <w:t>Tilia amurensis</w:t>
            </w:r>
            <w:r>
              <w:rPr>
                <w:rFonts w:hint="eastAsia"/>
              </w:rPr>
              <w:t>）、春榆（</w:t>
            </w:r>
            <w:r>
              <w:t>Ulmus japonica</w:t>
            </w:r>
            <w:r>
              <w:rPr>
                <w:rFonts w:hint="eastAsia"/>
              </w:rPr>
              <w:t>）、色木槭（</w:t>
            </w:r>
            <w:r>
              <w:t>A. mono</w:t>
            </w:r>
            <w:r>
              <w:rPr>
                <w:rFonts w:hint="eastAsia"/>
              </w:rPr>
              <w:t>）、大青杨（</w:t>
            </w:r>
            <w:r>
              <w:t>Populus sieboldianum</w:t>
            </w:r>
            <w:r>
              <w:rPr>
                <w:rFonts w:hint="eastAsia"/>
              </w:rPr>
              <w:t>）等树种混生。林下灌木种类较多，主要有疣枝卫茅（</w:t>
            </w:r>
            <w:r>
              <w:t>Evonymus pauciflorus</w:t>
            </w:r>
            <w:r>
              <w:rPr>
                <w:rFonts w:hint="eastAsia"/>
              </w:rPr>
              <w:t>）、蓝靛果忍冬等，在海拔较低、土壤肥沃的立地上，以毛榛子（</w:t>
            </w:r>
            <w:r>
              <w:t>Corlus mandshurica</w:t>
            </w:r>
            <w:r>
              <w:rPr>
                <w:rFonts w:hint="eastAsia"/>
              </w:rPr>
              <w:t>）占优势。草本植物比较繁茂，主要有林奈草（</w:t>
            </w:r>
            <w:r>
              <w:t>Rubia</w:t>
            </w:r>
            <w:r>
              <w:rPr>
                <w:rFonts w:hint="eastAsia"/>
              </w:rPr>
              <w:t xml:space="preserve"> sylvatica）、舞鹤草（Maianthemu bifolium）、深山露珠草（Cirae alpine var. caulescens）、兴安鹿药（Smilacina dahurica）、唢呐草、北极花（Linnaea borealis）、山茄子（Brachybotris paridiformis）、北重楼（Paris verticillata）等。</w:t>
            </w:r>
          </w:p>
          <w:p w14:paraId="1A31B871">
            <w:pPr>
              <w:spacing w:line="360" w:lineRule="auto"/>
              <w:ind w:firstLine="480" w:firstLineChars="200"/>
            </w:pPr>
            <w:r>
              <w:rPr>
                <w:rFonts w:hint="eastAsia"/>
              </w:rPr>
              <w:t>B. 针阔混交林</w:t>
            </w:r>
          </w:p>
          <w:p w14:paraId="007D98BA">
            <w:pPr>
              <w:spacing w:line="360" w:lineRule="auto"/>
              <w:ind w:firstLine="480" w:firstLineChars="200"/>
            </w:pPr>
            <w:r>
              <w:rPr>
                <w:rFonts w:hint="eastAsia"/>
              </w:rPr>
              <w:t>针阔混交林为长白山地区生物种类最丰富的地带性植被，以红松阔叶混交林为代表，但由于近百年的人类采伐，目前原始红松阔叶混交林分布面积日益退缩，仅在长白山自然保护区附近以及交通不便的偏远地区才有分布，其他林区绝大部分已经失去原生林貌而形成半原生状态的过伐林。红松阔叶混交林为复层混交异龄林，结构复杂，植物种类丰富。</w:t>
            </w:r>
          </w:p>
          <w:p w14:paraId="6D58CA98">
            <w:pPr>
              <w:spacing w:line="360" w:lineRule="auto"/>
              <w:ind w:firstLine="480" w:firstLineChars="200"/>
            </w:pPr>
            <w:r>
              <w:rPr>
                <w:rFonts w:hint="eastAsia"/>
              </w:rPr>
              <w:t>■鱼鳞云杉、臭冷杉、红皮云杉林</w:t>
            </w:r>
          </w:p>
          <w:p w14:paraId="02611DD0">
            <w:pPr>
              <w:spacing w:line="360" w:lineRule="auto"/>
              <w:ind w:firstLine="480" w:firstLineChars="200"/>
            </w:pPr>
            <w:r>
              <w:rPr>
                <w:rFonts w:hint="eastAsia"/>
              </w:rPr>
              <w:t>鱼鳞云杉、臭冷杉、红皮云杉林由多种针叶乔木组成，外貌上看，应属常绿针叶林，但其优势层片的建群种为红松。该群系林木组成较为单纯，第一层以红松为主，第二层多为鱼鳞云杉、红皮云杉、臭冷杉，有时散生少量的阔叶树种，如枫桦、花楸、色木槭、白桦、大青杨和水曲柳等。从林木组成上看，它具有从阔叶红松林道云杉、冷杉林的交错性质。</w:t>
            </w:r>
          </w:p>
          <w:p w14:paraId="62C1657D">
            <w:pPr>
              <w:spacing w:line="360" w:lineRule="auto"/>
              <w:ind w:firstLine="480" w:firstLineChars="200"/>
            </w:pPr>
            <w:r>
              <w:rPr>
                <w:rFonts w:hint="eastAsia"/>
              </w:rPr>
              <w:t>根据立地条件、外貌及植物组成，本群系可划分为两个群丛：塔藓-毛榛子-臭冷杉、鱼鳞云红皮云杉、红松林（Ass.Hylocomium splendens-Corylus，mandshurica-Abies nephroles、Pica jezoensis、Picea koraiensis、Pinus koraiensis），猴腿蹄盖蕨-东北溲疏-鱼鳞云杉、红皮云杉、臭冷杉、红松林（Ass.Athyrium multidentatum-Deutzia amurensis-Picea jezoensis、Picea koraiensis、Abies nephroles、Pinus koraiensis）。</w:t>
            </w:r>
          </w:p>
          <w:p w14:paraId="305F5DB5">
            <w:pPr>
              <w:spacing w:line="360" w:lineRule="auto"/>
              <w:ind w:firstLine="480" w:firstLineChars="200"/>
            </w:pPr>
            <w:r>
              <w:rPr>
                <w:rFonts w:hint="eastAsia"/>
              </w:rPr>
              <w:t>ⅰ、塔藓－毛榛子－臭冷杉/鱼鳞云红皮云杉/红松林群丛主要是以红松和多种针叶树所组成。该群丛可分为乔木、灌木和草本植物3层。乔木高达28m，有分为2各亚层。第一亚层高24～28m，常以红松、红皮云杉为优势种，其次为与鱼鳞云杉、臭冷杉、长白落叶松，并混生有少量的水曲柳、枫桦、色楸、色木、白桦等。第二亚层高11～23m，为第一亚层树种的幼树组成。</w:t>
            </w:r>
          </w:p>
          <w:p w14:paraId="559AA572">
            <w:pPr>
              <w:spacing w:line="360" w:lineRule="auto"/>
              <w:ind w:firstLine="480" w:firstLineChars="200"/>
            </w:pPr>
            <w:r>
              <w:rPr>
                <w:rFonts w:hint="eastAsia"/>
              </w:rPr>
              <w:t>灌木层不发达，主要有毛榛子、蓝点国人东、紫花忍冬、花楷槭、青楷槭、黄花忍冬、东北溲疏、刺五加、东北山梅花等。</w:t>
            </w:r>
          </w:p>
          <w:p w14:paraId="28C9E533">
            <w:pPr>
              <w:spacing w:line="360" w:lineRule="auto"/>
              <w:ind w:firstLine="480" w:firstLineChars="200"/>
            </w:pPr>
            <w:r>
              <w:rPr>
                <w:rFonts w:hint="eastAsia"/>
              </w:rPr>
              <w:t>草本层高达85cm，组成比较复杂，主要有林奈草、七瓣莲、唢呐草、舞鹤草、透骨草、龙常草、类叶升麻、花唐松草、广羽金星蕨和粗茎鳞毛蕨、小叶芹、宽叶苔草等。苔藓植物在该群丛中发育良好，盖度常达50%～70%，但不厚，种类以塔藓、拟垂枝藓、万年藓为主，还有在树枝、树干上附生的小白齿藓、平藓等。</w:t>
            </w:r>
          </w:p>
          <w:p w14:paraId="646AA6BF">
            <w:pPr>
              <w:spacing w:line="360" w:lineRule="auto"/>
              <w:ind w:firstLine="480" w:firstLineChars="200"/>
            </w:pPr>
            <w:r>
              <w:rPr>
                <w:rFonts w:hint="eastAsia"/>
              </w:rPr>
              <w:t>ⅱ、猴腿蹄盖蕨-东北溲疏-鱼鳞云杉、红皮云杉、臭冷杉、红松林主要是以红松和多种针叶树所组成，主要分布于海拔700～800m的平坦低湿的山间谷底、溪流的阶地上。</w:t>
            </w:r>
          </w:p>
          <w:p w14:paraId="6A8BE9B1">
            <w:pPr>
              <w:spacing w:line="360" w:lineRule="auto"/>
              <w:ind w:firstLine="480" w:firstLineChars="200"/>
            </w:pPr>
            <w:r>
              <w:rPr>
                <w:rFonts w:hint="eastAsia"/>
              </w:rPr>
              <w:t>该群丛外貌整齐，层次明显，可分为乔木、灌木和草本植物3层。乔木层盖度大75%，常以常绿的针叶大高位芽植物红松、臭冷杉、红皮云杉为优势，并混生鱼鳞云杉及少量的长白落叶松、水曲柳、枫桦、花楸、色木等。</w:t>
            </w:r>
          </w:p>
          <w:p w14:paraId="14911241">
            <w:pPr>
              <w:spacing w:line="360" w:lineRule="auto"/>
              <w:ind w:firstLine="480" w:firstLineChars="200"/>
            </w:pPr>
            <w:r>
              <w:rPr>
                <w:rFonts w:hint="eastAsia"/>
              </w:rPr>
              <w:t>灌木层主要有东北溲疏、毛榛子、紫花忍冬、黄花忍冬、光萼溲疏、刺五加、东北山梅花、宝马丁香等。</w:t>
            </w:r>
          </w:p>
          <w:p w14:paraId="1AFEA572">
            <w:pPr>
              <w:spacing w:line="360" w:lineRule="auto"/>
              <w:ind w:firstLine="480" w:firstLineChars="200"/>
            </w:pPr>
            <w:r>
              <w:rPr>
                <w:rFonts w:hint="eastAsia"/>
              </w:rPr>
              <w:t>草本层比较繁茂，植物高达95cm，一般以蕨类和苔草为主，盖度可达100%。组成较复杂，主要有猴腿蹄盖蕨、凸脉苔草、粗茎鳞毛蕨、七瓣莲、唢呐草、舞鹤草、透骨草、龙常草、类叶升麻、三角叶风毛菊、唐松草、小叶芹、百花野芝麻、山茄子、蓝锅七筋菇、铃兰、北重楼等。苔藓植物在该群丛中发育较好，盖度常达50%，厚着可达5cm，种类主要有理藓、万年藓、塔藓、平藓等。</w:t>
            </w:r>
          </w:p>
          <w:p w14:paraId="1B704E25">
            <w:pPr>
              <w:spacing w:line="360" w:lineRule="auto"/>
              <w:ind w:firstLine="480" w:firstLineChars="200"/>
            </w:pPr>
            <w:r>
              <w:rPr>
                <w:rFonts w:hint="eastAsia"/>
              </w:rPr>
              <w:t>■红松、沙冷杉、千斤榆混交林</w:t>
            </w:r>
          </w:p>
          <w:p w14:paraId="3E729E35">
            <w:pPr>
              <w:spacing w:line="360" w:lineRule="auto"/>
              <w:ind w:firstLine="480" w:firstLineChars="200"/>
            </w:pPr>
            <w:r>
              <w:rPr>
                <w:rFonts w:hint="eastAsia"/>
              </w:rPr>
              <w:t>红松、沙冷杉、千斤榆混交林种类组成及结构丰富。乔木层除红松外，还有作为标志种的常绿针叶树沙冷杉（又称“白松”），故当地称这类针阔叶混交林为“红、白松林”。在吉林省分布在长白山海拔700m以下的低山地带，由于屡遭采伐破坏，现已无大面积成片分布。</w:t>
            </w:r>
          </w:p>
          <w:p w14:paraId="4E2C3D02">
            <w:pPr>
              <w:spacing w:line="360" w:lineRule="auto"/>
              <w:ind w:firstLine="480" w:firstLineChars="200"/>
            </w:pPr>
            <w:r>
              <w:rPr>
                <w:rFonts w:hint="eastAsia"/>
              </w:rPr>
              <w:t>红松、沙冷杉、千斤榆混交林群系仅一个群丛：即山茄子-东北山梅花－千斤榆、沙冷杉、红松林（Ass.Brachybotrys oridiformis-Philadelphus schrenkii-Carpinus cordata、Abies holophylla、Pinus koraiensis）群丛。本植被类型可分为乔木、灌木、草本层植物3层。乔木层高达30m，层盖度为75%，又可分为两个亚层；第一亚层高25～30m，盖度占45%-50%，以红松、沙冷杉为优势，还伴生紫椴、枫桦、色木槭、蒙古栎、白桦、水曲柳、山杨等；第二亚层高8～22m，盖度占25%～30%，主要有色木槭、青楷槭、裂叶榆、黄菠萝、胡桃楸等，混生少量白桦及第一层各树种的幼树等。局部地区还混生暖温性的刺楸（Kalopanax septemlobus）、玉铃花（Styrax obassia）、天女木兰（Magnolia sieboldii）、灯台树（Bothrocaryum controversum）、紫杉（Taxus cuspidate）等稀有树种。</w:t>
            </w:r>
          </w:p>
          <w:p w14:paraId="122D42D5">
            <w:pPr>
              <w:spacing w:line="360" w:lineRule="auto"/>
              <w:ind w:firstLine="480" w:firstLineChars="200"/>
            </w:pPr>
            <w:r>
              <w:rPr>
                <w:rFonts w:hint="eastAsia"/>
              </w:rPr>
              <w:t>灌木层可分为两层，第一层主要有疣枝卫茅、黄花忍冬、东北溲疏、东北接骨木等；第二次主要以东北山梅花为优势，还混有朝鲜越橘（Vaccinium buergeri）、绿叶悬钩子、毛榛子、刺五加、暖木条子荚迷等。</w:t>
            </w:r>
          </w:p>
          <w:p w14:paraId="2F2BDD96">
            <w:pPr>
              <w:spacing w:line="360" w:lineRule="auto"/>
              <w:ind w:firstLine="480" w:firstLineChars="200"/>
            </w:pPr>
            <w:r>
              <w:rPr>
                <w:rFonts w:hint="eastAsia"/>
              </w:rPr>
              <w:t>草本植物高约80cm，层盖度为60%，主要有山茄子、小叶芹、舞鹤草、毛缘苔草、深山唐松草、大叶草藤、燕尾风毛菊、山尖子、林茜草、铃兰、鹿药等。在草本植物种还有一些特有代表中，如人参、北细辛、大叶子、天麻等。层间藤本植物有山葡萄、北五味子、狗枣猕猴桃、软枣猕猴桃、葛枣猕猴桃、木桶马兜铃、红藤子等。</w:t>
            </w:r>
          </w:p>
          <w:p w14:paraId="415ED87A">
            <w:pPr>
              <w:spacing w:line="360" w:lineRule="auto"/>
              <w:ind w:firstLine="480" w:firstLineChars="200"/>
            </w:pPr>
            <w:r>
              <w:rPr>
                <w:rFonts w:hint="eastAsia"/>
              </w:rPr>
              <w:t>C. 阔叶混交林</w:t>
            </w:r>
          </w:p>
          <w:p w14:paraId="6EA3A7CB">
            <w:pPr>
              <w:spacing w:line="360" w:lineRule="auto"/>
              <w:ind w:firstLine="480" w:firstLineChars="200"/>
            </w:pPr>
            <w:r>
              <w:rPr>
                <w:rFonts w:hint="eastAsia"/>
              </w:rPr>
              <w:t>该植被类型多由本区的地带性森林植被—红松阔叶混交林经不同程度的破坏后形成。构成本植被类型的乔木建群树种主要有蒙古栎、水曲柳、胡桃楸、黄波罗、色木槭、紫椴、山杨（Populus davidiana）、白桦（Betula platyphylla）、黑桦（Betula davurica）、春榆、钻天柳（Chosenia arbutifolia）、赤杨（Alnus japonica）等。伴生的树种主要有千金榆（Carpinus cordata）、暴马丁香、青楷槭、花楷槭、稠李等。</w:t>
            </w:r>
          </w:p>
          <w:p w14:paraId="17691108">
            <w:pPr>
              <w:spacing w:line="360" w:lineRule="auto"/>
              <w:ind w:firstLine="480" w:firstLineChars="200"/>
            </w:pPr>
            <w:r>
              <w:rPr>
                <w:rFonts w:hint="eastAsia"/>
              </w:rPr>
              <w:t>林下木主要有珍珠梅（Sorbaria sorbifolia）、毛榛、忍冬（Lonicera spp.）、鼠李（Rhamnus davuricus）、东北山梅花、刺五加、溲疏（Deutzia spp.）、龙牙楤木（Aralia elata）等。</w:t>
            </w:r>
          </w:p>
          <w:p w14:paraId="34BF242B">
            <w:pPr>
              <w:spacing w:line="360" w:lineRule="auto"/>
              <w:ind w:firstLine="480" w:firstLineChars="200"/>
            </w:pPr>
            <w:r>
              <w:rPr>
                <w:rFonts w:hint="eastAsia"/>
              </w:rPr>
              <w:t>草本层较为发达，代表种如山茄子、山尖子（Cacalia hastata）、玉竹（Polygonatum odoratum）、小叶芹（Aegopodium alpestre）、凤毛菊（Saussurea japonica）、毛缘苔草（Carex pilosa）、羊胡子苔草、四花苔草、宽叶苔草（Carex siderosticta）、蕨（Pteridium aquilinum var. latiusculum）等。</w:t>
            </w:r>
          </w:p>
          <w:p w14:paraId="00D03C49">
            <w:pPr>
              <w:spacing w:line="360" w:lineRule="auto"/>
              <w:ind w:firstLine="480" w:firstLineChars="200"/>
            </w:pPr>
            <w:r>
              <w:rPr>
                <w:rFonts w:hint="eastAsia"/>
              </w:rPr>
              <w:t>层间植物主要有北五味子、猕猴桃（Actinidia spp.）、山葡萄等。</w:t>
            </w:r>
          </w:p>
          <w:p w14:paraId="5606AD45">
            <w:pPr>
              <w:spacing w:line="360" w:lineRule="auto"/>
              <w:ind w:firstLine="480" w:firstLineChars="200"/>
            </w:pPr>
            <w:r>
              <w:rPr>
                <w:rFonts w:hint="eastAsia"/>
              </w:rPr>
              <w:t>（3）农业生产条件分析</w:t>
            </w:r>
          </w:p>
          <w:p w14:paraId="0C7E801B">
            <w:pPr>
              <w:spacing w:line="360" w:lineRule="auto"/>
              <w:ind w:firstLine="480" w:firstLineChars="200"/>
            </w:pPr>
            <w:r>
              <w:rPr>
                <w:rFonts w:hint="eastAsia"/>
              </w:rPr>
              <w:t>①农业生产条件</w:t>
            </w:r>
          </w:p>
          <w:p w14:paraId="59320376">
            <w:pPr>
              <w:spacing w:line="360" w:lineRule="auto"/>
              <w:ind w:firstLine="480" w:firstLineChars="200"/>
            </w:pPr>
            <w:r>
              <w:rPr>
                <w:rFonts w:hint="eastAsia"/>
              </w:rPr>
              <w:t>A.农业气候</w:t>
            </w:r>
          </w:p>
          <w:p w14:paraId="6EBBA613">
            <w:pPr>
              <w:spacing w:line="360" w:lineRule="auto"/>
              <w:ind w:firstLine="480" w:firstLineChars="200"/>
            </w:pPr>
            <w:r>
              <w:rPr>
                <w:rFonts w:hint="eastAsia"/>
              </w:rPr>
              <w:t>工程所在地属东亚季风气候、中温带湿润气候区。多年年均气温2.0～4.7℃，生长期的6～8月份气温高，月平均14℃～20℃，年平均日照时数为2281～2485h，年太阳总辐射4673～5062兆焦/m2，大于10℃年积温为1904～2760℃。初霜出现在9月下旬，终霜则在5月初至5月下旬，全年无霜期110～130天。年均降水量为695～763mm，降水地理分布和时间分布不均，减降水量由南向北逐渐减少，作物生长期的4～5月份降水仅占全年降水量的20％左右，6～8月份占60％左右。年蒸发量1102～1133mm，年平均相对湿度69～71％左右。</w:t>
            </w:r>
          </w:p>
          <w:p w14:paraId="63D5E7F5">
            <w:pPr>
              <w:spacing w:line="360" w:lineRule="auto"/>
              <w:ind w:firstLine="480" w:firstLineChars="200"/>
            </w:pPr>
            <w:r>
              <w:rPr>
                <w:rFonts w:hint="eastAsia"/>
              </w:rPr>
              <w:t>夏季高温多雨，雨热同季，有利于农作物生长发育，但由于处于山区，气候冷凉，无霜期相对较短，冷冻害经常成为本区农业的制约因素。</w:t>
            </w:r>
          </w:p>
          <w:p w14:paraId="7676E33C">
            <w:pPr>
              <w:spacing w:line="360" w:lineRule="auto"/>
              <w:ind w:firstLine="480" w:firstLineChars="200"/>
            </w:pPr>
            <w:r>
              <w:rPr>
                <w:rFonts w:hint="eastAsia"/>
              </w:rPr>
              <w:t>B. 土壤</w:t>
            </w:r>
          </w:p>
          <w:p w14:paraId="49F87AB2">
            <w:pPr>
              <w:spacing w:line="360" w:lineRule="auto"/>
              <w:ind w:firstLine="480" w:firstLineChars="200"/>
            </w:pPr>
            <w:r>
              <w:rPr>
                <w:rFonts w:hint="eastAsia"/>
              </w:rPr>
              <w:t>本区主要农田土壤类型为暗棕壤、白浆土、冲积土等。区域暗棕壤比例较高，白浆土亦占了相当比例，以上土壤均是本区重要的农耕土壤。各类土壤有机质层较厚，养分含量亦适中，暗棕壤的有机质含量平均在3～7％之间，白浆土的有机质含量平均在2～5％之间。以上农耕土壤有机质含量均比较丰富，为农田作物生长提供了优越的条件。</w:t>
            </w:r>
          </w:p>
          <w:p w14:paraId="5C87C8EB">
            <w:pPr>
              <w:spacing w:line="360" w:lineRule="auto"/>
              <w:ind w:firstLine="480" w:firstLineChars="200"/>
            </w:pPr>
            <w:r>
              <w:rPr>
                <w:rFonts w:hint="eastAsia"/>
              </w:rPr>
              <w:t>C.农田面积及分布</w:t>
            </w:r>
          </w:p>
          <w:p w14:paraId="6033B96F">
            <w:pPr>
              <w:spacing w:line="360" w:lineRule="auto"/>
              <w:ind w:firstLine="480" w:firstLineChars="200"/>
            </w:pPr>
            <w:r>
              <w:rPr>
                <w:rFonts w:hint="eastAsia"/>
              </w:rPr>
              <w:t>农田生态系统是评价区另一主要生态系统，总面积2339.75hm</w:t>
            </w:r>
            <w:r>
              <w:rPr>
                <w:rFonts w:hint="eastAsia"/>
                <w:vertAlign w:val="superscript"/>
              </w:rPr>
              <w:t>2</w:t>
            </w:r>
            <w:r>
              <w:rPr>
                <w:rFonts w:hint="eastAsia"/>
              </w:rPr>
              <w:t>，占评价区总面积的20.95%，全部为旱田。旱田中以玉米为主约占80%，大豆仅占约20%。评价范围内农田主要分布在本项目北侧（望江村）及西南侧（大栗子街道）。</w:t>
            </w:r>
          </w:p>
          <w:p w14:paraId="3B5DBDE7">
            <w:pPr>
              <w:spacing w:line="360" w:lineRule="auto"/>
              <w:ind w:firstLine="480" w:firstLineChars="200"/>
            </w:pPr>
            <w:r>
              <w:rPr>
                <w:rFonts w:hint="eastAsia"/>
              </w:rPr>
              <w:t>D.农田生产力评价</w:t>
            </w:r>
          </w:p>
          <w:p w14:paraId="164B13F2">
            <w:pPr>
              <w:spacing w:line="360" w:lineRule="auto"/>
              <w:ind w:firstLine="480" w:firstLineChars="200"/>
            </w:pPr>
            <w:r>
              <w:rPr>
                <w:rFonts w:hint="eastAsia"/>
              </w:rPr>
              <w:t>据调查，区域农田土壤主要为暗棕壤、白浆土、冲积土等，虽然各类型土壤养分含量差异较大，但评价区大面积分布的暗棕壤和白浆土各种养分含量均适中，土壤养分条件有利于农作物种植与生长。</w:t>
            </w:r>
          </w:p>
          <w:p w14:paraId="5948FA43">
            <w:pPr>
              <w:spacing w:line="360" w:lineRule="auto"/>
              <w:ind w:firstLine="480" w:firstLineChars="200"/>
            </w:pPr>
            <w:r>
              <w:rPr>
                <w:rFonts w:hint="eastAsia"/>
              </w:rPr>
              <w:t>虽然降水充沛，但积温较低，光照不充分，农作物生长期较短，这些不利自然条件制约了区域农作物产量的提高，因此农田生产力水平并不很高。整体上看，区域农作物生长气候条件相对较差。</w:t>
            </w:r>
          </w:p>
          <w:p w14:paraId="5FB5C3E4">
            <w:pPr>
              <w:spacing w:line="360" w:lineRule="auto"/>
              <w:ind w:firstLine="480" w:firstLineChars="200"/>
            </w:pPr>
            <w:r>
              <w:rPr>
                <w:rFonts w:hint="eastAsia"/>
              </w:rPr>
              <w:t>E.农田动物群</w:t>
            </w:r>
          </w:p>
          <w:p w14:paraId="5B28DCB7">
            <w:pPr>
              <w:spacing w:line="360" w:lineRule="auto"/>
              <w:ind w:firstLine="480" w:firstLineChars="200"/>
            </w:pPr>
            <w:r>
              <w:rPr>
                <w:rFonts w:hint="eastAsia"/>
              </w:rPr>
              <w:t>评价区内的农区村屯和人口都较分散，农田集约程度低，农业生产活动频度和强度较低，但林业生产活动强度较高，林业采伐活动一直未间断，只是近十几年来由于实行“天保工程”，才使得森林开发活动有所下降，但是对地域原有的野生动物已经形成了强烈干扰，多数森林动物逐渐消失，伴之而来的地域动物物种主要与农业生产活动有关，在农区较大型哺乳类动物基本绝迹，但小型哺乳类特别是鼠类仍为常见种。野生动物主要有普通刺猬（Erinaceus amurensis Schrenk）、东北兔（Lepus mandschuricus Radde）、黄鼬（Mustela sibirica Pallas）、褐家鼠（Rattus nitidus）、小家鼠（Mus musculus L.）、大仓鼠（Cricetulus triton）、东方田鼠（Microtus fortis Buchner）、普通田鼠（M icrotus arvalis）等10余种啮齿目、兔形目和食肉目动物。</w:t>
            </w:r>
          </w:p>
          <w:p w14:paraId="0776556C">
            <w:pPr>
              <w:spacing w:line="360" w:lineRule="auto"/>
              <w:ind w:firstLine="480" w:firstLineChars="200"/>
            </w:pPr>
            <w:r>
              <w:rPr>
                <w:rFonts w:hint="eastAsia"/>
              </w:rPr>
              <w:t>农区鸟类种类较少，数量不多，且多为村栖型鸟类，留鸟居多，少有迁徙鸟类。主要常见种为喜鹊（P. pica sericea Gould）、小嘴乌鸦（C. corone orientalis Evers）、麻雀（P. montanus montanus）、家燕（H. rustica gutturalis Scopoli）、环颈雉（P. colchicus karpowi Rothschild）等。</w:t>
            </w:r>
          </w:p>
          <w:p w14:paraId="56123ACC">
            <w:pPr>
              <w:spacing w:line="360" w:lineRule="auto"/>
              <w:ind w:firstLine="480" w:firstLineChars="200"/>
            </w:pPr>
            <w:r>
              <w:rPr>
                <w:rFonts w:hint="eastAsia"/>
              </w:rPr>
              <w:t>5、国家重点保护野生动/植物资源调查</w:t>
            </w:r>
          </w:p>
          <w:p w14:paraId="63B3A847">
            <w:pPr>
              <w:spacing w:line="360" w:lineRule="auto"/>
              <w:ind w:firstLine="480" w:firstLineChars="200"/>
            </w:pPr>
            <w:r>
              <w:rPr>
                <w:rFonts w:hint="eastAsia"/>
              </w:rPr>
              <w:t>（1）陆生野生植物</w:t>
            </w:r>
          </w:p>
          <w:p w14:paraId="2C25EAB1">
            <w:pPr>
              <w:spacing w:line="360" w:lineRule="auto"/>
              <w:ind w:firstLine="480" w:firstLineChars="200"/>
            </w:pPr>
            <w:r>
              <w:rPr>
                <w:rFonts w:hint="eastAsia"/>
              </w:rPr>
              <w:t>本次调查范围内林地主要分布在项目西侧，与本项目隔G331，最近距离约17m。</w:t>
            </w:r>
          </w:p>
          <w:p w14:paraId="63A4FA39">
            <w:pPr>
              <w:spacing w:line="360" w:lineRule="auto"/>
              <w:ind w:firstLine="480" w:firstLineChars="200"/>
            </w:pPr>
            <w:r>
              <w:rPr>
                <w:rFonts w:hint="eastAsia"/>
              </w:rPr>
              <w:t>本次调查范围内林地面积占比较大，野生植物种类繁多，资源相对比较丰富。常见植物种类主要为针阔混交林中的红松、云/冷杉等针叶树种，以及水曲柳、白桦等阔叶树种，以及榛、胡枝子、忍冬等灌丛。国家重点保护植物主要有红松、水曲柳。调查范围内国家重点保护植物名录见下表：</w:t>
            </w:r>
          </w:p>
          <w:p w14:paraId="2ACCD6C4">
            <w:pPr>
              <w:spacing w:line="360" w:lineRule="auto"/>
              <w:ind w:firstLine="480" w:firstLineChars="200"/>
            </w:pPr>
          </w:p>
          <w:p w14:paraId="4F7C6110">
            <w:pPr>
              <w:spacing w:line="360" w:lineRule="auto"/>
              <w:jc w:val="center"/>
              <w:rPr>
                <w:b/>
                <w:bCs/>
              </w:rPr>
            </w:pPr>
            <w:r>
              <w:rPr>
                <w:rFonts w:hint="eastAsia"/>
                <w:b/>
                <w:bCs/>
              </w:rPr>
              <w:t>表24      调查范围内国家重点保护植物一览表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29"/>
              <w:gridCol w:w="2413"/>
              <w:gridCol w:w="1472"/>
              <w:gridCol w:w="1471"/>
            </w:tblGrid>
            <w:tr w14:paraId="4D570D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85" w:type="dxa"/>
                </w:tcPr>
                <w:p w14:paraId="6AC71EC3">
                  <w:pPr>
                    <w:pStyle w:val="42"/>
                  </w:pPr>
                  <w:r>
                    <w:rPr>
                      <w:rFonts w:hint="eastAsia"/>
                    </w:rPr>
                    <w:t>中文名</w:t>
                  </w:r>
                </w:p>
              </w:tc>
              <w:tc>
                <w:tcPr>
                  <w:tcW w:w="2704" w:type="dxa"/>
                </w:tcPr>
                <w:p w14:paraId="73F41885">
                  <w:pPr>
                    <w:pStyle w:val="42"/>
                  </w:pPr>
                  <w:r>
                    <w:rPr>
                      <w:rFonts w:hint="eastAsia"/>
                    </w:rPr>
                    <w:t>拉丁名</w:t>
                  </w:r>
                </w:p>
              </w:tc>
              <w:tc>
                <w:tcPr>
                  <w:tcW w:w="1749" w:type="dxa"/>
                </w:tcPr>
                <w:p w14:paraId="765DA5EB">
                  <w:pPr>
                    <w:pStyle w:val="42"/>
                  </w:pPr>
                  <w:r>
                    <w:rPr>
                      <w:rFonts w:hint="eastAsia"/>
                    </w:rPr>
                    <w:t>保护级别</w:t>
                  </w:r>
                </w:p>
              </w:tc>
              <w:tc>
                <w:tcPr>
                  <w:tcW w:w="1748" w:type="dxa"/>
                </w:tcPr>
                <w:p w14:paraId="01B30F1A">
                  <w:pPr>
                    <w:pStyle w:val="42"/>
                  </w:pPr>
                  <w:r>
                    <w:rPr>
                      <w:rFonts w:hint="eastAsia"/>
                    </w:rPr>
                    <w:t>备注</w:t>
                  </w:r>
                </w:p>
              </w:tc>
            </w:tr>
            <w:tr w14:paraId="6503AB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3085" w:type="dxa"/>
                </w:tcPr>
                <w:p w14:paraId="1F9F2C57">
                  <w:pPr>
                    <w:pStyle w:val="42"/>
                  </w:pPr>
                  <w:r>
                    <w:rPr>
                      <w:rFonts w:hint="eastAsia"/>
                    </w:rPr>
                    <w:t>红松</w:t>
                  </w:r>
                </w:p>
              </w:tc>
              <w:tc>
                <w:tcPr>
                  <w:tcW w:w="2704" w:type="dxa"/>
                </w:tcPr>
                <w:p w14:paraId="3874DA6D">
                  <w:pPr>
                    <w:pStyle w:val="42"/>
                    <w:rPr>
                      <w:i/>
                      <w:iCs/>
                    </w:rPr>
                  </w:pPr>
                  <w:r>
                    <w:rPr>
                      <w:rFonts w:hint="eastAsia"/>
                      <w:i/>
                      <w:iCs/>
                    </w:rPr>
                    <w:t>Pinus koraiensis</w:t>
                  </w:r>
                </w:p>
              </w:tc>
              <w:tc>
                <w:tcPr>
                  <w:tcW w:w="1749" w:type="dxa"/>
                </w:tcPr>
                <w:p w14:paraId="75EC52BF">
                  <w:pPr>
                    <w:pStyle w:val="42"/>
                  </w:pPr>
                  <w:r>
                    <w:rPr>
                      <w:rFonts w:hint="eastAsia"/>
                    </w:rPr>
                    <w:t>Ⅱ</w:t>
                  </w:r>
                </w:p>
              </w:tc>
              <w:tc>
                <w:tcPr>
                  <w:tcW w:w="1748" w:type="dxa"/>
                </w:tcPr>
                <w:p w14:paraId="062F70B6">
                  <w:pPr>
                    <w:pStyle w:val="42"/>
                  </w:pPr>
                  <w:r>
                    <w:rPr>
                      <w:rFonts w:hint="eastAsia"/>
                    </w:rPr>
                    <w:t>稀有种</w:t>
                  </w:r>
                </w:p>
              </w:tc>
            </w:tr>
            <w:tr w14:paraId="3931DC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85" w:type="dxa"/>
                </w:tcPr>
                <w:p w14:paraId="58D2FAC9">
                  <w:pPr>
                    <w:pStyle w:val="42"/>
                  </w:pPr>
                  <w:r>
                    <w:rPr>
                      <w:rFonts w:hint="eastAsia"/>
                    </w:rPr>
                    <w:t>水曲柳</w:t>
                  </w:r>
                </w:p>
              </w:tc>
              <w:tc>
                <w:tcPr>
                  <w:tcW w:w="2704" w:type="dxa"/>
                </w:tcPr>
                <w:p w14:paraId="30EBDA98">
                  <w:pPr>
                    <w:pStyle w:val="42"/>
                    <w:rPr>
                      <w:i/>
                      <w:iCs/>
                    </w:rPr>
                  </w:pPr>
                  <w:r>
                    <w:rPr>
                      <w:rFonts w:hint="eastAsia"/>
                      <w:i/>
                      <w:iCs/>
                    </w:rPr>
                    <w:t>Fraxinus mandshurica</w:t>
                  </w:r>
                </w:p>
              </w:tc>
              <w:tc>
                <w:tcPr>
                  <w:tcW w:w="1749" w:type="dxa"/>
                </w:tcPr>
                <w:p w14:paraId="632DD06F">
                  <w:pPr>
                    <w:pStyle w:val="42"/>
                  </w:pPr>
                  <w:r>
                    <w:rPr>
                      <w:rFonts w:hint="eastAsia"/>
                    </w:rPr>
                    <w:t>Ⅱ</w:t>
                  </w:r>
                </w:p>
              </w:tc>
              <w:tc>
                <w:tcPr>
                  <w:tcW w:w="1748" w:type="dxa"/>
                </w:tcPr>
                <w:p w14:paraId="6FA21CA5">
                  <w:pPr>
                    <w:pStyle w:val="42"/>
                  </w:pPr>
                  <w:r>
                    <w:rPr>
                      <w:rFonts w:hint="eastAsia"/>
                    </w:rPr>
                    <w:t>稀有种</w:t>
                  </w:r>
                </w:p>
              </w:tc>
            </w:tr>
          </w:tbl>
          <w:p w14:paraId="33120E65">
            <w:pPr>
              <w:spacing w:line="360" w:lineRule="auto"/>
              <w:ind w:firstLine="480" w:firstLineChars="200"/>
            </w:pPr>
          </w:p>
          <w:p w14:paraId="350CE8A4">
            <w:pPr>
              <w:spacing w:line="360" w:lineRule="auto"/>
              <w:ind w:firstLine="480" w:firstLineChars="200"/>
            </w:pPr>
            <w:r>
              <w:rPr>
                <w:rFonts w:hint="eastAsia"/>
              </w:rPr>
              <w:t>根据现场调查及走访当地林业部门，上述保护植物在区域内虽然没有成片的集中分布区，但在林区仍可见到，特别是红松在区域内分布比较广泛。本项目不占用林地，不涉及上述保护植物的砍伐、移栽等。</w:t>
            </w:r>
          </w:p>
          <w:p w14:paraId="4B45BBEF">
            <w:pPr>
              <w:spacing w:line="360" w:lineRule="auto"/>
              <w:ind w:firstLine="480" w:firstLineChars="200"/>
            </w:pPr>
            <w:r>
              <w:rPr>
                <w:rFonts w:hint="eastAsia"/>
              </w:rPr>
              <w:t>（2）陆生野生动物</w:t>
            </w:r>
          </w:p>
          <w:p w14:paraId="7B6D5A9E">
            <w:pPr>
              <w:spacing w:line="360" w:lineRule="auto"/>
              <w:ind w:firstLine="480" w:firstLineChars="200"/>
            </w:pPr>
            <w:r>
              <w:rPr>
                <w:rFonts w:hint="eastAsia"/>
              </w:rPr>
              <w:t>本次调查范围内的森林为野生动物提供了良好的栖息环境，历史上临江是吉林省野生动物分布比较集中的地区，分布种类多、数量大，由于人类长期对森林资源的索取，野生动物栖息地遭到很大破坏，加上滥捕滥猎，造成动物食物链的短缺和断裂，大型食肉类动物基本绝迹，杂食和草食动物还有一定分布，加上吉林省实行了十几年的野生动物禁猎政策，野生动物种群、数量近年来得到了一定恢复，但若要恢复到上个世纪八十年代初期的水平，尚需时日。拟建项目评价范围内林业生产活动比较频繁，陆生野生动物种类和数量下降明显。近些年由于禁猎的结果，林区内野猪、狍子、环颈雉、花尾榛鸡、东北兔松鼠、青鼬等数量开始明显增多。</w:t>
            </w:r>
          </w:p>
          <w:p w14:paraId="201A6F84">
            <w:pPr>
              <w:spacing w:line="360" w:lineRule="auto"/>
              <w:ind w:firstLine="480" w:firstLineChars="200"/>
            </w:pPr>
            <w:r>
              <w:rPr>
                <w:rFonts w:hint="eastAsia"/>
              </w:rPr>
              <w:t>6、水生生态</w:t>
            </w:r>
          </w:p>
          <w:p w14:paraId="44490C6C">
            <w:pPr>
              <w:spacing w:line="360" w:lineRule="auto"/>
              <w:ind w:firstLine="482" w:firstLineChars="200"/>
              <w:rPr>
                <w:b/>
                <w:bCs/>
                <w:u w:val="single"/>
              </w:rPr>
            </w:pPr>
            <w:r>
              <w:rPr>
                <w:rFonts w:hint="eastAsia"/>
                <w:b/>
                <w:bCs/>
                <w:u w:val="single"/>
              </w:rPr>
              <w:t>本次评价通过咨询当地渔业主管部门，结合现场调查、市场调查及现有资料查询（《东北地区重点水域渔业资源与环境调查（2020-2022年）》等相关材料），对项目所在区域水生生态鱼类情况进行调查。</w:t>
            </w:r>
          </w:p>
          <w:p w14:paraId="51894A7C">
            <w:pPr>
              <w:spacing w:line="360" w:lineRule="auto"/>
              <w:ind w:firstLine="480" w:firstLineChars="200"/>
            </w:pPr>
            <w:bookmarkStart w:id="6" w:name="_Hlk215583299"/>
            <w:r>
              <w:rPr>
                <w:rFonts w:hint="eastAsia"/>
              </w:rPr>
              <w:t>本项目所在流域的水生生态现状调查结果如下：</w:t>
            </w:r>
          </w:p>
          <w:p w14:paraId="56D6AA78">
            <w:pPr>
              <w:spacing w:line="360" w:lineRule="auto"/>
              <w:ind w:firstLine="480" w:firstLineChars="200"/>
            </w:pPr>
            <w:r>
              <w:rPr>
                <w:rFonts w:hint="eastAsia"/>
              </w:rPr>
              <w:t>（1）鱼类</w:t>
            </w:r>
          </w:p>
          <w:p w14:paraId="0BE7AD60">
            <w:pPr>
              <w:spacing w:line="360" w:lineRule="auto"/>
              <w:ind w:firstLine="480" w:firstLineChars="200"/>
            </w:pPr>
            <w:r>
              <w:rPr>
                <w:rFonts w:hint="eastAsia"/>
              </w:rPr>
              <w:t>①种类组成</w:t>
            </w:r>
          </w:p>
          <w:p w14:paraId="702B5D7C">
            <w:pPr>
              <w:spacing w:line="360" w:lineRule="auto"/>
              <w:ind w:firstLine="480" w:firstLineChars="200"/>
            </w:pPr>
            <w:r>
              <w:rPr>
                <w:rFonts w:hint="eastAsia"/>
              </w:rPr>
              <w:t>据资料记载及现场调查，鸭绿江临江段鱼类共计9目16科46种，其中鲤科鱼类25种，占54.3%；鲑科4种，占8.7%；鳅科、虾虎鱼科、沙塘鳢科各2种，分别占4.3%；七鳃鳗科、胡瓜鱼科、银鱼科、鲇科、鲿科、鳕科、青鳉科、合鳃鱼科、真鲈科、鳢科、杜父鱼科各1种，分别占2.2%。</w:t>
            </w:r>
          </w:p>
          <w:p w14:paraId="3324CC1C">
            <w:pPr>
              <w:spacing w:line="360" w:lineRule="auto"/>
              <w:ind w:firstLine="480" w:firstLineChars="200"/>
            </w:pPr>
          </w:p>
          <w:p w14:paraId="03517496">
            <w:pPr>
              <w:spacing w:line="360" w:lineRule="auto"/>
              <w:jc w:val="center"/>
              <w:rPr>
                <w:b/>
                <w:bCs/>
              </w:rPr>
            </w:pPr>
            <w:r>
              <w:rPr>
                <w:rFonts w:hint="eastAsia"/>
                <w:b/>
                <w:bCs/>
              </w:rPr>
              <w:t>表25      评价区江段鱼类一览表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970"/>
              <w:gridCol w:w="2528"/>
              <w:gridCol w:w="3387"/>
            </w:tblGrid>
            <w:tr w14:paraId="3CB6C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noWrap/>
                  <w:vAlign w:val="center"/>
                </w:tcPr>
                <w:p w14:paraId="4AB4383A">
                  <w:pPr>
                    <w:pStyle w:val="42"/>
                    <w:rPr>
                      <w:b/>
                      <w:bCs/>
                    </w:rPr>
                  </w:pPr>
                  <w:r>
                    <w:rPr>
                      <w:b/>
                      <w:bCs/>
                    </w:rPr>
                    <w:t>目</w:t>
                  </w:r>
                </w:p>
              </w:tc>
              <w:tc>
                <w:tcPr>
                  <w:tcW w:w="1603" w:type="pct"/>
                  <w:noWrap/>
                  <w:vAlign w:val="center"/>
                </w:tcPr>
                <w:p w14:paraId="7EDDE9CD">
                  <w:pPr>
                    <w:pStyle w:val="42"/>
                    <w:rPr>
                      <w:b/>
                      <w:bCs/>
                    </w:rPr>
                  </w:pPr>
                  <w:r>
                    <w:rPr>
                      <w:b/>
                      <w:bCs/>
                    </w:rPr>
                    <w:t>科</w:t>
                  </w:r>
                </w:p>
              </w:tc>
              <w:tc>
                <w:tcPr>
                  <w:tcW w:w="2148" w:type="pct"/>
                  <w:vAlign w:val="center"/>
                </w:tcPr>
                <w:p w14:paraId="225F4A6C">
                  <w:pPr>
                    <w:pStyle w:val="42"/>
                    <w:rPr>
                      <w:b/>
                      <w:bCs/>
                    </w:rPr>
                  </w:pPr>
                  <w:r>
                    <w:rPr>
                      <w:b/>
                      <w:bCs/>
                    </w:rPr>
                    <w:t>种类</w:t>
                  </w:r>
                </w:p>
              </w:tc>
            </w:tr>
            <w:tr w14:paraId="0B185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noWrap/>
                  <w:vAlign w:val="center"/>
                </w:tcPr>
                <w:p w14:paraId="588458CB">
                  <w:pPr>
                    <w:pStyle w:val="42"/>
                  </w:pPr>
                  <w:r>
                    <w:t xml:space="preserve">七鳃鳗目 </w:t>
                  </w:r>
                </w:p>
                <w:p w14:paraId="4B46448C">
                  <w:pPr>
                    <w:pStyle w:val="42"/>
                  </w:pPr>
                  <w:r>
                    <w:t>Petromyziniformes</w:t>
                  </w:r>
                </w:p>
              </w:tc>
              <w:tc>
                <w:tcPr>
                  <w:tcW w:w="1603" w:type="pct"/>
                  <w:noWrap/>
                  <w:vAlign w:val="center"/>
                </w:tcPr>
                <w:p w14:paraId="61C087A6">
                  <w:pPr>
                    <w:pStyle w:val="42"/>
                    <w:rPr>
                      <w:lang w:eastAsia="en-US"/>
                    </w:rPr>
                  </w:pPr>
                  <w:r>
                    <w:t>七鳃鳗科</w:t>
                  </w:r>
                </w:p>
                <w:p w14:paraId="3220CE83">
                  <w:pPr>
                    <w:pStyle w:val="42"/>
                    <w:rPr>
                      <w:lang w:eastAsia="en-US"/>
                    </w:rPr>
                  </w:pPr>
                  <w:r>
                    <w:t xml:space="preserve">Petromyzontidae  </w:t>
                  </w:r>
                </w:p>
              </w:tc>
              <w:tc>
                <w:tcPr>
                  <w:tcW w:w="2148" w:type="pct"/>
                  <w:vAlign w:val="center"/>
                </w:tcPr>
                <w:p w14:paraId="2F9F3DF3">
                  <w:pPr>
                    <w:pStyle w:val="42"/>
                    <w:rPr>
                      <w:i/>
                      <w:iCs/>
                      <w:lang w:eastAsia="en-US"/>
                    </w:rPr>
                  </w:pPr>
                  <w:r>
                    <w:t>东北七鳃鳗</w:t>
                  </w:r>
                  <w:r>
                    <w:rPr>
                      <w:i/>
                      <w:iCs/>
                    </w:rPr>
                    <w:t>Eudontomyzon morii</w:t>
                  </w:r>
                </w:p>
              </w:tc>
            </w:tr>
            <w:tr w14:paraId="399E3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restart"/>
                  <w:noWrap/>
                  <w:vAlign w:val="center"/>
                </w:tcPr>
                <w:p w14:paraId="409826AB">
                  <w:pPr>
                    <w:pStyle w:val="42"/>
                  </w:pPr>
                  <w:r>
                    <w:t>鲑形目</w:t>
                  </w:r>
                </w:p>
                <w:p w14:paraId="28104E08">
                  <w:pPr>
                    <w:pStyle w:val="42"/>
                  </w:pPr>
                  <w:r>
                    <w:t>Salmoniformes</w:t>
                  </w:r>
                </w:p>
              </w:tc>
              <w:tc>
                <w:tcPr>
                  <w:tcW w:w="1603" w:type="pct"/>
                  <w:vMerge w:val="restart"/>
                  <w:noWrap/>
                  <w:vAlign w:val="center"/>
                </w:tcPr>
                <w:p w14:paraId="148E4F91">
                  <w:pPr>
                    <w:pStyle w:val="42"/>
                    <w:rPr>
                      <w:lang w:eastAsia="en-US"/>
                    </w:rPr>
                  </w:pPr>
                  <w:r>
                    <w:t xml:space="preserve">鲑科 Salmoniformes       </w:t>
                  </w:r>
                </w:p>
              </w:tc>
              <w:tc>
                <w:tcPr>
                  <w:tcW w:w="2148" w:type="pct"/>
                  <w:vAlign w:val="center"/>
                </w:tcPr>
                <w:p w14:paraId="328F2C2B">
                  <w:pPr>
                    <w:pStyle w:val="42"/>
                    <w:rPr>
                      <w:i/>
                      <w:iCs/>
                      <w:lang w:eastAsia="en-US"/>
                    </w:rPr>
                  </w:pPr>
                  <w:r>
                    <w:rPr>
                      <w:i/>
                      <w:iCs/>
                    </w:rPr>
                    <w:t>花羔红点鲑Salvelinus malma</w:t>
                  </w:r>
                </w:p>
              </w:tc>
            </w:tr>
            <w:tr w14:paraId="4A70B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05372D6D">
                  <w:pPr>
                    <w:pStyle w:val="42"/>
                  </w:pPr>
                </w:p>
              </w:tc>
              <w:tc>
                <w:tcPr>
                  <w:tcW w:w="1603" w:type="pct"/>
                  <w:vMerge w:val="continue"/>
                  <w:noWrap/>
                  <w:vAlign w:val="center"/>
                </w:tcPr>
                <w:p w14:paraId="30D6672B">
                  <w:pPr>
                    <w:pStyle w:val="42"/>
                  </w:pPr>
                </w:p>
              </w:tc>
              <w:tc>
                <w:tcPr>
                  <w:tcW w:w="2148" w:type="pct"/>
                  <w:vAlign w:val="center"/>
                </w:tcPr>
                <w:p w14:paraId="2C40BBC8">
                  <w:pPr>
                    <w:pStyle w:val="42"/>
                    <w:rPr>
                      <w:i/>
                      <w:iCs/>
                      <w:lang w:eastAsia="en-US"/>
                    </w:rPr>
                  </w:pPr>
                  <w:r>
                    <w:rPr>
                      <w:rFonts w:hint="eastAsia"/>
                      <w:i/>
                      <w:iCs/>
                    </w:rPr>
                    <w:t>石川氏哲罗鱼</w:t>
                  </w:r>
                  <w:r>
                    <w:rPr>
                      <w:i/>
                      <w:iCs/>
                    </w:rPr>
                    <w:t>Hucho ishikawae</w:t>
                  </w:r>
                </w:p>
              </w:tc>
            </w:tr>
            <w:tr w14:paraId="69D41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60EA4BC2">
                  <w:pPr>
                    <w:pStyle w:val="42"/>
                  </w:pPr>
                </w:p>
              </w:tc>
              <w:tc>
                <w:tcPr>
                  <w:tcW w:w="1603" w:type="pct"/>
                  <w:vMerge w:val="continue"/>
                  <w:noWrap/>
                  <w:vAlign w:val="center"/>
                </w:tcPr>
                <w:p w14:paraId="17693A4E">
                  <w:pPr>
                    <w:pStyle w:val="42"/>
                  </w:pPr>
                </w:p>
              </w:tc>
              <w:tc>
                <w:tcPr>
                  <w:tcW w:w="2148" w:type="pct"/>
                  <w:vAlign w:val="center"/>
                </w:tcPr>
                <w:p w14:paraId="3AEE7A3C">
                  <w:pPr>
                    <w:pStyle w:val="42"/>
                    <w:rPr>
                      <w:i/>
                      <w:iCs/>
                      <w:lang w:eastAsia="en-US"/>
                    </w:rPr>
                  </w:pPr>
                  <w:r>
                    <w:rPr>
                      <w:rFonts w:hint="eastAsia"/>
                      <w:i/>
                      <w:iCs/>
                    </w:rPr>
                    <w:t>细鳞鱼</w:t>
                  </w:r>
                  <w:r>
                    <w:rPr>
                      <w:i/>
                      <w:iCs/>
                    </w:rPr>
                    <w:t>Brachymystax lenok</w:t>
                  </w:r>
                </w:p>
              </w:tc>
            </w:tr>
            <w:tr w14:paraId="1D953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087404BD">
                  <w:pPr>
                    <w:pStyle w:val="42"/>
                  </w:pPr>
                </w:p>
              </w:tc>
              <w:tc>
                <w:tcPr>
                  <w:tcW w:w="1603" w:type="pct"/>
                  <w:vMerge w:val="continue"/>
                  <w:noWrap/>
                  <w:vAlign w:val="center"/>
                </w:tcPr>
                <w:p w14:paraId="65E684A0">
                  <w:pPr>
                    <w:pStyle w:val="42"/>
                  </w:pPr>
                </w:p>
              </w:tc>
              <w:tc>
                <w:tcPr>
                  <w:tcW w:w="2148" w:type="pct"/>
                  <w:vAlign w:val="center"/>
                </w:tcPr>
                <w:p w14:paraId="577AD048">
                  <w:pPr>
                    <w:pStyle w:val="42"/>
                    <w:rPr>
                      <w:i/>
                      <w:iCs/>
                      <w:lang w:eastAsia="en-US"/>
                    </w:rPr>
                  </w:pPr>
                  <w:r>
                    <w:rPr>
                      <w:rFonts w:hint="eastAsia"/>
                      <w:i/>
                      <w:iCs/>
                    </w:rPr>
                    <w:t>鸭绿江茴鱼</w:t>
                  </w:r>
                  <w:r>
                    <w:rPr>
                      <w:i/>
                      <w:iCs/>
                    </w:rPr>
                    <w:t>Thymallus arcticus yaluensis</w:t>
                  </w:r>
                </w:p>
              </w:tc>
            </w:tr>
            <w:tr w14:paraId="0A1C5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FADD2AB">
                  <w:pPr>
                    <w:pStyle w:val="42"/>
                  </w:pPr>
                </w:p>
              </w:tc>
              <w:tc>
                <w:tcPr>
                  <w:tcW w:w="1603" w:type="pct"/>
                  <w:noWrap/>
                  <w:vAlign w:val="center"/>
                </w:tcPr>
                <w:p w14:paraId="4A77E1EE">
                  <w:pPr>
                    <w:pStyle w:val="42"/>
                    <w:rPr>
                      <w:lang w:eastAsia="en-US"/>
                    </w:rPr>
                  </w:pPr>
                  <w:r>
                    <w:rPr>
                      <w:rFonts w:hint="eastAsia"/>
                    </w:rPr>
                    <w:t>胡瓜鱼科</w:t>
                  </w:r>
                  <w:r>
                    <w:t xml:space="preserve"> Osmeridae      </w:t>
                  </w:r>
                </w:p>
              </w:tc>
              <w:tc>
                <w:tcPr>
                  <w:tcW w:w="2148" w:type="pct"/>
                  <w:vAlign w:val="center"/>
                </w:tcPr>
                <w:p w14:paraId="74235261">
                  <w:pPr>
                    <w:pStyle w:val="42"/>
                    <w:rPr>
                      <w:i/>
                      <w:iCs/>
                      <w:lang w:eastAsia="en-US"/>
                    </w:rPr>
                  </w:pPr>
                  <w:r>
                    <w:rPr>
                      <w:rFonts w:hint="eastAsia"/>
                      <w:i/>
                      <w:iCs/>
                    </w:rPr>
                    <w:t>亚洲公鱼</w:t>
                  </w:r>
                  <w:r>
                    <w:rPr>
                      <w:i/>
                      <w:iCs/>
                    </w:rPr>
                    <w:t>Hypomesus nipponensis</w:t>
                  </w:r>
                </w:p>
              </w:tc>
            </w:tr>
            <w:tr w14:paraId="36FBE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CE1FA8C">
                  <w:pPr>
                    <w:pStyle w:val="42"/>
                  </w:pPr>
                </w:p>
              </w:tc>
              <w:tc>
                <w:tcPr>
                  <w:tcW w:w="1603" w:type="pct"/>
                  <w:noWrap/>
                  <w:vAlign w:val="center"/>
                </w:tcPr>
                <w:p w14:paraId="0455D815">
                  <w:pPr>
                    <w:pStyle w:val="42"/>
                    <w:rPr>
                      <w:lang w:eastAsia="en-US"/>
                    </w:rPr>
                  </w:pPr>
                  <w:r>
                    <w:rPr>
                      <w:rFonts w:hint="eastAsia"/>
                    </w:rPr>
                    <w:t>银鱼科</w:t>
                  </w:r>
                  <w:r>
                    <w:t xml:space="preserve"> Salangidae         </w:t>
                  </w:r>
                </w:p>
              </w:tc>
              <w:tc>
                <w:tcPr>
                  <w:tcW w:w="2148" w:type="pct"/>
                  <w:vAlign w:val="center"/>
                </w:tcPr>
                <w:p w14:paraId="6C4F3D9F">
                  <w:pPr>
                    <w:pStyle w:val="42"/>
                    <w:rPr>
                      <w:i/>
                      <w:iCs/>
                      <w:lang w:eastAsia="en-US"/>
                    </w:rPr>
                  </w:pPr>
                  <w:r>
                    <w:rPr>
                      <w:rFonts w:hint="eastAsia"/>
                      <w:i/>
                      <w:iCs/>
                    </w:rPr>
                    <w:t>大银鱼</w:t>
                  </w:r>
                  <w:r>
                    <w:rPr>
                      <w:i/>
                      <w:iCs/>
                    </w:rPr>
                    <w:t>Protosalanx hyalocranius</w:t>
                  </w:r>
                </w:p>
              </w:tc>
            </w:tr>
            <w:tr w14:paraId="413A3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restart"/>
                  <w:noWrap/>
                  <w:vAlign w:val="center"/>
                </w:tcPr>
                <w:p w14:paraId="799D9EA6">
                  <w:pPr>
                    <w:pStyle w:val="42"/>
                  </w:pPr>
                  <w:r>
                    <w:t>鲤形目</w:t>
                  </w:r>
                </w:p>
                <w:p w14:paraId="2EDC3427">
                  <w:pPr>
                    <w:pStyle w:val="42"/>
                  </w:pPr>
                  <w:r>
                    <w:t>Cypriniformes　</w:t>
                  </w:r>
                </w:p>
              </w:tc>
              <w:tc>
                <w:tcPr>
                  <w:tcW w:w="1603" w:type="pct"/>
                  <w:vMerge w:val="restart"/>
                  <w:noWrap/>
                  <w:vAlign w:val="center"/>
                </w:tcPr>
                <w:p w14:paraId="50C97ABB">
                  <w:pPr>
                    <w:pStyle w:val="42"/>
                    <w:rPr>
                      <w:lang w:eastAsia="en-US"/>
                    </w:rPr>
                  </w:pPr>
                  <w:r>
                    <w:t xml:space="preserve">鲤科 Cyprinidae    </w:t>
                  </w:r>
                </w:p>
              </w:tc>
              <w:tc>
                <w:tcPr>
                  <w:tcW w:w="2148" w:type="pct"/>
                  <w:vAlign w:val="center"/>
                </w:tcPr>
                <w:p w14:paraId="5C764B79">
                  <w:pPr>
                    <w:pStyle w:val="42"/>
                    <w:rPr>
                      <w:i/>
                      <w:iCs/>
                      <w:lang w:eastAsia="en-US"/>
                    </w:rPr>
                  </w:pPr>
                  <w:r>
                    <w:rPr>
                      <w:i/>
                      <w:iCs/>
                    </w:rPr>
                    <w:t>马口鱼Opsariichthys bidens</w:t>
                  </w:r>
                </w:p>
              </w:tc>
            </w:tr>
            <w:tr w14:paraId="5EEFF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272AFD4">
                  <w:pPr>
                    <w:pStyle w:val="42"/>
                  </w:pPr>
                </w:p>
              </w:tc>
              <w:tc>
                <w:tcPr>
                  <w:tcW w:w="1603" w:type="pct"/>
                  <w:vMerge w:val="continue"/>
                  <w:noWrap/>
                  <w:vAlign w:val="center"/>
                </w:tcPr>
                <w:p w14:paraId="34D05A04">
                  <w:pPr>
                    <w:pStyle w:val="42"/>
                  </w:pPr>
                </w:p>
              </w:tc>
              <w:tc>
                <w:tcPr>
                  <w:tcW w:w="2148" w:type="pct"/>
                  <w:vAlign w:val="center"/>
                </w:tcPr>
                <w:p w14:paraId="381A2AFD">
                  <w:pPr>
                    <w:pStyle w:val="42"/>
                    <w:rPr>
                      <w:i/>
                      <w:iCs/>
                      <w:lang w:eastAsia="en-US"/>
                    </w:rPr>
                  </w:pPr>
                  <w:r>
                    <w:rPr>
                      <w:rFonts w:hint="eastAsia"/>
                      <w:i/>
                      <w:iCs/>
                    </w:rPr>
                    <w:t>宽鳍鱲</w:t>
                  </w:r>
                  <w:r>
                    <w:rPr>
                      <w:i/>
                      <w:iCs/>
                    </w:rPr>
                    <w:t xml:space="preserve"> Zacco platypus </w:t>
                  </w:r>
                </w:p>
              </w:tc>
            </w:tr>
            <w:tr w14:paraId="63496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36C0A374">
                  <w:pPr>
                    <w:pStyle w:val="42"/>
                  </w:pPr>
                </w:p>
              </w:tc>
              <w:tc>
                <w:tcPr>
                  <w:tcW w:w="1603" w:type="pct"/>
                  <w:vMerge w:val="continue"/>
                  <w:noWrap/>
                  <w:vAlign w:val="center"/>
                </w:tcPr>
                <w:p w14:paraId="174B5D7A">
                  <w:pPr>
                    <w:pStyle w:val="42"/>
                  </w:pPr>
                </w:p>
              </w:tc>
              <w:tc>
                <w:tcPr>
                  <w:tcW w:w="2148" w:type="pct"/>
                  <w:vAlign w:val="center"/>
                </w:tcPr>
                <w:p w14:paraId="414DDDF9">
                  <w:pPr>
                    <w:pStyle w:val="42"/>
                    <w:rPr>
                      <w:i/>
                      <w:iCs/>
                      <w:lang w:eastAsia="en-US"/>
                    </w:rPr>
                  </w:pPr>
                  <w:r>
                    <w:rPr>
                      <w:rFonts w:hint="eastAsia"/>
                      <w:i/>
                      <w:iCs/>
                    </w:rPr>
                    <w:t>扁吻鮈</w:t>
                  </w:r>
                  <w:r>
                    <w:rPr>
                      <w:i/>
                      <w:iCs/>
                    </w:rPr>
                    <w:t>Pungtungia herzi</w:t>
                  </w:r>
                </w:p>
              </w:tc>
            </w:tr>
            <w:tr w14:paraId="03C0C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12CDA850">
                  <w:pPr>
                    <w:pStyle w:val="42"/>
                  </w:pPr>
                </w:p>
              </w:tc>
              <w:tc>
                <w:tcPr>
                  <w:tcW w:w="1603" w:type="pct"/>
                  <w:vMerge w:val="continue"/>
                  <w:noWrap/>
                  <w:vAlign w:val="center"/>
                </w:tcPr>
                <w:p w14:paraId="76BEB7B6">
                  <w:pPr>
                    <w:pStyle w:val="42"/>
                  </w:pPr>
                </w:p>
              </w:tc>
              <w:tc>
                <w:tcPr>
                  <w:tcW w:w="2148" w:type="pct"/>
                  <w:vAlign w:val="center"/>
                </w:tcPr>
                <w:p w14:paraId="0D9AB93B">
                  <w:pPr>
                    <w:pStyle w:val="42"/>
                    <w:rPr>
                      <w:i/>
                      <w:iCs/>
                      <w:lang w:eastAsia="en-US"/>
                    </w:rPr>
                  </w:pPr>
                  <w:r>
                    <w:rPr>
                      <w:rFonts w:hint="eastAsia"/>
                      <w:i/>
                      <w:iCs/>
                    </w:rPr>
                    <w:t>青鱼</w:t>
                  </w:r>
                  <w:r>
                    <w:rPr>
                      <w:i/>
                      <w:iCs/>
                    </w:rPr>
                    <w:t>Mylopharyngodon piceus</w:t>
                  </w:r>
                </w:p>
              </w:tc>
            </w:tr>
            <w:tr w14:paraId="4ED1C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158C13F0">
                  <w:pPr>
                    <w:pStyle w:val="42"/>
                  </w:pPr>
                </w:p>
              </w:tc>
              <w:tc>
                <w:tcPr>
                  <w:tcW w:w="1603" w:type="pct"/>
                  <w:vMerge w:val="continue"/>
                  <w:noWrap/>
                  <w:vAlign w:val="center"/>
                </w:tcPr>
                <w:p w14:paraId="39E5A632">
                  <w:pPr>
                    <w:pStyle w:val="42"/>
                  </w:pPr>
                </w:p>
              </w:tc>
              <w:tc>
                <w:tcPr>
                  <w:tcW w:w="2148" w:type="pct"/>
                  <w:vAlign w:val="center"/>
                </w:tcPr>
                <w:p w14:paraId="3A2594FF">
                  <w:pPr>
                    <w:pStyle w:val="42"/>
                    <w:rPr>
                      <w:i/>
                      <w:iCs/>
                      <w:lang w:eastAsia="en-US"/>
                    </w:rPr>
                  </w:pPr>
                  <w:r>
                    <w:rPr>
                      <w:rFonts w:hint="eastAsia"/>
                      <w:i/>
                      <w:iCs/>
                    </w:rPr>
                    <w:t>草鱼</w:t>
                  </w:r>
                  <w:r>
                    <w:rPr>
                      <w:i/>
                      <w:iCs/>
                    </w:rPr>
                    <w:t>Ctenopharyngodon idella</w:t>
                  </w:r>
                </w:p>
              </w:tc>
            </w:tr>
            <w:tr w14:paraId="3B200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6041BB7A">
                  <w:pPr>
                    <w:pStyle w:val="42"/>
                  </w:pPr>
                </w:p>
              </w:tc>
              <w:tc>
                <w:tcPr>
                  <w:tcW w:w="1603" w:type="pct"/>
                  <w:vMerge w:val="continue"/>
                  <w:noWrap/>
                  <w:vAlign w:val="center"/>
                </w:tcPr>
                <w:p w14:paraId="54C22397">
                  <w:pPr>
                    <w:pStyle w:val="42"/>
                  </w:pPr>
                </w:p>
              </w:tc>
              <w:tc>
                <w:tcPr>
                  <w:tcW w:w="2148" w:type="pct"/>
                  <w:vAlign w:val="center"/>
                </w:tcPr>
                <w:p w14:paraId="36DC43C1">
                  <w:pPr>
                    <w:pStyle w:val="42"/>
                    <w:rPr>
                      <w:i/>
                      <w:iCs/>
                      <w:lang w:eastAsia="en-US"/>
                    </w:rPr>
                  </w:pPr>
                  <w:r>
                    <w:rPr>
                      <w:rFonts w:hint="eastAsia"/>
                      <w:i/>
                      <w:iCs/>
                    </w:rPr>
                    <w:t>洛氏鱥</w:t>
                  </w:r>
                  <w:r>
                    <w:rPr>
                      <w:i/>
                      <w:iCs/>
                    </w:rPr>
                    <w:t xml:space="preserve"> Rhynchocypris lagowskii</w:t>
                  </w:r>
                </w:p>
              </w:tc>
            </w:tr>
            <w:tr w14:paraId="7CF5A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577FAB48">
                  <w:pPr>
                    <w:pStyle w:val="42"/>
                  </w:pPr>
                </w:p>
              </w:tc>
              <w:tc>
                <w:tcPr>
                  <w:tcW w:w="1603" w:type="pct"/>
                  <w:vMerge w:val="continue"/>
                  <w:noWrap/>
                  <w:vAlign w:val="center"/>
                </w:tcPr>
                <w:p w14:paraId="57DAC4F1">
                  <w:pPr>
                    <w:pStyle w:val="42"/>
                  </w:pPr>
                </w:p>
              </w:tc>
              <w:tc>
                <w:tcPr>
                  <w:tcW w:w="2148" w:type="pct"/>
                  <w:vAlign w:val="center"/>
                </w:tcPr>
                <w:p w14:paraId="7EC23EF1">
                  <w:pPr>
                    <w:pStyle w:val="42"/>
                    <w:rPr>
                      <w:i/>
                      <w:iCs/>
                      <w:lang w:eastAsia="en-US"/>
                    </w:rPr>
                  </w:pPr>
                  <w:r>
                    <w:rPr>
                      <w:rFonts w:hint="eastAsia"/>
                      <w:i/>
                      <w:iCs/>
                    </w:rPr>
                    <w:t>湖鱥</w:t>
                  </w:r>
                  <w:r>
                    <w:rPr>
                      <w:i/>
                      <w:iCs/>
                    </w:rPr>
                    <w:t>Rhynchocypris percnurus</w:t>
                  </w:r>
                </w:p>
              </w:tc>
            </w:tr>
            <w:tr w14:paraId="72CB6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7B767ED">
                  <w:pPr>
                    <w:pStyle w:val="42"/>
                  </w:pPr>
                </w:p>
              </w:tc>
              <w:tc>
                <w:tcPr>
                  <w:tcW w:w="1603" w:type="pct"/>
                  <w:vMerge w:val="continue"/>
                  <w:noWrap/>
                  <w:vAlign w:val="center"/>
                </w:tcPr>
                <w:p w14:paraId="521AD96C">
                  <w:pPr>
                    <w:pStyle w:val="42"/>
                  </w:pPr>
                </w:p>
              </w:tc>
              <w:tc>
                <w:tcPr>
                  <w:tcW w:w="2148" w:type="pct"/>
                  <w:vAlign w:val="center"/>
                </w:tcPr>
                <w:p w14:paraId="6B13D47B">
                  <w:pPr>
                    <w:pStyle w:val="42"/>
                    <w:rPr>
                      <w:i/>
                      <w:iCs/>
                      <w:lang w:eastAsia="en-US"/>
                    </w:rPr>
                  </w:pPr>
                  <w:r>
                    <w:rPr>
                      <w:rFonts w:hint="eastAsia"/>
                      <w:i/>
                      <w:iCs/>
                    </w:rPr>
                    <w:t>瓦氏雅罗鱼</w:t>
                  </w:r>
                  <w:r>
                    <w:rPr>
                      <w:i/>
                      <w:iCs/>
                    </w:rPr>
                    <w:t>Leuciscus waleckii waleckii</w:t>
                  </w:r>
                </w:p>
              </w:tc>
            </w:tr>
            <w:tr w14:paraId="1B80F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F59FEEF">
                  <w:pPr>
                    <w:pStyle w:val="42"/>
                  </w:pPr>
                </w:p>
              </w:tc>
              <w:tc>
                <w:tcPr>
                  <w:tcW w:w="1603" w:type="pct"/>
                  <w:vMerge w:val="continue"/>
                  <w:noWrap/>
                  <w:vAlign w:val="center"/>
                </w:tcPr>
                <w:p w14:paraId="3A960FD6">
                  <w:pPr>
                    <w:pStyle w:val="42"/>
                  </w:pPr>
                </w:p>
              </w:tc>
              <w:tc>
                <w:tcPr>
                  <w:tcW w:w="2148" w:type="pct"/>
                  <w:noWrap/>
                  <w:vAlign w:val="bottom"/>
                </w:tcPr>
                <w:p w14:paraId="29EA45B5">
                  <w:pPr>
                    <w:pStyle w:val="42"/>
                    <w:rPr>
                      <w:i/>
                      <w:iCs/>
                    </w:rPr>
                  </w:pPr>
                  <w:r>
                    <w:rPr>
                      <w:rFonts w:hint="eastAsia"/>
                      <w:i/>
                      <w:iCs/>
                    </w:rPr>
                    <w:t>䱗</w:t>
                  </w:r>
                  <w:r>
                    <w:rPr>
                      <w:i/>
                      <w:iCs/>
                    </w:rPr>
                    <w:t>Hemiculter leucisculus</w:t>
                  </w:r>
                </w:p>
              </w:tc>
            </w:tr>
            <w:tr w14:paraId="02722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3D867D2A">
                  <w:pPr>
                    <w:pStyle w:val="42"/>
                  </w:pPr>
                </w:p>
              </w:tc>
              <w:tc>
                <w:tcPr>
                  <w:tcW w:w="1603" w:type="pct"/>
                  <w:vMerge w:val="continue"/>
                  <w:noWrap/>
                  <w:vAlign w:val="center"/>
                </w:tcPr>
                <w:p w14:paraId="6B7C7931">
                  <w:pPr>
                    <w:pStyle w:val="42"/>
                  </w:pPr>
                </w:p>
              </w:tc>
              <w:tc>
                <w:tcPr>
                  <w:tcW w:w="2148" w:type="pct"/>
                  <w:vAlign w:val="center"/>
                </w:tcPr>
                <w:p w14:paraId="21422AD7">
                  <w:pPr>
                    <w:pStyle w:val="42"/>
                    <w:rPr>
                      <w:i/>
                      <w:iCs/>
                      <w:lang w:eastAsia="en-US"/>
                    </w:rPr>
                  </w:pPr>
                  <w:r>
                    <w:rPr>
                      <w:rFonts w:hint="eastAsia"/>
                      <w:i/>
                      <w:iCs/>
                    </w:rPr>
                    <w:t>鳊</w:t>
                  </w:r>
                  <w:r>
                    <w:rPr>
                      <w:i/>
                      <w:iCs/>
                    </w:rPr>
                    <w:t xml:space="preserve"> Parabramis pekinensis</w:t>
                  </w:r>
                </w:p>
              </w:tc>
            </w:tr>
            <w:tr w14:paraId="03E41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1120162">
                  <w:pPr>
                    <w:pStyle w:val="42"/>
                  </w:pPr>
                </w:p>
              </w:tc>
              <w:tc>
                <w:tcPr>
                  <w:tcW w:w="1603" w:type="pct"/>
                  <w:vMerge w:val="continue"/>
                  <w:noWrap/>
                  <w:vAlign w:val="center"/>
                </w:tcPr>
                <w:p w14:paraId="5ACC120D">
                  <w:pPr>
                    <w:pStyle w:val="42"/>
                  </w:pPr>
                </w:p>
              </w:tc>
              <w:tc>
                <w:tcPr>
                  <w:tcW w:w="2148" w:type="pct"/>
                  <w:vAlign w:val="center"/>
                </w:tcPr>
                <w:p w14:paraId="61DD5A75">
                  <w:pPr>
                    <w:pStyle w:val="42"/>
                    <w:rPr>
                      <w:i/>
                      <w:iCs/>
                      <w:lang w:eastAsia="en-US"/>
                    </w:rPr>
                  </w:pPr>
                  <w:r>
                    <w:rPr>
                      <w:rFonts w:hint="eastAsia"/>
                      <w:i/>
                      <w:iCs/>
                    </w:rPr>
                    <w:t>黑龙江鰟鲏</w:t>
                  </w:r>
                  <w:r>
                    <w:rPr>
                      <w:i/>
                      <w:iCs/>
                    </w:rPr>
                    <w:t xml:space="preserve"> Rhodeus amurensis</w:t>
                  </w:r>
                </w:p>
              </w:tc>
            </w:tr>
            <w:tr w14:paraId="1D7C6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61435640">
                  <w:pPr>
                    <w:pStyle w:val="42"/>
                  </w:pPr>
                </w:p>
              </w:tc>
              <w:tc>
                <w:tcPr>
                  <w:tcW w:w="1603" w:type="pct"/>
                  <w:vMerge w:val="continue"/>
                  <w:noWrap/>
                  <w:vAlign w:val="center"/>
                </w:tcPr>
                <w:p w14:paraId="6F50B6F4">
                  <w:pPr>
                    <w:pStyle w:val="42"/>
                  </w:pPr>
                </w:p>
              </w:tc>
              <w:tc>
                <w:tcPr>
                  <w:tcW w:w="2148" w:type="pct"/>
                  <w:vAlign w:val="center"/>
                </w:tcPr>
                <w:p w14:paraId="0687A974">
                  <w:pPr>
                    <w:pStyle w:val="42"/>
                    <w:rPr>
                      <w:i/>
                      <w:iCs/>
                      <w:lang w:eastAsia="en-US"/>
                    </w:rPr>
                  </w:pPr>
                  <w:r>
                    <w:rPr>
                      <w:rFonts w:hint="eastAsia"/>
                      <w:i/>
                      <w:iCs/>
                    </w:rPr>
                    <w:t>大鳍鱊</w:t>
                  </w:r>
                  <w:r>
                    <w:rPr>
                      <w:i/>
                      <w:iCs/>
                    </w:rPr>
                    <w:t xml:space="preserve">Acheilognathus macropterus </w:t>
                  </w:r>
                </w:p>
              </w:tc>
            </w:tr>
            <w:tr w14:paraId="660D7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49CF6436">
                  <w:pPr>
                    <w:pStyle w:val="42"/>
                  </w:pPr>
                </w:p>
              </w:tc>
              <w:tc>
                <w:tcPr>
                  <w:tcW w:w="1603" w:type="pct"/>
                  <w:vMerge w:val="continue"/>
                  <w:noWrap/>
                  <w:vAlign w:val="center"/>
                </w:tcPr>
                <w:p w14:paraId="3444411D">
                  <w:pPr>
                    <w:pStyle w:val="42"/>
                  </w:pPr>
                </w:p>
              </w:tc>
              <w:tc>
                <w:tcPr>
                  <w:tcW w:w="2148" w:type="pct"/>
                  <w:vAlign w:val="center"/>
                </w:tcPr>
                <w:p w14:paraId="3982B2AD">
                  <w:pPr>
                    <w:pStyle w:val="42"/>
                    <w:rPr>
                      <w:i/>
                      <w:iCs/>
                      <w:lang w:eastAsia="en-US"/>
                    </w:rPr>
                  </w:pPr>
                  <w:r>
                    <w:rPr>
                      <w:rFonts w:hint="eastAsia"/>
                      <w:i/>
                      <w:iCs/>
                    </w:rPr>
                    <w:t>黑鳍鳈</w:t>
                  </w:r>
                  <w:r>
                    <w:rPr>
                      <w:i/>
                      <w:iCs/>
                    </w:rPr>
                    <w:t>Sarcocheilichthys nigripinnis</w:t>
                  </w:r>
                </w:p>
              </w:tc>
            </w:tr>
            <w:tr w14:paraId="2E025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2DEAD320">
                  <w:pPr>
                    <w:pStyle w:val="42"/>
                  </w:pPr>
                </w:p>
              </w:tc>
              <w:tc>
                <w:tcPr>
                  <w:tcW w:w="1603" w:type="pct"/>
                  <w:vMerge w:val="continue"/>
                  <w:noWrap/>
                  <w:vAlign w:val="center"/>
                </w:tcPr>
                <w:p w14:paraId="24B24AD1">
                  <w:pPr>
                    <w:pStyle w:val="42"/>
                  </w:pPr>
                </w:p>
              </w:tc>
              <w:tc>
                <w:tcPr>
                  <w:tcW w:w="2148" w:type="pct"/>
                  <w:vAlign w:val="center"/>
                </w:tcPr>
                <w:p w14:paraId="66ED05BF">
                  <w:pPr>
                    <w:pStyle w:val="42"/>
                    <w:rPr>
                      <w:i/>
                      <w:iCs/>
                      <w:lang w:eastAsia="en-US"/>
                    </w:rPr>
                  </w:pPr>
                  <w:r>
                    <w:rPr>
                      <w:rFonts w:hint="eastAsia"/>
                      <w:i/>
                      <w:iCs/>
                    </w:rPr>
                    <w:t>唇䱻</w:t>
                  </w:r>
                  <w:r>
                    <w:rPr>
                      <w:i/>
                      <w:iCs/>
                    </w:rPr>
                    <w:t>Hemibarbus labeo</w:t>
                  </w:r>
                </w:p>
              </w:tc>
            </w:tr>
            <w:tr w14:paraId="1967A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2AEBCD77">
                  <w:pPr>
                    <w:pStyle w:val="42"/>
                  </w:pPr>
                </w:p>
              </w:tc>
              <w:tc>
                <w:tcPr>
                  <w:tcW w:w="1603" w:type="pct"/>
                  <w:vMerge w:val="continue"/>
                  <w:noWrap/>
                  <w:vAlign w:val="center"/>
                </w:tcPr>
                <w:p w14:paraId="33361ABC">
                  <w:pPr>
                    <w:pStyle w:val="42"/>
                  </w:pPr>
                </w:p>
              </w:tc>
              <w:tc>
                <w:tcPr>
                  <w:tcW w:w="2148" w:type="pct"/>
                  <w:vAlign w:val="center"/>
                </w:tcPr>
                <w:p w14:paraId="3DAC633B">
                  <w:pPr>
                    <w:pStyle w:val="42"/>
                    <w:rPr>
                      <w:i/>
                      <w:iCs/>
                      <w:lang w:eastAsia="en-US"/>
                    </w:rPr>
                  </w:pPr>
                  <w:r>
                    <w:rPr>
                      <w:rFonts w:hint="eastAsia"/>
                      <w:i/>
                      <w:iCs/>
                    </w:rPr>
                    <w:t>花䱻</w:t>
                  </w:r>
                  <w:r>
                    <w:rPr>
                      <w:i/>
                      <w:iCs/>
                    </w:rPr>
                    <w:t>Hemibarbus maculatus</w:t>
                  </w:r>
                </w:p>
              </w:tc>
            </w:tr>
            <w:tr w14:paraId="4197F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39504FDC">
                  <w:pPr>
                    <w:pStyle w:val="42"/>
                  </w:pPr>
                </w:p>
              </w:tc>
              <w:tc>
                <w:tcPr>
                  <w:tcW w:w="1603" w:type="pct"/>
                  <w:vMerge w:val="continue"/>
                  <w:noWrap/>
                  <w:vAlign w:val="center"/>
                </w:tcPr>
                <w:p w14:paraId="591483B6">
                  <w:pPr>
                    <w:pStyle w:val="42"/>
                  </w:pPr>
                </w:p>
              </w:tc>
              <w:tc>
                <w:tcPr>
                  <w:tcW w:w="2148" w:type="pct"/>
                  <w:vAlign w:val="center"/>
                </w:tcPr>
                <w:p w14:paraId="030DC054">
                  <w:pPr>
                    <w:pStyle w:val="42"/>
                    <w:rPr>
                      <w:i/>
                      <w:iCs/>
                      <w:lang w:eastAsia="en-US"/>
                    </w:rPr>
                  </w:pPr>
                  <w:r>
                    <w:rPr>
                      <w:rFonts w:hint="eastAsia"/>
                      <w:i/>
                      <w:iCs/>
                    </w:rPr>
                    <w:t>条纹似白鮈</w:t>
                  </w:r>
                  <w:r>
                    <w:rPr>
                      <w:i/>
                      <w:iCs/>
                    </w:rPr>
                    <w:t>Paraleucogobio strigatus</w:t>
                  </w:r>
                </w:p>
              </w:tc>
            </w:tr>
            <w:tr w14:paraId="6B4FE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DD8C892">
                  <w:pPr>
                    <w:pStyle w:val="42"/>
                  </w:pPr>
                </w:p>
              </w:tc>
              <w:tc>
                <w:tcPr>
                  <w:tcW w:w="1603" w:type="pct"/>
                  <w:vMerge w:val="continue"/>
                  <w:noWrap/>
                  <w:vAlign w:val="center"/>
                </w:tcPr>
                <w:p w14:paraId="009376BD">
                  <w:pPr>
                    <w:pStyle w:val="42"/>
                  </w:pPr>
                </w:p>
              </w:tc>
              <w:tc>
                <w:tcPr>
                  <w:tcW w:w="2148" w:type="pct"/>
                  <w:vAlign w:val="center"/>
                </w:tcPr>
                <w:p w14:paraId="343EE124">
                  <w:pPr>
                    <w:pStyle w:val="42"/>
                    <w:rPr>
                      <w:i/>
                      <w:iCs/>
                      <w:lang w:eastAsia="en-US"/>
                    </w:rPr>
                  </w:pPr>
                  <w:r>
                    <w:rPr>
                      <w:rFonts w:hint="eastAsia"/>
                      <w:i/>
                      <w:iCs/>
                    </w:rPr>
                    <w:t>麦穗鱼</w:t>
                  </w:r>
                  <w:r>
                    <w:rPr>
                      <w:i/>
                      <w:iCs/>
                    </w:rPr>
                    <w:t>Pseudorasbora parva</w:t>
                  </w:r>
                </w:p>
              </w:tc>
            </w:tr>
            <w:tr w14:paraId="6D9CF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73C0033A">
                  <w:pPr>
                    <w:pStyle w:val="42"/>
                  </w:pPr>
                </w:p>
              </w:tc>
              <w:tc>
                <w:tcPr>
                  <w:tcW w:w="1603" w:type="pct"/>
                  <w:vMerge w:val="continue"/>
                  <w:noWrap/>
                  <w:vAlign w:val="center"/>
                </w:tcPr>
                <w:p w14:paraId="2848BC70">
                  <w:pPr>
                    <w:pStyle w:val="42"/>
                  </w:pPr>
                </w:p>
              </w:tc>
              <w:tc>
                <w:tcPr>
                  <w:tcW w:w="2148" w:type="pct"/>
                  <w:vAlign w:val="center"/>
                </w:tcPr>
                <w:p w14:paraId="0971CB9D">
                  <w:pPr>
                    <w:pStyle w:val="42"/>
                    <w:rPr>
                      <w:i/>
                      <w:iCs/>
                      <w:lang w:eastAsia="en-US"/>
                    </w:rPr>
                  </w:pPr>
                  <w:r>
                    <w:rPr>
                      <w:rFonts w:hint="eastAsia"/>
                      <w:i/>
                      <w:iCs/>
                    </w:rPr>
                    <w:t>平口鮈</w:t>
                  </w:r>
                  <w:r>
                    <w:rPr>
                      <w:i/>
                      <w:iCs/>
                    </w:rPr>
                    <w:t xml:space="preserve">Ladislavia taczanowskii </w:t>
                  </w:r>
                </w:p>
              </w:tc>
            </w:tr>
            <w:tr w14:paraId="51E38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3AEEBED2">
                  <w:pPr>
                    <w:pStyle w:val="42"/>
                  </w:pPr>
                </w:p>
              </w:tc>
              <w:tc>
                <w:tcPr>
                  <w:tcW w:w="1603" w:type="pct"/>
                  <w:vMerge w:val="continue"/>
                  <w:noWrap/>
                  <w:vAlign w:val="center"/>
                </w:tcPr>
                <w:p w14:paraId="741B5DD2">
                  <w:pPr>
                    <w:pStyle w:val="42"/>
                  </w:pPr>
                </w:p>
              </w:tc>
              <w:tc>
                <w:tcPr>
                  <w:tcW w:w="2148" w:type="pct"/>
                  <w:vAlign w:val="center"/>
                </w:tcPr>
                <w:p w14:paraId="58EB31D5">
                  <w:pPr>
                    <w:pStyle w:val="42"/>
                    <w:rPr>
                      <w:i/>
                      <w:iCs/>
                      <w:lang w:eastAsia="en-US"/>
                    </w:rPr>
                  </w:pPr>
                  <w:r>
                    <w:rPr>
                      <w:rFonts w:hint="eastAsia"/>
                      <w:i/>
                      <w:iCs/>
                    </w:rPr>
                    <w:t>高体鮈</w:t>
                  </w:r>
                  <w:r>
                    <w:rPr>
                      <w:i/>
                      <w:iCs/>
                    </w:rPr>
                    <w:t xml:space="preserve">Gobio soldatovi </w:t>
                  </w:r>
                </w:p>
              </w:tc>
            </w:tr>
            <w:tr w14:paraId="66A92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21704B66">
                  <w:pPr>
                    <w:pStyle w:val="42"/>
                  </w:pPr>
                </w:p>
              </w:tc>
              <w:tc>
                <w:tcPr>
                  <w:tcW w:w="1603" w:type="pct"/>
                  <w:vMerge w:val="continue"/>
                  <w:noWrap/>
                  <w:vAlign w:val="center"/>
                </w:tcPr>
                <w:p w14:paraId="6C094C76">
                  <w:pPr>
                    <w:pStyle w:val="42"/>
                  </w:pPr>
                </w:p>
              </w:tc>
              <w:tc>
                <w:tcPr>
                  <w:tcW w:w="2148" w:type="pct"/>
                  <w:vAlign w:val="center"/>
                </w:tcPr>
                <w:p w14:paraId="3BC744DA">
                  <w:pPr>
                    <w:pStyle w:val="42"/>
                    <w:rPr>
                      <w:i/>
                      <w:iCs/>
                      <w:lang w:eastAsia="en-US"/>
                    </w:rPr>
                  </w:pPr>
                  <w:r>
                    <w:rPr>
                      <w:rFonts w:hint="eastAsia"/>
                      <w:i/>
                      <w:iCs/>
                    </w:rPr>
                    <w:t>棒花鱼</w:t>
                  </w:r>
                  <w:r>
                    <w:rPr>
                      <w:i/>
                      <w:iCs/>
                    </w:rPr>
                    <w:t>Abbottina rivularis</w:t>
                  </w:r>
                </w:p>
              </w:tc>
            </w:tr>
            <w:tr w14:paraId="2F121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03547316">
                  <w:pPr>
                    <w:pStyle w:val="42"/>
                  </w:pPr>
                </w:p>
              </w:tc>
              <w:tc>
                <w:tcPr>
                  <w:tcW w:w="1603" w:type="pct"/>
                  <w:vMerge w:val="continue"/>
                  <w:noWrap/>
                  <w:vAlign w:val="center"/>
                </w:tcPr>
                <w:p w14:paraId="59CFC21F">
                  <w:pPr>
                    <w:pStyle w:val="42"/>
                  </w:pPr>
                </w:p>
              </w:tc>
              <w:tc>
                <w:tcPr>
                  <w:tcW w:w="2148" w:type="pct"/>
                  <w:vAlign w:val="center"/>
                </w:tcPr>
                <w:p w14:paraId="125702C6">
                  <w:pPr>
                    <w:pStyle w:val="42"/>
                    <w:rPr>
                      <w:i/>
                      <w:iCs/>
                      <w:lang w:eastAsia="en-US"/>
                    </w:rPr>
                  </w:pPr>
                  <w:r>
                    <w:rPr>
                      <w:rFonts w:hint="eastAsia"/>
                      <w:i/>
                      <w:iCs/>
                    </w:rPr>
                    <w:t>蛇鮈</w:t>
                  </w:r>
                  <w:r>
                    <w:rPr>
                      <w:i/>
                      <w:iCs/>
                    </w:rPr>
                    <w:t>Saurogobio dabryi</w:t>
                  </w:r>
                </w:p>
              </w:tc>
            </w:tr>
            <w:tr w14:paraId="0EE5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635A287B">
                  <w:pPr>
                    <w:pStyle w:val="42"/>
                  </w:pPr>
                </w:p>
              </w:tc>
              <w:tc>
                <w:tcPr>
                  <w:tcW w:w="1603" w:type="pct"/>
                  <w:vMerge w:val="continue"/>
                  <w:noWrap/>
                  <w:vAlign w:val="center"/>
                </w:tcPr>
                <w:p w14:paraId="14CFCFB4">
                  <w:pPr>
                    <w:pStyle w:val="42"/>
                  </w:pPr>
                </w:p>
              </w:tc>
              <w:tc>
                <w:tcPr>
                  <w:tcW w:w="2148" w:type="pct"/>
                  <w:vAlign w:val="center"/>
                </w:tcPr>
                <w:p w14:paraId="035FD7C7">
                  <w:pPr>
                    <w:pStyle w:val="42"/>
                    <w:rPr>
                      <w:i/>
                      <w:iCs/>
                      <w:lang w:eastAsia="en-US"/>
                    </w:rPr>
                  </w:pPr>
                  <w:r>
                    <w:rPr>
                      <w:rFonts w:hint="eastAsia"/>
                      <w:i/>
                      <w:iCs/>
                    </w:rPr>
                    <w:t>鲤</w:t>
                  </w:r>
                  <w:r>
                    <w:rPr>
                      <w:i/>
                      <w:iCs/>
                    </w:rPr>
                    <w:t>Cyprinus carpio</w:t>
                  </w:r>
                </w:p>
              </w:tc>
            </w:tr>
            <w:tr w14:paraId="61450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1B4F8BFD">
                  <w:pPr>
                    <w:pStyle w:val="42"/>
                  </w:pPr>
                </w:p>
              </w:tc>
              <w:tc>
                <w:tcPr>
                  <w:tcW w:w="1603" w:type="pct"/>
                  <w:vMerge w:val="continue"/>
                  <w:noWrap/>
                  <w:vAlign w:val="center"/>
                </w:tcPr>
                <w:p w14:paraId="55BA3509">
                  <w:pPr>
                    <w:pStyle w:val="42"/>
                  </w:pPr>
                </w:p>
              </w:tc>
              <w:tc>
                <w:tcPr>
                  <w:tcW w:w="2148" w:type="pct"/>
                  <w:vAlign w:val="center"/>
                </w:tcPr>
                <w:p w14:paraId="63918916">
                  <w:pPr>
                    <w:pStyle w:val="42"/>
                    <w:rPr>
                      <w:i/>
                      <w:iCs/>
                      <w:lang w:eastAsia="en-US"/>
                    </w:rPr>
                  </w:pPr>
                  <w:r>
                    <w:rPr>
                      <w:rFonts w:hint="eastAsia"/>
                      <w:i/>
                      <w:iCs/>
                    </w:rPr>
                    <w:t>银鲫</w:t>
                  </w:r>
                  <w:r>
                    <w:rPr>
                      <w:i/>
                      <w:iCs/>
                    </w:rPr>
                    <w:t xml:space="preserve">Carassius gibelio </w:t>
                  </w:r>
                </w:p>
              </w:tc>
            </w:tr>
            <w:tr w14:paraId="132A3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2FA9343F">
                  <w:pPr>
                    <w:pStyle w:val="42"/>
                  </w:pPr>
                </w:p>
              </w:tc>
              <w:tc>
                <w:tcPr>
                  <w:tcW w:w="1603" w:type="pct"/>
                  <w:vMerge w:val="continue"/>
                  <w:noWrap/>
                  <w:vAlign w:val="center"/>
                </w:tcPr>
                <w:p w14:paraId="094618ED">
                  <w:pPr>
                    <w:pStyle w:val="42"/>
                  </w:pPr>
                </w:p>
              </w:tc>
              <w:tc>
                <w:tcPr>
                  <w:tcW w:w="2148" w:type="pct"/>
                  <w:vAlign w:val="center"/>
                </w:tcPr>
                <w:p w14:paraId="6136ECE0">
                  <w:pPr>
                    <w:pStyle w:val="42"/>
                    <w:rPr>
                      <w:i/>
                      <w:iCs/>
                      <w:lang w:eastAsia="en-US"/>
                    </w:rPr>
                  </w:pPr>
                  <w:r>
                    <w:rPr>
                      <w:rFonts w:hint="eastAsia"/>
                      <w:i/>
                      <w:iCs/>
                    </w:rPr>
                    <w:t>鳙</w:t>
                  </w:r>
                  <w:r>
                    <w:rPr>
                      <w:i/>
                      <w:iCs/>
                    </w:rPr>
                    <w:t>Aristichthys nobilis</w:t>
                  </w:r>
                </w:p>
              </w:tc>
            </w:tr>
            <w:tr w14:paraId="2FB04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549C4A3A">
                  <w:pPr>
                    <w:pStyle w:val="42"/>
                  </w:pPr>
                </w:p>
              </w:tc>
              <w:tc>
                <w:tcPr>
                  <w:tcW w:w="1603" w:type="pct"/>
                  <w:vMerge w:val="continue"/>
                  <w:noWrap/>
                  <w:vAlign w:val="center"/>
                </w:tcPr>
                <w:p w14:paraId="0AD87A2D">
                  <w:pPr>
                    <w:pStyle w:val="42"/>
                  </w:pPr>
                </w:p>
              </w:tc>
              <w:tc>
                <w:tcPr>
                  <w:tcW w:w="2148" w:type="pct"/>
                  <w:vAlign w:val="center"/>
                </w:tcPr>
                <w:p w14:paraId="2DD3C16D">
                  <w:pPr>
                    <w:pStyle w:val="42"/>
                    <w:rPr>
                      <w:i/>
                      <w:iCs/>
                      <w:lang w:eastAsia="en-US"/>
                    </w:rPr>
                  </w:pPr>
                  <w:r>
                    <w:rPr>
                      <w:rFonts w:hint="eastAsia"/>
                      <w:i/>
                      <w:iCs/>
                    </w:rPr>
                    <w:t>鲢</w:t>
                  </w:r>
                  <w:r>
                    <w:rPr>
                      <w:i/>
                      <w:iCs/>
                    </w:rPr>
                    <w:t xml:space="preserve">Hypophthalmichthys molitrix </w:t>
                  </w:r>
                </w:p>
              </w:tc>
            </w:tr>
            <w:tr w14:paraId="6DD8D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76" w:hRule="atLeast"/>
                <w:jc w:val="center"/>
              </w:trPr>
              <w:tc>
                <w:tcPr>
                  <w:tcW w:w="1249" w:type="pct"/>
                  <w:vMerge w:val="continue"/>
                  <w:noWrap/>
                  <w:vAlign w:val="center"/>
                </w:tcPr>
                <w:p w14:paraId="194BD80B">
                  <w:pPr>
                    <w:pStyle w:val="42"/>
                  </w:pPr>
                </w:p>
              </w:tc>
              <w:tc>
                <w:tcPr>
                  <w:tcW w:w="1603" w:type="pct"/>
                  <w:vMerge w:val="restart"/>
                  <w:noWrap/>
                  <w:vAlign w:val="center"/>
                </w:tcPr>
                <w:p w14:paraId="0DABE03C">
                  <w:pPr>
                    <w:pStyle w:val="42"/>
                    <w:rPr>
                      <w:lang w:eastAsia="en-US"/>
                    </w:rPr>
                  </w:pPr>
                  <w:r>
                    <w:rPr>
                      <w:rFonts w:hint="eastAsia"/>
                    </w:rPr>
                    <w:t>鳅科</w:t>
                  </w:r>
                  <w:r>
                    <w:t xml:space="preserve"> Cobitidae      </w:t>
                  </w:r>
                  <w:r>
                    <w:rPr>
                      <w:rFonts w:hint="eastAsia"/>
                    </w:rPr>
                    <w:t>　</w:t>
                  </w:r>
                </w:p>
              </w:tc>
              <w:tc>
                <w:tcPr>
                  <w:tcW w:w="2148" w:type="pct"/>
                  <w:vAlign w:val="center"/>
                </w:tcPr>
                <w:p w14:paraId="15C62728">
                  <w:pPr>
                    <w:pStyle w:val="42"/>
                    <w:rPr>
                      <w:i/>
                      <w:iCs/>
                      <w:lang w:eastAsia="en-US"/>
                    </w:rPr>
                  </w:pPr>
                  <w:r>
                    <w:rPr>
                      <w:rFonts w:hint="eastAsia"/>
                      <w:i/>
                      <w:iCs/>
                    </w:rPr>
                    <w:t>北方须鳅</w:t>
                  </w:r>
                  <w:r>
                    <w:rPr>
                      <w:i/>
                      <w:iCs/>
                    </w:rPr>
                    <w:t>Barbatula nuda</w:t>
                  </w:r>
                </w:p>
              </w:tc>
            </w:tr>
            <w:tr w14:paraId="00E81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32A392E9">
                  <w:pPr>
                    <w:pStyle w:val="42"/>
                  </w:pPr>
                </w:p>
              </w:tc>
              <w:tc>
                <w:tcPr>
                  <w:tcW w:w="1603" w:type="pct"/>
                  <w:vMerge w:val="continue"/>
                  <w:noWrap/>
                  <w:vAlign w:val="center"/>
                </w:tcPr>
                <w:p w14:paraId="4847BD40">
                  <w:pPr>
                    <w:pStyle w:val="42"/>
                  </w:pPr>
                </w:p>
              </w:tc>
              <w:tc>
                <w:tcPr>
                  <w:tcW w:w="2148" w:type="pct"/>
                  <w:vAlign w:val="center"/>
                </w:tcPr>
                <w:p w14:paraId="03341A78">
                  <w:pPr>
                    <w:pStyle w:val="42"/>
                    <w:rPr>
                      <w:i/>
                      <w:iCs/>
                      <w:lang w:eastAsia="en-US"/>
                    </w:rPr>
                  </w:pPr>
                  <w:r>
                    <w:rPr>
                      <w:rFonts w:hint="eastAsia"/>
                      <w:i/>
                      <w:iCs/>
                    </w:rPr>
                    <w:t>北方花鳅</w:t>
                  </w:r>
                  <w:r>
                    <w:rPr>
                      <w:i/>
                      <w:iCs/>
                    </w:rPr>
                    <w:t>Cobitis sibirica</w:t>
                  </w:r>
                </w:p>
              </w:tc>
            </w:tr>
            <w:tr w14:paraId="2A03F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jc w:val="center"/>
              </w:trPr>
              <w:tc>
                <w:tcPr>
                  <w:tcW w:w="1249" w:type="pct"/>
                  <w:vMerge w:val="restart"/>
                  <w:noWrap/>
                  <w:vAlign w:val="center"/>
                </w:tcPr>
                <w:p w14:paraId="62891563">
                  <w:pPr>
                    <w:pStyle w:val="42"/>
                  </w:pPr>
                  <w:r>
                    <w:t>鲇形目</w:t>
                  </w:r>
                </w:p>
                <w:p w14:paraId="40065E10">
                  <w:pPr>
                    <w:pStyle w:val="42"/>
                  </w:pPr>
                  <w:r>
                    <w:t>Siluriformes</w:t>
                  </w:r>
                </w:p>
              </w:tc>
              <w:tc>
                <w:tcPr>
                  <w:tcW w:w="1603" w:type="pct"/>
                  <w:noWrap/>
                  <w:vAlign w:val="center"/>
                </w:tcPr>
                <w:p w14:paraId="4F535026">
                  <w:pPr>
                    <w:pStyle w:val="42"/>
                    <w:rPr>
                      <w:lang w:eastAsia="en-US"/>
                    </w:rPr>
                  </w:pPr>
                  <w:r>
                    <w:t>鲇科 Siluridae    　</w:t>
                  </w:r>
                </w:p>
              </w:tc>
              <w:tc>
                <w:tcPr>
                  <w:tcW w:w="2148" w:type="pct"/>
                  <w:vAlign w:val="center"/>
                </w:tcPr>
                <w:p w14:paraId="4A368E75">
                  <w:pPr>
                    <w:pStyle w:val="42"/>
                    <w:rPr>
                      <w:i/>
                      <w:iCs/>
                      <w:lang w:eastAsia="en-US"/>
                    </w:rPr>
                  </w:pPr>
                  <w:r>
                    <w:rPr>
                      <w:i/>
                      <w:iCs/>
                    </w:rPr>
                    <w:t xml:space="preserve">鲇Silurus asotus </w:t>
                  </w:r>
                </w:p>
              </w:tc>
            </w:tr>
            <w:tr w14:paraId="150F3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73" w:hRule="atLeast"/>
                <w:jc w:val="center"/>
              </w:trPr>
              <w:tc>
                <w:tcPr>
                  <w:tcW w:w="1249" w:type="pct"/>
                  <w:vMerge w:val="continue"/>
                  <w:noWrap/>
                  <w:vAlign w:val="center"/>
                </w:tcPr>
                <w:p w14:paraId="744FC5AA">
                  <w:pPr>
                    <w:pStyle w:val="42"/>
                  </w:pPr>
                </w:p>
              </w:tc>
              <w:tc>
                <w:tcPr>
                  <w:tcW w:w="1603" w:type="pct"/>
                  <w:noWrap/>
                  <w:vAlign w:val="center"/>
                </w:tcPr>
                <w:p w14:paraId="335F0A23">
                  <w:pPr>
                    <w:pStyle w:val="42"/>
                    <w:rPr>
                      <w:lang w:eastAsia="en-US"/>
                    </w:rPr>
                  </w:pPr>
                  <w:r>
                    <w:rPr>
                      <w:rFonts w:hint="eastAsia"/>
                    </w:rPr>
                    <w:t>鲿科</w:t>
                  </w:r>
                  <w:r>
                    <w:t xml:space="preserve"> Bagridae    </w:t>
                  </w:r>
                  <w:r>
                    <w:rPr>
                      <w:rFonts w:hint="eastAsia"/>
                    </w:rPr>
                    <w:t>　</w:t>
                  </w:r>
                </w:p>
              </w:tc>
              <w:tc>
                <w:tcPr>
                  <w:tcW w:w="2148" w:type="pct"/>
                  <w:vAlign w:val="center"/>
                </w:tcPr>
                <w:p w14:paraId="6014B276">
                  <w:pPr>
                    <w:pStyle w:val="42"/>
                    <w:rPr>
                      <w:i/>
                      <w:iCs/>
                    </w:rPr>
                  </w:pPr>
                  <w:r>
                    <w:rPr>
                      <w:rFonts w:hint="eastAsia"/>
                      <w:i/>
                      <w:iCs/>
                    </w:rPr>
                    <w:t>黄颡鱼</w:t>
                  </w:r>
                  <w:r>
                    <w:rPr>
                      <w:i/>
                      <w:iCs/>
                    </w:rPr>
                    <w:t>Pseudobagrus fulvidraco</w:t>
                  </w:r>
                </w:p>
              </w:tc>
            </w:tr>
            <w:tr w14:paraId="0C746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noWrap/>
                  <w:vAlign w:val="center"/>
                </w:tcPr>
                <w:p w14:paraId="0413302E">
                  <w:pPr>
                    <w:pStyle w:val="42"/>
                  </w:pPr>
                  <w:r>
                    <w:t>鳕形目</w:t>
                  </w:r>
                </w:p>
                <w:p w14:paraId="6F2BFA79">
                  <w:pPr>
                    <w:pStyle w:val="42"/>
                  </w:pPr>
                  <w:r>
                    <w:t>Gadiformes</w:t>
                  </w:r>
                </w:p>
              </w:tc>
              <w:tc>
                <w:tcPr>
                  <w:tcW w:w="1603" w:type="pct"/>
                  <w:noWrap/>
                  <w:vAlign w:val="center"/>
                </w:tcPr>
                <w:p w14:paraId="0534E2C8">
                  <w:pPr>
                    <w:pStyle w:val="42"/>
                    <w:rPr>
                      <w:lang w:eastAsia="en-US"/>
                    </w:rPr>
                  </w:pPr>
                  <w:r>
                    <w:t xml:space="preserve">鳕科 Lotidae     </w:t>
                  </w:r>
                </w:p>
              </w:tc>
              <w:tc>
                <w:tcPr>
                  <w:tcW w:w="2148" w:type="pct"/>
                  <w:vAlign w:val="center"/>
                </w:tcPr>
                <w:p w14:paraId="58ECB8A5">
                  <w:pPr>
                    <w:pStyle w:val="42"/>
                    <w:rPr>
                      <w:i/>
                      <w:iCs/>
                      <w:lang w:eastAsia="en-US"/>
                    </w:rPr>
                  </w:pPr>
                  <w:r>
                    <w:rPr>
                      <w:i/>
                      <w:iCs/>
                    </w:rPr>
                    <w:t>江鳕Lota lota</w:t>
                  </w:r>
                </w:p>
              </w:tc>
            </w:tr>
            <w:tr w14:paraId="77454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noWrap/>
                  <w:vAlign w:val="center"/>
                </w:tcPr>
                <w:p w14:paraId="68CFAD5F">
                  <w:pPr>
                    <w:pStyle w:val="42"/>
                  </w:pPr>
                  <w:r>
                    <w:t>鳉形目</w:t>
                  </w:r>
                </w:p>
                <w:p w14:paraId="69DEC33F">
                  <w:pPr>
                    <w:pStyle w:val="42"/>
                  </w:pPr>
                  <w:r>
                    <w:t>Cyprinodontiformes</w:t>
                  </w:r>
                </w:p>
              </w:tc>
              <w:tc>
                <w:tcPr>
                  <w:tcW w:w="1603" w:type="pct"/>
                  <w:noWrap/>
                  <w:vAlign w:val="center"/>
                </w:tcPr>
                <w:p w14:paraId="21F545C5">
                  <w:pPr>
                    <w:pStyle w:val="42"/>
                    <w:rPr>
                      <w:lang w:eastAsia="en-US"/>
                    </w:rPr>
                  </w:pPr>
                  <w:r>
                    <w:t xml:space="preserve">青鳉科Adrianichthyida     </w:t>
                  </w:r>
                </w:p>
              </w:tc>
              <w:tc>
                <w:tcPr>
                  <w:tcW w:w="2148" w:type="pct"/>
                  <w:vAlign w:val="center"/>
                </w:tcPr>
                <w:p w14:paraId="59825009">
                  <w:pPr>
                    <w:pStyle w:val="42"/>
                    <w:rPr>
                      <w:i/>
                      <w:iCs/>
                      <w:lang w:eastAsia="en-US"/>
                    </w:rPr>
                  </w:pPr>
                  <w:r>
                    <w:rPr>
                      <w:i/>
                      <w:iCs/>
                    </w:rPr>
                    <w:t>中华青鳉Oryzias sinensis</w:t>
                  </w:r>
                </w:p>
              </w:tc>
            </w:tr>
            <w:tr w14:paraId="7B348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noWrap/>
                  <w:vAlign w:val="center"/>
                </w:tcPr>
                <w:p w14:paraId="3900E5C4">
                  <w:pPr>
                    <w:pStyle w:val="42"/>
                  </w:pPr>
                  <w:r>
                    <w:t>合鳃目</w:t>
                  </w:r>
                </w:p>
                <w:p w14:paraId="727B561C">
                  <w:pPr>
                    <w:pStyle w:val="42"/>
                  </w:pPr>
                  <w:r>
                    <w:t>Synbranchiformes</w:t>
                  </w:r>
                </w:p>
              </w:tc>
              <w:tc>
                <w:tcPr>
                  <w:tcW w:w="1603" w:type="pct"/>
                  <w:noWrap/>
                  <w:vAlign w:val="center"/>
                </w:tcPr>
                <w:p w14:paraId="00A35C13">
                  <w:pPr>
                    <w:pStyle w:val="42"/>
                    <w:rPr>
                      <w:lang w:eastAsia="en-US"/>
                    </w:rPr>
                  </w:pPr>
                  <w:r>
                    <w:t xml:space="preserve">合鳃鱼科Syngnathidae </w:t>
                  </w:r>
                </w:p>
              </w:tc>
              <w:tc>
                <w:tcPr>
                  <w:tcW w:w="2148" w:type="pct"/>
                  <w:vAlign w:val="center"/>
                </w:tcPr>
                <w:p w14:paraId="160FE799">
                  <w:pPr>
                    <w:pStyle w:val="42"/>
                    <w:rPr>
                      <w:i/>
                      <w:iCs/>
                      <w:lang w:eastAsia="en-US"/>
                    </w:rPr>
                  </w:pPr>
                  <w:r>
                    <w:rPr>
                      <w:i/>
                      <w:iCs/>
                    </w:rPr>
                    <w:t xml:space="preserve">黄鳝Monopterus albus </w:t>
                  </w:r>
                </w:p>
              </w:tc>
            </w:tr>
            <w:tr w14:paraId="2FD19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restart"/>
                  <w:noWrap/>
                  <w:vAlign w:val="center"/>
                </w:tcPr>
                <w:p w14:paraId="2A809207">
                  <w:pPr>
                    <w:pStyle w:val="42"/>
                  </w:pPr>
                  <w:r>
                    <w:t>鲈形目</w:t>
                  </w:r>
                </w:p>
                <w:p w14:paraId="216EEC57">
                  <w:pPr>
                    <w:pStyle w:val="42"/>
                  </w:pPr>
                  <w:r>
                    <w:t>Perciformes　</w:t>
                  </w:r>
                </w:p>
              </w:tc>
              <w:tc>
                <w:tcPr>
                  <w:tcW w:w="1603" w:type="pct"/>
                  <w:noWrap/>
                  <w:vAlign w:val="center"/>
                </w:tcPr>
                <w:p w14:paraId="376D7842">
                  <w:pPr>
                    <w:pStyle w:val="42"/>
                    <w:rPr>
                      <w:lang w:eastAsia="en-US"/>
                    </w:rPr>
                  </w:pPr>
                  <w:r>
                    <w:t>真鲈科Percichthyidae</w:t>
                  </w:r>
                </w:p>
              </w:tc>
              <w:tc>
                <w:tcPr>
                  <w:tcW w:w="2148" w:type="pct"/>
                  <w:vAlign w:val="center"/>
                </w:tcPr>
                <w:p w14:paraId="7DAB4DB8">
                  <w:pPr>
                    <w:pStyle w:val="42"/>
                    <w:rPr>
                      <w:i/>
                      <w:iCs/>
                      <w:lang w:eastAsia="en-US"/>
                    </w:rPr>
                  </w:pPr>
                  <w:r>
                    <w:rPr>
                      <w:i/>
                      <w:iCs/>
                    </w:rPr>
                    <w:t xml:space="preserve">斑鳜Siniperca scherzeri </w:t>
                  </w:r>
                </w:p>
              </w:tc>
            </w:tr>
            <w:tr w14:paraId="68824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15F08EEF">
                  <w:pPr>
                    <w:pStyle w:val="42"/>
                  </w:pPr>
                </w:p>
              </w:tc>
              <w:tc>
                <w:tcPr>
                  <w:tcW w:w="1603" w:type="pct"/>
                  <w:vMerge w:val="restart"/>
                  <w:noWrap/>
                  <w:vAlign w:val="center"/>
                </w:tcPr>
                <w:p w14:paraId="48A81A86">
                  <w:pPr>
                    <w:pStyle w:val="42"/>
                    <w:rPr>
                      <w:lang w:eastAsia="en-US"/>
                    </w:rPr>
                  </w:pPr>
                  <w:r>
                    <w:rPr>
                      <w:rFonts w:hint="eastAsia"/>
                    </w:rPr>
                    <w:t>沙塘鳢科</w:t>
                  </w:r>
                  <w:r>
                    <w:t>Odontobutidae</w:t>
                  </w:r>
                </w:p>
              </w:tc>
              <w:tc>
                <w:tcPr>
                  <w:tcW w:w="2148" w:type="pct"/>
                  <w:vAlign w:val="center"/>
                </w:tcPr>
                <w:p w14:paraId="740E6D41">
                  <w:pPr>
                    <w:pStyle w:val="42"/>
                    <w:rPr>
                      <w:i/>
                      <w:iCs/>
                      <w:lang w:eastAsia="en-US"/>
                    </w:rPr>
                  </w:pPr>
                  <w:r>
                    <w:rPr>
                      <w:rFonts w:hint="eastAsia"/>
                      <w:i/>
                      <w:iCs/>
                    </w:rPr>
                    <w:t>葛氏鲈塘鳢</w:t>
                  </w:r>
                  <w:r>
                    <w:rPr>
                      <w:i/>
                      <w:iCs/>
                    </w:rPr>
                    <w:t xml:space="preserve"> Perccottus glenii</w:t>
                  </w:r>
                </w:p>
              </w:tc>
            </w:tr>
            <w:tr w14:paraId="50DB6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695DD7B6">
                  <w:pPr>
                    <w:pStyle w:val="42"/>
                  </w:pPr>
                </w:p>
              </w:tc>
              <w:tc>
                <w:tcPr>
                  <w:tcW w:w="1603" w:type="pct"/>
                  <w:vMerge w:val="continue"/>
                  <w:noWrap/>
                  <w:vAlign w:val="center"/>
                </w:tcPr>
                <w:p w14:paraId="502948AB">
                  <w:pPr>
                    <w:pStyle w:val="42"/>
                  </w:pPr>
                </w:p>
              </w:tc>
              <w:tc>
                <w:tcPr>
                  <w:tcW w:w="2148" w:type="pct"/>
                  <w:vAlign w:val="center"/>
                </w:tcPr>
                <w:p w14:paraId="5AD5A302">
                  <w:pPr>
                    <w:pStyle w:val="42"/>
                    <w:rPr>
                      <w:i/>
                      <w:iCs/>
                      <w:lang w:eastAsia="en-US"/>
                    </w:rPr>
                  </w:pPr>
                  <w:r>
                    <w:rPr>
                      <w:rFonts w:hint="eastAsia"/>
                      <w:i/>
                      <w:iCs/>
                    </w:rPr>
                    <w:t>鸭绿沙塘鳢</w:t>
                  </w:r>
                  <w:r>
                    <w:rPr>
                      <w:i/>
                      <w:iCs/>
                    </w:rPr>
                    <w:t>Odontobutis yaluensis</w:t>
                  </w:r>
                </w:p>
              </w:tc>
            </w:tr>
            <w:tr w14:paraId="58DF3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0C871F7F">
                  <w:pPr>
                    <w:pStyle w:val="42"/>
                  </w:pPr>
                </w:p>
              </w:tc>
              <w:tc>
                <w:tcPr>
                  <w:tcW w:w="1603" w:type="pct"/>
                  <w:noWrap/>
                  <w:vAlign w:val="center"/>
                </w:tcPr>
                <w:p w14:paraId="36CFF83F">
                  <w:pPr>
                    <w:pStyle w:val="42"/>
                    <w:rPr>
                      <w:lang w:eastAsia="en-US"/>
                    </w:rPr>
                  </w:pPr>
                  <w:r>
                    <w:rPr>
                      <w:rFonts w:hint="eastAsia"/>
                    </w:rPr>
                    <w:t>鳢科</w:t>
                  </w:r>
                  <w:r>
                    <w:t xml:space="preserve"> Channidae       </w:t>
                  </w:r>
                </w:p>
              </w:tc>
              <w:tc>
                <w:tcPr>
                  <w:tcW w:w="2148" w:type="pct"/>
                  <w:vAlign w:val="center"/>
                </w:tcPr>
                <w:p w14:paraId="637349B3">
                  <w:pPr>
                    <w:pStyle w:val="42"/>
                    <w:rPr>
                      <w:i/>
                      <w:iCs/>
                      <w:lang w:eastAsia="en-US"/>
                    </w:rPr>
                  </w:pPr>
                  <w:r>
                    <w:rPr>
                      <w:rFonts w:hint="eastAsia"/>
                      <w:i/>
                      <w:iCs/>
                    </w:rPr>
                    <w:t>乌鳢</w:t>
                  </w:r>
                  <w:r>
                    <w:rPr>
                      <w:i/>
                      <w:iCs/>
                    </w:rPr>
                    <w:t>Channa argus</w:t>
                  </w:r>
                </w:p>
              </w:tc>
            </w:tr>
            <w:tr w14:paraId="0AAFA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06383B6F">
                  <w:pPr>
                    <w:pStyle w:val="42"/>
                  </w:pPr>
                </w:p>
              </w:tc>
              <w:tc>
                <w:tcPr>
                  <w:tcW w:w="1603" w:type="pct"/>
                  <w:vMerge w:val="restart"/>
                  <w:noWrap/>
                  <w:vAlign w:val="center"/>
                </w:tcPr>
                <w:p w14:paraId="364CD583">
                  <w:pPr>
                    <w:pStyle w:val="42"/>
                    <w:rPr>
                      <w:lang w:eastAsia="en-US"/>
                    </w:rPr>
                  </w:pPr>
                  <w:r>
                    <w:rPr>
                      <w:rFonts w:hint="eastAsia"/>
                    </w:rPr>
                    <w:t>虾虎鱼科</w:t>
                  </w:r>
                  <w:r>
                    <w:t>Gobiidae</w:t>
                  </w:r>
                </w:p>
              </w:tc>
              <w:tc>
                <w:tcPr>
                  <w:tcW w:w="2148" w:type="pct"/>
                  <w:vAlign w:val="center"/>
                </w:tcPr>
                <w:p w14:paraId="3CA7C14E">
                  <w:pPr>
                    <w:pStyle w:val="42"/>
                    <w:rPr>
                      <w:i/>
                      <w:iCs/>
                      <w:lang w:eastAsia="en-US"/>
                    </w:rPr>
                  </w:pPr>
                  <w:r>
                    <w:rPr>
                      <w:rFonts w:hint="eastAsia"/>
                      <w:i/>
                      <w:iCs/>
                    </w:rPr>
                    <w:t>褐吻虾虎鱼</w:t>
                  </w:r>
                  <w:r>
                    <w:rPr>
                      <w:i/>
                      <w:iCs/>
                    </w:rPr>
                    <w:t>Rhinogobius brunneus</w:t>
                  </w:r>
                </w:p>
              </w:tc>
            </w:tr>
            <w:tr w14:paraId="2ACD3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jc w:val="center"/>
              </w:trPr>
              <w:tc>
                <w:tcPr>
                  <w:tcW w:w="1249" w:type="pct"/>
                  <w:vMerge w:val="continue"/>
                  <w:noWrap/>
                  <w:vAlign w:val="center"/>
                </w:tcPr>
                <w:p w14:paraId="0FDE18D3">
                  <w:pPr>
                    <w:pStyle w:val="42"/>
                  </w:pPr>
                </w:p>
              </w:tc>
              <w:tc>
                <w:tcPr>
                  <w:tcW w:w="1603" w:type="pct"/>
                  <w:vMerge w:val="continue"/>
                  <w:noWrap/>
                  <w:vAlign w:val="center"/>
                </w:tcPr>
                <w:p w14:paraId="566B1059">
                  <w:pPr>
                    <w:pStyle w:val="42"/>
                  </w:pPr>
                </w:p>
              </w:tc>
              <w:tc>
                <w:tcPr>
                  <w:tcW w:w="2148" w:type="pct"/>
                  <w:vAlign w:val="center"/>
                </w:tcPr>
                <w:p w14:paraId="645EFAED">
                  <w:pPr>
                    <w:pStyle w:val="42"/>
                    <w:rPr>
                      <w:i/>
                      <w:iCs/>
                      <w:lang w:eastAsia="en-US"/>
                    </w:rPr>
                  </w:pPr>
                  <w:r>
                    <w:rPr>
                      <w:rFonts w:hint="eastAsia"/>
                      <w:i/>
                      <w:iCs/>
                    </w:rPr>
                    <w:t>黄带裸身虾虎鱼</w:t>
                  </w:r>
                  <w:r>
                    <w:rPr>
                      <w:i/>
                      <w:iCs/>
                    </w:rPr>
                    <w:t>Gymnogobius laevis</w:t>
                  </w:r>
                </w:p>
              </w:tc>
            </w:tr>
            <w:tr w14:paraId="0B612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55" w:hRule="atLeast"/>
                <w:jc w:val="center"/>
              </w:trPr>
              <w:tc>
                <w:tcPr>
                  <w:tcW w:w="1249" w:type="pct"/>
                  <w:noWrap/>
                  <w:vAlign w:val="center"/>
                </w:tcPr>
                <w:p w14:paraId="2B812FE9">
                  <w:pPr>
                    <w:pStyle w:val="42"/>
                  </w:pPr>
                  <w:r>
                    <w:t>鮋形目</w:t>
                  </w:r>
                </w:p>
                <w:p w14:paraId="1D1F3714">
                  <w:pPr>
                    <w:pStyle w:val="42"/>
                  </w:pPr>
                  <w:r>
                    <w:t xml:space="preserve"> Scorpaeniformes</w:t>
                  </w:r>
                </w:p>
              </w:tc>
              <w:tc>
                <w:tcPr>
                  <w:tcW w:w="1603" w:type="pct"/>
                  <w:noWrap/>
                  <w:vAlign w:val="center"/>
                </w:tcPr>
                <w:p w14:paraId="5190AE44">
                  <w:pPr>
                    <w:pStyle w:val="42"/>
                    <w:rPr>
                      <w:lang w:eastAsia="en-US"/>
                    </w:rPr>
                  </w:pPr>
                  <w:r>
                    <w:t>杜父鱼科 Cottidae</w:t>
                  </w:r>
                </w:p>
              </w:tc>
              <w:tc>
                <w:tcPr>
                  <w:tcW w:w="2148" w:type="pct"/>
                  <w:vAlign w:val="center"/>
                </w:tcPr>
                <w:p w14:paraId="367A42CA">
                  <w:pPr>
                    <w:pStyle w:val="42"/>
                    <w:rPr>
                      <w:i/>
                      <w:iCs/>
                    </w:rPr>
                  </w:pPr>
                  <w:r>
                    <w:rPr>
                      <w:i/>
                      <w:iCs/>
                    </w:rPr>
                    <w:t>杂色杜父鱼 Cottus poecilopus</w:t>
                  </w:r>
                </w:p>
              </w:tc>
            </w:tr>
          </w:tbl>
          <w:p w14:paraId="2BD5E67F">
            <w:pPr>
              <w:spacing w:line="360" w:lineRule="auto"/>
              <w:ind w:firstLine="480" w:firstLineChars="200"/>
            </w:pPr>
          </w:p>
          <w:p w14:paraId="7B982921">
            <w:pPr>
              <w:spacing w:line="360" w:lineRule="auto"/>
              <w:ind w:firstLine="482" w:firstLineChars="200"/>
              <w:rPr>
                <w:b/>
                <w:bCs/>
                <w:u w:val="single"/>
              </w:rPr>
            </w:pPr>
            <w:r>
              <w:rPr>
                <w:rFonts w:hint="eastAsia"/>
                <w:b/>
                <w:bCs/>
                <w:u w:val="single"/>
              </w:rPr>
              <w:t>②珍贵、特有和濒危鱼类</w:t>
            </w:r>
          </w:p>
          <w:p w14:paraId="004CBAF6">
            <w:pPr>
              <w:spacing w:line="360" w:lineRule="auto"/>
              <w:ind w:firstLine="482" w:firstLineChars="200"/>
            </w:pPr>
            <w:r>
              <w:rPr>
                <w:rFonts w:hint="eastAsia"/>
                <w:b/>
                <w:bCs/>
                <w:u w:val="single"/>
              </w:rPr>
              <w:t>依据《国家重点保护动物名录》《濒危野生动植物种国际贸易公约》（附录I、附录II、附录III）、《中国濒危动物动物红皮·鱼类》《中国生物多样性红色名录·内陆鱼类》和《国家重点保护野生动物名录》国家林业和草原局 农业农村部公告（2021年第3号）等相关资料，评价水域历史分布有国家Ⅱ级保护动物2目2科5种（表26）列入《吉林省重点保护水生野生动植物名录（第一批）》的鱼类共有3目3科5种，主要有东北七鳃鳗、石川氏哲罗鲑、花羔红点鲑、鸭绿江茴鱼和江鳕。</w:t>
            </w:r>
          </w:p>
          <w:p w14:paraId="7DABBAD2">
            <w:pPr>
              <w:spacing w:line="360" w:lineRule="auto"/>
              <w:ind w:firstLine="480" w:firstLineChars="200"/>
            </w:pPr>
          </w:p>
          <w:p w14:paraId="0B339F12">
            <w:pPr>
              <w:spacing w:line="360" w:lineRule="auto"/>
              <w:jc w:val="center"/>
              <w:rPr>
                <w:rFonts w:cs="Times New Roman"/>
                <w:b/>
                <w:szCs w:val="21"/>
                <w:highlight w:val="yellow"/>
                <w:u w:val="single"/>
              </w:rPr>
            </w:pPr>
            <w:r>
              <w:rPr>
                <w:rFonts w:cs="Times New Roman"/>
                <w:b/>
                <w:szCs w:val="21"/>
                <w:u w:val="single"/>
              </w:rPr>
              <w:t>表</w:t>
            </w:r>
            <w:r>
              <w:rPr>
                <w:rFonts w:hint="eastAsia" w:cs="Times New Roman"/>
                <w:b/>
                <w:szCs w:val="21"/>
                <w:u w:val="single"/>
              </w:rPr>
              <w:t xml:space="preserve">26  </w:t>
            </w:r>
            <w:r>
              <w:rPr>
                <w:rFonts w:cs="Times New Roman"/>
                <w:b/>
                <w:szCs w:val="21"/>
                <w:u w:val="single"/>
              </w:rPr>
              <w:t xml:space="preserve">  国家保护及濒危鱼类名录</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1814"/>
              <w:gridCol w:w="2329"/>
              <w:gridCol w:w="1019"/>
              <w:gridCol w:w="691"/>
            </w:tblGrid>
            <w:tr w14:paraId="512357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9" w:type="pct"/>
                  <w:noWrap/>
                  <w:vAlign w:val="center"/>
                </w:tcPr>
                <w:p w14:paraId="566A3CA5">
                  <w:pPr>
                    <w:pStyle w:val="42"/>
                    <w:rPr>
                      <w:b/>
                      <w:bCs/>
                      <w:i/>
                      <w:iCs/>
                      <w:u w:val="single"/>
                    </w:rPr>
                  </w:pPr>
                  <w:r>
                    <w:rPr>
                      <w:b/>
                      <w:bCs/>
                      <w:i/>
                      <w:iCs/>
                      <w:u w:val="single"/>
                    </w:rPr>
                    <w:t>目</w:t>
                  </w:r>
                </w:p>
              </w:tc>
              <w:tc>
                <w:tcPr>
                  <w:tcW w:w="1150" w:type="pct"/>
                  <w:noWrap/>
                  <w:vAlign w:val="center"/>
                </w:tcPr>
                <w:p w14:paraId="44A56E3E">
                  <w:pPr>
                    <w:jc w:val="center"/>
                    <w:rPr>
                      <w:rFonts w:cs="Times New Roman"/>
                      <w:b/>
                      <w:bCs/>
                      <w:i/>
                      <w:iCs/>
                      <w:sz w:val="21"/>
                      <w:szCs w:val="21"/>
                      <w:u w:val="single"/>
                    </w:rPr>
                  </w:pPr>
                  <w:r>
                    <w:rPr>
                      <w:rFonts w:cs="Times New Roman"/>
                      <w:b/>
                      <w:bCs/>
                      <w:i/>
                      <w:iCs/>
                      <w:sz w:val="21"/>
                      <w:szCs w:val="21"/>
                      <w:u w:val="single"/>
                    </w:rPr>
                    <w:t>科</w:t>
                  </w:r>
                </w:p>
              </w:tc>
              <w:tc>
                <w:tcPr>
                  <w:tcW w:w="1477" w:type="pct"/>
                  <w:vAlign w:val="center"/>
                </w:tcPr>
                <w:p w14:paraId="1983145F">
                  <w:pPr>
                    <w:jc w:val="center"/>
                    <w:rPr>
                      <w:rFonts w:cs="Times New Roman"/>
                      <w:b/>
                      <w:bCs/>
                      <w:i/>
                      <w:iCs/>
                      <w:sz w:val="21"/>
                      <w:szCs w:val="21"/>
                      <w:u w:val="single"/>
                    </w:rPr>
                  </w:pPr>
                  <w:r>
                    <w:rPr>
                      <w:rFonts w:cs="Times New Roman"/>
                      <w:b/>
                      <w:bCs/>
                      <w:i/>
                      <w:iCs/>
                      <w:sz w:val="21"/>
                      <w:szCs w:val="21"/>
                      <w:u w:val="single"/>
                    </w:rPr>
                    <w:t>种类</w:t>
                  </w:r>
                </w:p>
              </w:tc>
              <w:tc>
                <w:tcPr>
                  <w:tcW w:w="646" w:type="pct"/>
                  <w:vAlign w:val="center"/>
                </w:tcPr>
                <w:p w14:paraId="54B13DCD">
                  <w:pPr>
                    <w:jc w:val="center"/>
                    <w:rPr>
                      <w:rFonts w:cs="Times New Roman"/>
                      <w:b/>
                      <w:bCs/>
                      <w:i/>
                      <w:iCs/>
                      <w:sz w:val="21"/>
                      <w:szCs w:val="21"/>
                      <w:u w:val="single"/>
                    </w:rPr>
                  </w:pPr>
                  <w:r>
                    <w:rPr>
                      <w:rFonts w:cs="Times New Roman"/>
                      <w:b/>
                      <w:bCs/>
                      <w:i/>
                      <w:iCs/>
                      <w:sz w:val="21"/>
                      <w:szCs w:val="21"/>
                      <w:u w:val="single"/>
                    </w:rPr>
                    <w:t>濒危等级</w:t>
                  </w:r>
                </w:p>
              </w:tc>
              <w:tc>
                <w:tcPr>
                  <w:tcW w:w="438" w:type="pct"/>
                  <w:vAlign w:val="center"/>
                </w:tcPr>
                <w:p w14:paraId="2E9CD1A4">
                  <w:pPr>
                    <w:jc w:val="center"/>
                    <w:rPr>
                      <w:rFonts w:cs="Times New Roman"/>
                      <w:b/>
                      <w:bCs/>
                      <w:i/>
                      <w:iCs/>
                      <w:sz w:val="21"/>
                      <w:szCs w:val="21"/>
                      <w:u w:val="single"/>
                    </w:rPr>
                  </w:pPr>
                  <w:r>
                    <w:rPr>
                      <w:rFonts w:cs="Times New Roman"/>
                      <w:b/>
                      <w:bCs/>
                      <w:i/>
                      <w:iCs/>
                      <w:sz w:val="21"/>
                      <w:szCs w:val="21"/>
                      <w:u w:val="single"/>
                    </w:rPr>
                    <w:t>保护级别</w:t>
                  </w:r>
                </w:p>
              </w:tc>
            </w:tr>
            <w:tr w14:paraId="62D886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9" w:type="pct"/>
                  <w:noWrap/>
                  <w:vAlign w:val="center"/>
                </w:tcPr>
                <w:p w14:paraId="56C4D984">
                  <w:pPr>
                    <w:pStyle w:val="42"/>
                    <w:rPr>
                      <w:i/>
                      <w:iCs/>
                      <w:u w:val="single"/>
                    </w:rPr>
                  </w:pPr>
                  <w:r>
                    <w:rPr>
                      <w:i/>
                      <w:iCs/>
                      <w:u w:val="single"/>
                    </w:rPr>
                    <w:t>七鳃鳗目</w:t>
                  </w:r>
                </w:p>
                <w:p w14:paraId="53D4F21A">
                  <w:pPr>
                    <w:pStyle w:val="42"/>
                    <w:rPr>
                      <w:i/>
                      <w:iCs/>
                      <w:u w:val="single"/>
                    </w:rPr>
                  </w:pPr>
                  <w:r>
                    <w:rPr>
                      <w:i/>
                      <w:iCs/>
                      <w:u w:val="single"/>
                    </w:rPr>
                    <w:t xml:space="preserve"> Petromyzoniformes</w:t>
                  </w:r>
                </w:p>
              </w:tc>
              <w:tc>
                <w:tcPr>
                  <w:tcW w:w="1150" w:type="pct"/>
                  <w:noWrap/>
                  <w:vAlign w:val="center"/>
                </w:tcPr>
                <w:p w14:paraId="3A9EF50E">
                  <w:pPr>
                    <w:jc w:val="center"/>
                    <w:rPr>
                      <w:rFonts w:cs="Times New Roman"/>
                      <w:i/>
                      <w:iCs/>
                      <w:sz w:val="21"/>
                      <w:szCs w:val="21"/>
                      <w:u w:val="single"/>
                    </w:rPr>
                  </w:pPr>
                  <w:r>
                    <w:rPr>
                      <w:rFonts w:cs="Times New Roman"/>
                      <w:i/>
                      <w:iCs/>
                      <w:sz w:val="21"/>
                      <w:szCs w:val="21"/>
                      <w:u w:val="single"/>
                    </w:rPr>
                    <w:t>七鳃鳗科</w:t>
                  </w:r>
                </w:p>
                <w:p w14:paraId="2B58C097">
                  <w:pPr>
                    <w:jc w:val="center"/>
                    <w:rPr>
                      <w:rFonts w:cs="Times New Roman"/>
                      <w:i/>
                      <w:iCs/>
                      <w:sz w:val="21"/>
                      <w:szCs w:val="21"/>
                      <w:u w:val="single"/>
                    </w:rPr>
                  </w:pPr>
                  <w:r>
                    <w:rPr>
                      <w:rFonts w:cs="Times New Roman"/>
                      <w:i/>
                      <w:iCs/>
                      <w:sz w:val="21"/>
                      <w:szCs w:val="21"/>
                      <w:u w:val="single"/>
                    </w:rPr>
                    <w:t>Petromyzonidae</w:t>
                  </w:r>
                </w:p>
              </w:tc>
              <w:tc>
                <w:tcPr>
                  <w:tcW w:w="1477" w:type="pct"/>
                  <w:vAlign w:val="center"/>
                </w:tcPr>
                <w:p w14:paraId="2CBFB2B0">
                  <w:pPr>
                    <w:rPr>
                      <w:i/>
                      <w:iCs/>
                      <w:sz w:val="21"/>
                      <w:szCs w:val="21"/>
                      <w:u w:val="single"/>
                    </w:rPr>
                  </w:pPr>
                  <w:r>
                    <w:rPr>
                      <w:i/>
                      <w:iCs/>
                      <w:sz w:val="21"/>
                      <w:szCs w:val="21"/>
                      <w:u w:val="single"/>
                    </w:rPr>
                    <w:t>东北七鳃鳗</w:t>
                  </w:r>
                </w:p>
                <w:p w14:paraId="06E11EFA">
                  <w:pPr>
                    <w:rPr>
                      <w:rFonts w:cs="Times New Roman"/>
                      <w:i/>
                      <w:iCs/>
                      <w:sz w:val="21"/>
                      <w:szCs w:val="21"/>
                      <w:u w:val="single"/>
                    </w:rPr>
                  </w:pPr>
                  <w:r>
                    <w:rPr>
                      <w:i/>
                      <w:iCs/>
                      <w:sz w:val="21"/>
                      <w:szCs w:val="21"/>
                      <w:u w:val="single"/>
                    </w:rPr>
                    <w:t>Eudontomyzon morii</w:t>
                  </w:r>
                </w:p>
              </w:tc>
              <w:tc>
                <w:tcPr>
                  <w:tcW w:w="646" w:type="pct"/>
                  <w:vAlign w:val="center"/>
                </w:tcPr>
                <w:p w14:paraId="056E0031">
                  <w:pPr>
                    <w:jc w:val="center"/>
                    <w:rPr>
                      <w:rFonts w:cs="Times New Roman"/>
                      <w:i/>
                      <w:iCs/>
                      <w:sz w:val="21"/>
                      <w:szCs w:val="21"/>
                      <w:u w:val="single"/>
                    </w:rPr>
                  </w:pPr>
                  <w:r>
                    <w:rPr>
                      <w:rFonts w:cs="Times New Roman"/>
                      <w:i/>
                      <w:iCs/>
                      <w:sz w:val="21"/>
                      <w:szCs w:val="21"/>
                      <w:u w:val="single"/>
                    </w:rPr>
                    <w:t>VU</w:t>
                  </w:r>
                </w:p>
              </w:tc>
              <w:tc>
                <w:tcPr>
                  <w:tcW w:w="438" w:type="pct"/>
                  <w:vAlign w:val="center"/>
                </w:tcPr>
                <w:p w14:paraId="680A0116">
                  <w:pPr>
                    <w:jc w:val="center"/>
                    <w:rPr>
                      <w:rFonts w:cs="Times New Roman"/>
                      <w:i/>
                      <w:iCs/>
                      <w:sz w:val="21"/>
                      <w:szCs w:val="21"/>
                      <w:u w:val="single"/>
                    </w:rPr>
                  </w:pPr>
                  <w:r>
                    <w:rPr>
                      <w:rFonts w:cs="Times New Roman"/>
                      <w:i/>
                      <w:iCs/>
                      <w:sz w:val="21"/>
                      <w:szCs w:val="21"/>
                      <w:u w:val="single"/>
                    </w:rPr>
                    <w:t>Ⅱ</w:t>
                  </w:r>
                </w:p>
              </w:tc>
            </w:tr>
            <w:tr w14:paraId="1E6A2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9" w:type="pct"/>
                  <w:noWrap/>
                  <w:vAlign w:val="center"/>
                </w:tcPr>
                <w:p w14:paraId="2C5E1C83">
                  <w:pPr>
                    <w:pStyle w:val="42"/>
                    <w:rPr>
                      <w:i/>
                      <w:iCs/>
                      <w:u w:val="single"/>
                    </w:rPr>
                  </w:pPr>
                  <w:r>
                    <w:rPr>
                      <w:i/>
                      <w:iCs/>
                      <w:u w:val="single"/>
                    </w:rPr>
                    <w:t>鲑形目</w:t>
                  </w:r>
                </w:p>
                <w:p w14:paraId="279B917E">
                  <w:pPr>
                    <w:pStyle w:val="42"/>
                    <w:rPr>
                      <w:i/>
                      <w:iCs/>
                      <w:u w:val="single"/>
                    </w:rPr>
                  </w:pPr>
                  <w:r>
                    <w:rPr>
                      <w:i/>
                      <w:iCs/>
                      <w:u w:val="single"/>
                    </w:rPr>
                    <w:t xml:space="preserve"> Salmoniformes</w:t>
                  </w:r>
                </w:p>
              </w:tc>
              <w:tc>
                <w:tcPr>
                  <w:tcW w:w="1150" w:type="pct"/>
                  <w:noWrap/>
                  <w:vAlign w:val="center"/>
                </w:tcPr>
                <w:p w14:paraId="6AAE3F8C">
                  <w:pPr>
                    <w:jc w:val="center"/>
                    <w:rPr>
                      <w:rFonts w:cs="Times New Roman"/>
                      <w:i/>
                      <w:iCs/>
                      <w:sz w:val="21"/>
                      <w:szCs w:val="21"/>
                      <w:u w:val="single"/>
                      <w:lang w:bidi="ar"/>
                    </w:rPr>
                  </w:pPr>
                  <w:r>
                    <w:rPr>
                      <w:rFonts w:cs="Times New Roman"/>
                      <w:i/>
                      <w:iCs/>
                      <w:sz w:val="21"/>
                      <w:szCs w:val="21"/>
                      <w:u w:val="single"/>
                      <w:lang w:bidi="ar"/>
                    </w:rPr>
                    <w:t>鲑科</w:t>
                  </w:r>
                </w:p>
                <w:p w14:paraId="1629506A">
                  <w:pPr>
                    <w:jc w:val="center"/>
                    <w:rPr>
                      <w:rFonts w:cs="Times New Roman"/>
                      <w:i/>
                      <w:iCs/>
                      <w:sz w:val="21"/>
                      <w:szCs w:val="21"/>
                      <w:u w:val="single"/>
                    </w:rPr>
                  </w:pPr>
                  <w:r>
                    <w:rPr>
                      <w:rFonts w:cs="Times New Roman"/>
                      <w:i/>
                      <w:iCs/>
                      <w:sz w:val="21"/>
                      <w:szCs w:val="21"/>
                      <w:u w:val="single"/>
                      <w:lang w:bidi="ar"/>
                    </w:rPr>
                    <w:t>Salmoniformes</w:t>
                  </w:r>
                </w:p>
              </w:tc>
              <w:tc>
                <w:tcPr>
                  <w:tcW w:w="1477" w:type="pct"/>
                  <w:vAlign w:val="center"/>
                </w:tcPr>
                <w:p w14:paraId="41AD7C63">
                  <w:pPr>
                    <w:rPr>
                      <w:i/>
                      <w:iCs/>
                      <w:sz w:val="21"/>
                      <w:szCs w:val="21"/>
                      <w:u w:val="single"/>
                    </w:rPr>
                  </w:pPr>
                  <w:r>
                    <w:rPr>
                      <w:i/>
                      <w:iCs/>
                      <w:sz w:val="21"/>
                      <w:szCs w:val="21"/>
                      <w:u w:val="single"/>
                    </w:rPr>
                    <w:t>花羔红点鲑</w:t>
                  </w:r>
                </w:p>
                <w:p w14:paraId="49FEAA7B">
                  <w:pPr>
                    <w:rPr>
                      <w:rFonts w:cs="Times New Roman"/>
                      <w:i/>
                      <w:iCs/>
                      <w:sz w:val="21"/>
                      <w:szCs w:val="21"/>
                      <w:u w:val="single"/>
                    </w:rPr>
                  </w:pPr>
                  <w:r>
                    <w:rPr>
                      <w:i/>
                      <w:iCs/>
                      <w:sz w:val="21"/>
                      <w:szCs w:val="21"/>
                      <w:u w:val="single"/>
                    </w:rPr>
                    <w:t>Salvelinus malma</w:t>
                  </w:r>
                </w:p>
              </w:tc>
              <w:tc>
                <w:tcPr>
                  <w:tcW w:w="646" w:type="pct"/>
                  <w:vAlign w:val="center"/>
                </w:tcPr>
                <w:p w14:paraId="49DEFE75">
                  <w:pPr>
                    <w:ind w:firstLine="105" w:firstLineChars="50"/>
                    <w:jc w:val="center"/>
                    <w:rPr>
                      <w:rFonts w:cs="Times New Roman"/>
                      <w:i/>
                      <w:iCs/>
                      <w:sz w:val="21"/>
                      <w:szCs w:val="21"/>
                      <w:u w:val="single"/>
                    </w:rPr>
                  </w:pPr>
                  <w:r>
                    <w:rPr>
                      <w:rFonts w:hint="eastAsia" w:cs="Times New Roman"/>
                      <w:i/>
                      <w:iCs/>
                      <w:sz w:val="21"/>
                      <w:szCs w:val="21"/>
                      <w:u w:val="single"/>
                    </w:rPr>
                    <w:t>DD</w:t>
                  </w:r>
                </w:p>
              </w:tc>
              <w:tc>
                <w:tcPr>
                  <w:tcW w:w="438" w:type="pct"/>
                  <w:vAlign w:val="center"/>
                </w:tcPr>
                <w:p w14:paraId="0AD4BD2D">
                  <w:pPr>
                    <w:ind w:firstLine="105" w:firstLineChars="50"/>
                    <w:jc w:val="center"/>
                    <w:rPr>
                      <w:rFonts w:cs="Times New Roman"/>
                      <w:i/>
                      <w:iCs/>
                      <w:sz w:val="21"/>
                      <w:szCs w:val="21"/>
                      <w:u w:val="single"/>
                    </w:rPr>
                  </w:pPr>
                  <w:r>
                    <w:rPr>
                      <w:rFonts w:cs="Times New Roman"/>
                      <w:i/>
                      <w:iCs/>
                      <w:sz w:val="21"/>
                      <w:szCs w:val="21"/>
                      <w:u w:val="single"/>
                    </w:rPr>
                    <w:t>Ⅱ</w:t>
                  </w:r>
                </w:p>
              </w:tc>
            </w:tr>
            <w:tr w14:paraId="245AED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9" w:type="pct"/>
                  <w:noWrap/>
                  <w:vAlign w:val="center"/>
                </w:tcPr>
                <w:p w14:paraId="6934AF92">
                  <w:pPr>
                    <w:pStyle w:val="42"/>
                    <w:rPr>
                      <w:i/>
                      <w:iCs/>
                      <w:u w:val="single"/>
                    </w:rPr>
                  </w:pPr>
                </w:p>
              </w:tc>
              <w:tc>
                <w:tcPr>
                  <w:tcW w:w="1150" w:type="pct"/>
                  <w:noWrap/>
                  <w:vAlign w:val="center"/>
                </w:tcPr>
                <w:p w14:paraId="25405DB1">
                  <w:pPr>
                    <w:rPr>
                      <w:rFonts w:cs="Times New Roman"/>
                      <w:i/>
                      <w:iCs/>
                      <w:sz w:val="21"/>
                      <w:szCs w:val="21"/>
                      <w:u w:val="single"/>
                    </w:rPr>
                  </w:pPr>
                </w:p>
              </w:tc>
              <w:tc>
                <w:tcPr>
                  <w:tcW w:w="1477" w:type="pct"/>
                  <w:vAlign w:val="center"/>
                </w:tcPr>
                <w:p w14:paraId="3AF0B442">
                  <w:pPr>
                    <w:rPr>
                      <w:i/>
                      <w:iCs/>
                      <w:sz w:val="21"/>
                      <w:szCs w:val="21"/>
                      <w:u w:val="single"/>
                    </w:rPr>
                  </w:pPr>
                  <w:r>
                    <w:rPr>
                      <w:rFonts w:hint="eastAsia"/>
                      <w:i/>
                      <w:iCs/>
                      <w:sz w:val="21"/>
                      <w:szCs w:val="21"/>
                      <w:u w:val="single"/>
                    </w:rPr>
                    <w:t>石川氏哲罗鲑</w:t>
                  </w:r>
                </w:p>
                <w:p w14:paraId="31570720">
                  <w:pPr>
                    <w:rPr>
                      <w:rFonts w:cs="Times New Roman"/>
                      <w:i/>
                      <w:iCs/>
                      <w:sz w:val="21"/>
                      <w:szCs w:val="21"/>
                      <w:u w:val="single"/>
                    </w:rPr>
                  </w:pPr>
                  <w:r>
                    <w:rPr>
                      <w:i/>
                      <w:iCs/>
                      <w:sz w:val="21"/>
                      <w:szCs w:val="21"/>
                      <w:u w:val="single"/>
                    </w:rPr>
                    <w:t>Hucho ishikawae</w:t>
                  </w:r>
                </w:p>
              </w:tc>
              <w:tc>
                <w:tcPr>
                  <w:tcW w:w="646" w:type="pct"/>
                  <w:vAlign w:val="center"/>
                </w:tcPr>
                <w:p w14:paraId="72B91676">
                  <w:pPr>
                    <w:ind w:firstLine="105" w:firstLineChars="50"/>
                    <w:jc w:val="center"/>
                    <w:rPr>
                      <w:rFonts w:cs="Times New Roman"/>
                      <w:i/>
                      <w:iCs/>
                      <w:sz w:val="21"/>
                      <w:szCs w:val="21"/>
                      <w:u w:val="single"/>
                    </w:rPr>
                  </w:pPr>
                  <w:r>
                    <w:rPr>
                      <w:rFonts w:hint="eastAsia" w:cs="Times New Roman"/>
                      <w:i/>
                      <w:iCs/>
                      <w:sz w:val="21"/>
                      <w:szCs w:val="21"/>
                      <w:u w:val="single"/>
                    </w:rPr>
                    <w:t>DD</w:t>
                  </w:r>
                </w:p>
              </w:tc>
              <w:tc>
                <w:tcPr>
                  <w:tcW w:w="438" w:type="pct"/>
                  <w:vAlign w:val="center"/>
                </w:tcPr>
                <w:p w14:paraId="419FA3C7">
                  <w:pPr>
                    <w:ind w:firstLine="105" w:firstLineChars="50"/>
                    <w:jc w:val="center"/>
                    <w:rPr>
                      <w:rFonts w:cs="Times New Roman"/>
                      <w:i/>
                      <w:iCs/>
                      <w:sz w:val="21"/>
                      <w:szCs w:val="21"/>
                      <w:u w:val="single"/>
                    </w:rPr>
                  </w:pPr>
                  <w:r>
                    <w:rPr>
                      <w:rFonts w:cs="Times New Roman"/>
                      <w:i/>
                      <w:iCs/>
                      <w:sz w:val="21"/>
                      <w:szCs w:val="21"/>
                      <w:u w:val="single"/>
                    </w:rPr>
                    <w:t>Ⅱ</w:t>
                  </w:r>
                </w:p>
              </w:tc>
            </w:tr>
            <w:tr w14:paraId="0CEEE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9" w:type="pct"/>
                  <w:noWrap/>
                  <w:vAlign w:val="center"/>
                </w:tcPr>
                <w:p w14:paraId="4F4F4F6F">
                  <w:pPr>
                    <w:pStyle w:val="42"/>
                    <w:rPr>
                      <w:i/>
                      <w:iCs/>
                      <w:u w:val="single"/>
                    </w:rPr>
                  </w:pPr>
                </w:p>
              </w:tc>
              <w:tc>
                <w:tcPr>
                  <w:tcW w:w="1150" w:type="pct"/>
                  <w:noWrap/>
                  <w:vAlign w:val="center"/>
                </w:tcPr>
                <w:p w14:paraId="30A73DB3">
                  <w:pPr>
                    <w:spacing w:beforeAutospacing="1" w:after="80"/>
                    <w:rPr>
                      <w:rFonts w:cs="Times New Roman"/>
                      <w:i/>
                      <w:iCs/>
                      <w:sz w:val="21"/>
                      <w:szCs w:val="21"/>
                      <w:u w:val="single"/>
                    </w:rPr>
                  </w:pPr>
                </w:p>
              </w:tc>
              <w:tc>
                <w:tcPr>
                  <w:tcW w:w="1477" w:type="pct"/>
                  <w:vAlign w:val="center"/>
                </w:tcPr>
                <w:p w14:paraId="18501844">
                  <w:pPr>
                    <w:rPr>
                      <w:i/>
                      <w:iCs/>
                      <w:sz w:val="21"/>
                      <w:szCs w:val="21"/>
                      <w:u w:val="single"/>
                    </w:rPr>
                  </w:pPr>
                  <w:r>
                    <w:rPr>
                      <w:rFonts w:hint="eastAsia"/>
                      <w:i/>
                      <w:iCs/>
                      <w:sz w:val="21"/>
                      <w:szCs w:val="21"/>
                      <w:u w:val="single"/>
                    </w:rPr>
                    <w:t>细鳞鲑</w:t>
                  </w:r>
                </w:p>
                <w:p w14:paraId="1AF6D6D8">
                  <w:pPr>
                    <w:rPr>
                      <w:i/>
                      <w:iCs/>
                      <w:sz w:val="21"/>
                      <w:szCs w:val="21"/>
                      <w:u w:val="single"/>
                    </w:rPr>
                  </w:pPr>
                  <w:r>
                    <w:rPr>
                      <w:i/>
                      <w:iCs/>
                      <w:sz w:val="21"/>
                      <w:szCs w:val="21"/>
                      <w:u w:val="single"/>
                    </w:rPr>
                    <w:t>Brachymystax lenok</w:t>
                  </w:r>
                </w:p>
              </w:tc>
              <w:tc>
                <w:tcPr>
                  <w:tcW w:w="646" w:type="pct"/>
                  <w:vAlign w:val="center"/>
                </w:tcPr>
                <w:p w14:paraId="0A9CD5A5">
                  <w:pPr>
                    <w:spacing w:line="288" w:lineRule="auto"/>
                    <w:jc w:val="center"/>
                    <w:rPr>
                      <w:i/>
                      <w:iCs/>
                      <w:sz w:val="21"/>
                      <w:szCs w:val="21"/>
                      <w:u w:val="single"/>
                    </w:rPr>
                  </w:pPr>
                  <w:r>
                    <w:rPr>
                      <w:i/>
                      <w:iCs/>
                      <w:sz w:val="21"/>
                      <w:szCs w:val="21"/>
                      <w:u w:val="single"/>
                    </w:rPr>
                    <w:t>VU</w:t>
                  </w:r>
                </w:p>
              </w:tc>
              <w:tc>
                <w:tcPr>
                  <w:tcW w:w="438" w:type="pct"/>
                  <w:vAlign w:val="center"/>
                </w:tcPr>
                <w:p w14:paraId="3DBCBEC2">
                  <w:pPr>
                    <w:spacing w:line="288" w:lineRule="auto"/>
                    <w:jc w:val="center"/>
                    <w:rPr>
                      <w:i/>
                      <w:iCs/>
                      <w:sz w:val="21"/>
                      <w:szCs w:val="21"/>
                      <w:u w:val="single"/>
                    </w:rPr>
                  </w:pPr>
                  <w:r>
                    <w:rPr>
                      <w:i/>
                      <w:iCs/>
                      <w:sz w:val="21"/>
                      <w:szCs w:val="21"/>
                      <w:u w:val="single"/>
                    </w:rPr>
                    <w:t>Ⅱ</w:t>
                  </w:r>
                </w:p>
              </w:tc>
            </w:tr>
            <w:tr w14:paraId="408D30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89" w:type="pct"/>
                  <w:noWrap/>
                  <w:vAlign w:val="center"/>
                </w:tcPr>
                <w:p w14:paraId="44D02ABD">
                  <w:pPr>
                    <w:pStyle w:val="42"/>
                    <w:rPr>
                      <w:i/>
                      <w:iCs/>
                      <w:u w:val="single"/>
                    </w:rPr>
                  </w:pPr>
                </w:p>
              </w:tc>
              <w:tc>
                <w:tcPr>
                  <w:tcW w:w="1150" w:type="pct"/>
                  <w:noWrap/>
                  <w:vAlign w:val="center"/>
                </w:tcPr>
                <w:p w14:paraId="01046151">
                  <w:pPr>
                    <w:spacing w:beforeAutospacing="1" w:after="80"/>
                    <w:rPr>
                      <w:rFonts w:cs="Times New Roman"/>
                      <w:i/>
                      <w:iCs/>
                      <w:sz w:val="21"/>
                      <w:szCs w:val="21"/>
                      <w:u w:val="single"/>
                    </w:rPr>
                  </w:pPr>
                </w:p>
              </w:tc>
              <w:tc>
                <w:tcPr>
                  <w:tcW w:w="1477" w:type="pct"/>
                  <w:vAlign w:val="center"/>
                </w:tcPr>
                <w:p w14:paraId="7C8ED793">
                  <w:pPr>
                    <w:rPr>
                      <w:i/>
                      <w:iCs/>
                      <w:sz w:val="21"/>
                      <w:szCs w:val="21"/>
                      <w:u w:val="single"/>
                    </w:rPr>
                  </w:pPr>
                  <w:r>
                    <w:rPr>
                      <w:rFonts w:hint="eastAsia"/>
                      <w:i/>
                      <w:iCs/>
                      <w:sz w:val="21"/>
                      <w:szCs w:val="21"/>
                      <w:u w:val="single"/>
                    </w:rPr>
                    <w:t>鸭绿江茴鱼</w:t>
                  </w:r>
                </w:p>
                <w:p w14:paraId="20160CEF">
                  <w:pPr>
                    <w:rPr>
                      <w:i/>
                      <w:iCs/>
                      <w:sz w:val="21"/>
                      <w:szCs w:val="21"/>
                      <w:u w:val="single"/>
                    </w:rPr>
                  </w:pPr>
                  <w:r>
                    <w:rPr>
                      <w:i/>
                      <w:iCs/>
                      <w:sz w:val="21"/>
                      <w:szCs w:val="21"/>
                      <w:u w:val="single"/>
                    </w:rPr>
                    <w:t>Thymallus arcticus yaluensis</w:t>
                  </w:r>
                </w:p>
              </w:tc>
              <w:tc>
                <w:tcPr>
                  <w:tcW w:w="646" w:type="pct"/>
                  <w:vAlign w:val="center"/>
                </w:tcPr>
                <w:p w14:paraId="08FB029F">
                  <w:pPr>
                    <w:spacing w:line="288" w:lineRule="auto"/>
                    <w:jc w:val="center"/>
                    <w:rPr>
                      <w:i/>
                      <w:iCs/>
                      <w:sz w:val="21"/>
                      <w:szCs w:val="21"/>
                      <w:u w:val="single"/>
                    </w:rPr>
                  </w:pPr>
                  <w:r>
                    <w:rPr>
                      <w:rFonts w:hint="eastAsia"/>
                      <w:i/>
                      <w:iCs/>
                      <w:sz w:val="21"/>
                      <w:szCs w:val="21"/>
                      <w:u w:val="single"/>
                    </w:rPr>
                    <w:t>DD</w:t>
                  </w:r>
                </w:p>
              </w:tc>
              <w:tc>
                <w:tcPr>
                  <w:tcW w:w="438" w:type="pct"/>
                  <w:vAlign w:val="center"/>
                </w:tcPr>
                <w:p w14:paraId="20A04BEB">
                  <w:pPr>
                    <w:spacing w:line="288" w:lineRule="auto"/>
                    <w:jc w:val="center"/>
                    <w:rPr>
                      <w:i/>
                      <w:iCs/>
                      <w:sz w:val="21"/>
                      <w:szCs w:val="21"/>
                      <w:u w:val="single"/>
                    </w:rPr>
                  </w:pPr>
                  <w:r>
                    <w:rPr>
                      <w:i/>
                      <w:iCs/>
                      <w:sz w:val="21"/>
                      <w:szCs w:val="21"/>
                      <w:u w:val="single"/>
                    </w:rPr>
                    <w:t>Ⅱ</w:t>
                  </w:r>
                </w:p>
              </w:tc>
            </w:tr>
          </w:tbl>
          <w:p w14:paraId="4F826EF5">
            <w:pPr>
              <w:rPr>
                <w:b/>
                <w:bCs/>
                <w:sz w:val="21"/>
                <w:szCs w:val="20"/>
                <w:u w:val="single"/>
              </w:rPr>
            </w:pPr>
            <w:r>
              <w:rPr>
                <w:rFonts w:hint="eastAsia"/>
                <w:b/>
                <w:bCs/>
                <w:sz w:val="21"/>
                <w:szCs w:val="20"/>
                <w:u w:val="single"/>
              </w:rPr>
              <w:t>注：“极危( Critically Endangered，CR),濒危(Endangered, EN)、易危(Vulnerable,VU),无危 (Least Concern，LC)，数据缺乏（Data Deficient，DD）。</w:t>
            </w:r>
          </w:p>
          <w:p w14:paraId="5BBAE090">
            <w:pPr>
              <w:spacing w:line="360" w:lineRule="auto"/>
              <w:ind w:firstLine="480" w:firstLineChars="200"/>
            </w:pPr>
          </w:p>
          <w:p w14:paraId="301C5EAD">
            <w:pPr>
              <w:spacing w:line="360" w:lineRule="auto"/>
              <w:ind w:firstLine="482" w:firstLineChars="200"/>
              <w:rPr>
                <w:b/>
                <w:bCs/>
                <w:u w:val="single"/>
              </w:rPr>
            </w:pPr>
            <w:r>
              <w:rPr>
                <w:rFonts w:hint="eastAsia"/>
                <w:b/>
                <w:bCs/>
                <w:u w:val="single"/>
              </w:rPr>
              <w:t>20世纪80年代中期以前，鸭绿江上游及其支流一直是细鳞鲑、花羔红点鲑、鸭绿江茴鱼等珍稀冷水鱼类的繁殖和生活场所。随着生态环境的变化和人类干扰的增加，珍贵、特有和濒危鱼类资源急剧下降，石川哲罗鲑多年未见，已濒临灭绝，如下表所示：</w:t>
            </w:r>
          </w:p>
          <w:p w14:paraId="136C8C31">
            <w:pPr>
              <w:spacing w:line="360" w:lineRule="auto"/>
              <w:ind w:firstLine="480" w:firstLineChars="200"/>
            </w:pPr>
          </w:p>
          <w:p w14:paraId="6785D307">
            <w:pPr>
              <w:spacing w:line="360" w:lineRule="auto"/>
              <w:jc w:val="center"/>
              <w:rPr>
                <w:rFonts w:cs="Times New Roman"/>
                <w:b/>
                <w:szCs w:val="21"/>
                <w:u w:val="single"/>
              </w:rPr>
            </w:pPr>
            <w:r>
              <w:rPr>
                <w:rFonts w:cs="Times New Roman"/>
                <w:b/>
                <w:szCs w:val="21"/>
                <w:u w:val="single"/>
              </w:rPr>
              <w:t>表</w:t>
            </w:r>
            <w:r>
              <w:rPr>
                <w:rFonts w:hint="eastAsia" w:cs="Times New Roman"/>
                <w:b/>
                <w:szCs w:val="21"/>
                <w:u w:val="single"/>
              </w:rPr>
              <w:t>2</w:t>
            </w:r>
            <w:r>
              <w:rPr>
                <w:rFonts w:cs="Times New Roman"/>
                <w:b/>
                <w:szCs w:val="21"/>
                <w:u w:val="single"/>
              </w:rPr>
              <w:t>7</w:t>
            </w:r>
            <w:r>
              <w:rPr>
                <w:rFonts w:hint="eastAsia" w:cs="Times New Roman"/>
                <w:b/>
                <w:szCs w:val="21"/>
                <w:u w:val="single"/>
              </w:rPr>
              <w:t xml:space="preserve">  </w:t>
            </w:r>
            <w:r>
              <w:rPr>
                <w:rFonts w:cs="Times New Roman"/>
                <w:b/>
                <w:szCs w:val="21"/>
                <w:u w:val="single"/>
              </w:rPr>
              <w:t xml:space="preserve"> 珍贵、特有和濒危鱼类主要生物学及资源量评价</w:t>
            </w:r>
          </w:p>
          <w:tbl>
            <w:tblPr>
              <w:tblStyle w:val="5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015"/>
              <w:gridCol w:w="2129"/>
              <w:gridCol w:w="1747"/>
              <w:gridCol w:w="983"/>
            </w:tblGrid>
            <w:tr w14:paraId="443C2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41" w:type="pct"/>
                  <w:vAlign w:val="center"/>
                </w:tcPr>
                <w:p w14:paraId="13FD9C25">
                  <w:pPr>
                    <w:adjustRightInd w:val="0"/>
                    <w:snapToGrid w:val="0"/>
                    <w:jc w:val="center"/>
                    <w:rPr>
                      <w:rFonts w:cs="Times New Roman"/>
                      <w:b/>
                      <w:bCs/>
                      <w:i/>
                      <w:iCs/>
                      <w:kern w:val="0"/>
                      <w:sz w:val="21"/>
                      <w:szCs w:val="21"/>
                      <w:u w:val="single"/>
                    </w:rPr>
                  </w:pPr>
                  <w:r>
                    <w:rPr>
                      <w:rFonts w:cs="Times New Roman"/>
                      <w:b/>
                      <w:bCs/>
                      <w:i/>
                      <w:iCs/>
                      <w:kern w:val="0"/>
                      <w:sz w:val="21"/>
                      <w:szCs w:val="21"/>
                      <w:u w:val="single"/>
                    </w:rPr>
                    <w:t>种类</w:t>
                  </w:r>
                </w:p>
              </w:tc>
              <w:tc>
                <w:tcPr>
                  <w:tcW w:w="1278" w:type="pct"/>
                  <w:vAlign w:val="center"/>
                </w:tcPr>
                <w:p w14:paraId="035C00CD">
                  <w:pPr>
                    <w:adjustRightInd w:val="0"/>
                    <w:snapToGrid w:val="0"/>
                    <w:jc w:val="center"/>
                    <w:rPr>
                      <w:rFonts w:cs="Times New Roman"/>
                      <w:b/>
                      <w:bCs/>
                      <w:i/>
                      <w:iCs/>
                      <w:kern w:val="0"/>
                      <w:sz w:val="21"/>
                      <w:szCs w:val="21"/>
                      <w:u w:val="single"/>
                    </w:rPr>
                  </w:pPr>
                  <w:r>
                    <w:rPr>
                      <w:rFonts w:cs="Times New Roman"/>
                      <w:b/>
                      <w:bCs/>
                      <w:i/>
                      <w:iCs/>
                      <w:kern w:val="0"/>
                      <w:sz w:val="21"/>
                      <w:szCs w:val="21"/>
                      <w:u w:val="single"/>
                    </w:rPr>
                    <w:t>繁殖生物学</w:t>
                  </w:r>
                </w:p>
              </w:tc>
              <w:tc>
                <w:tcPr>
                  <w:tcW w:w="1350" w:type="pct"/>
                  <w:vAlign w:val="center"/>
                </w:tcPr>
                <w:p w14:paraId="7B976547">
                  <w:pPr>
                    <w:adjustRightInd w:val="0"/>
                    <w:snapToGrid w:val="0"/>
                    <w:jc w:val="center"/>
                    <w:rPr>
                      <w:rFonts w:cs="Times New Roman"/>
                      <w:b/>
                      <w:bCs/>
                      <w:i/>
                      <w:iCs/>
                      <w:kern w:val="0"/>
                      <w:sz w:val="21"/>
                      <w:szCs w:val="21"/>
                      <w:u w:val="single"/>
                    </w:rPr>
                  </w:pPr>
                  <w:r>
                    <w:rPr>
                      <w:rFonts w:cs="Times New Roman"/>
                      <w:b/>
                      <w:bCs/>
                      <w:i/>
                      <w:iCs/>
                      <w:kern w:val="0"/>
                      <w:sz w:val="21"/>
                      <w:szCs w:val="21"/>
                      <w:u w:val="single"/>
                    </w:rPr>
                    <w:t>栖息环境</w:t>
                  </w:r>
                </w:p>
              </w:tc>
              <w:tc>
                <w:tcPr>
                  <w:tcW w:w="1108" w:type="pct"/>
                  <w:vAlign w:val="center"/>
                </w:tcPr>
                <w:p w14:paraId="7A154675">
                  <w:pPr>
                    <w:adjustRightInd w:val="0"/>
                    <w:snapToGrid w:val="0"/>
                    <w:jc w:val="center"/>
                    <w:rPr>
                      <w:rFonts w:cs="Times New Roman"/>
                      <w:b/>
                      <w:bCs/>
                      <w:i/>
                      <w:iCs/>
                      <w:kern w:val="0"/>
                      <w:sz w:val="21"/>
                      <w:szCs w:val="21"/>
                      <w:u w:val="single"/>
                    </w:rPr>
                  </w:pPr>
                  <w:r>
                    <w:rPr>
                      <w:rFonts w:cs="Times New Roman"/>
                      <w:b/>
                      <w:bCs/>
                      <w:i/>
                      <w:iCs/>
                      <w:kern w:val="0"/>
                      <w:sz w:val="21"/>
                      <w:szCs w:val="21"/>
                      <w:u w:val="single"/>
                    </w:rPr>
                    <w:t>食性</w:t>
                  </w:r>
                </w:p>
              </w:tc>
              <w:tc>
                <w:tcPr>
                  <w:tcW w:w="623" w:type="pct"/>
                  <w:vAlign w:val="center"/>
                </w:tcPr>
                <w:p w14:paraId="1D3CE57A">
                  <w:pPr>
                    <w:adjustRightInd w:val="0"/>
                    <w:snapToGrid w:val="0"/>
                    <w:jc w:val="center"/>
                    <w:rPr>
                      <w:rFonts w:cs="Times New Roman"/>
                      <w:b/>
                      <w:bCs/>
                      <w:i/>
                      <w:iCs/>
                      <w:kern w:val="0"/>
                      <w:sz w:val="21"/>
                      <w:szCs w:val="21"/>
                      <w:u w:val="single"/>
                    </w:rPr>
                  </w:pPr>
                  <w:r>
                    <w:rPr>
                      <w:rFonts w:cs="Times New Roman"/>
                      <w:b/>
                      <w:bCs/>
                      <w:i/>
                      <w:iCs/>
                      <w:kern w:val="0"/>
                      <w:sz w:val="21"/>
                      <w:szCs w:val="21"/>
                      <w:u w:val="single"/>
                    </w:rPr>
                    <w:t>资源量评价</w:t>
                  </w:r>
                </w:p>
              </w:tc>
            </w:tr>
            <w:tr w14:paraId="7291A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41" w:type="pct"/>
                  <w:vAlign w:val="center"/>
                </w:tcPr>
                <w:p w14:paraId="53A09F01">
                  <w:pPr>
                    <w:adjustRightInd w:val="0"/>
                    <w:snapToGrid w:val="0"/>
                    <w:jc w:val="center"/>
                    <w:rPr>
                      <w:rFonts w:cs="Times New Roman"/>
                      <w:i/>
                      <w:iCs/>
                      <w:kern w:val="0"/>
                      <w:sz w:val="21"/>
                      <w:szCs w:val="21"/>
                      <w:u w:val="single"/>
                    </w:rPr>
                  </w:pPr>
                  <w:r>
                    <w:rPr>
                      <w:rFonts w:hint="eastAsia" w:cs="Times New Roman"/>
                      <w:i/>
                      <w:iCs/>
                      <w:kern w:val="0"/>
                      <w:sz w:val="21"/>
                      <w:szCs w:val="21"/>
                      <w:u w:val="single"/>
                    </w:rPr>
                    <w:t>东北七鳃鳗</w:t>
                  </w:r>
                </w:p>
              </w:tc>
              <w:tc>
                <w:tcPr>
                  <w:tcW w:w="1278" w:type="pct"/>
                  <w:vAlign w:val="center"/>
                </w:tcPr>
                <w:p w14:paraId="5400D064">
                  <w:pPr>
                    <w:adjustRightInd w:val="0"/>
                    <w:snapToGrid w:val="0"/>
                    <w:jc w:val="center"/>
                    <w:rPr>
                      <w:rFonts w:cs="Times New Roman"/>
                      <w:i/>
                      <w:iCs/>
                      <w:kern w:val="0"/>
                      <w:sz w:val="21"/>
                      <w:szCs w:val="21"/>
                      <w:u w:val="single"/>
                    </w:rPr>
                  </w:pPr>
                  <w:r>
                    <w:rPr>
                      <w:rFonts w:cs="Times New Roman"/>
                      <w:i/>
                      <w:iCs/>
                      <w:kern w:val="0"/>
                      <w:sz w:val="21"/>
                      <w:szCs w:val="21"/>
                      <w:u w:val="single"/>
                    </w:rPr>
                    <w:t>产卵期5月末至9月份。绝对生殖力为3500粒左右，产卵后部分亲体死亡，部分亲体从精疲力竭状态恢复过来继续生存。</w:t>
                  </w:r>
                </w:p>
              </w:tc>
              <w:tc>
                <w:tcPr>
                  <w:tcW w:w="1350" w:type="pct"/>
                  <w:vAlign w:val="center"/>
                </w:tcPr>
                <w:p w14:paraId="3E475CCD">
                  <w:pPr>
                    <w:adjustRightInd w:val="0"/>
                    <w:snapToGrid w:val="0"/>
                    <w:jc w:val="center"/>
                    <w:rPr>
                      <w:rFonts w:cs="Times New Roman"/>
                      <w:i/>
                      <w:iCs/>
                      <w:kern w:val="0"/>
                      <w:sz w:val="21"/>
                      <w:szCs w:val="21"/>
                      <w:u w:val="single"/>
                    </w:rPr>
                  </w:pPr>
                  <w:r>
                    <w:rPr>
                      <w:rFonts w:cs="Times New Roman"/>
                      <w:i/>
                      <w:iCs/>
                      <w:kern w:val="0"/>
                      <w:sz w:val="21"/>
                      <w:szCs w:val="21"/>
                      <w:u w:val="single"/>
                    </w:rPr>
                    <w:t>栖于有缓流、沙质地质。白天钻入沙内或藏于石下。</w:t>
                  </w:r>
                </w:p>
              </w:tc>
              <w:tc>
                <w:tcPr>
                  <w:tcW w:w="1108" w:type="pct"/>
                  <w:vAlign w:val="center"/>
                </w:tcPr>
                <w:p w14:paraId="52C00175">
                  <w:pPr>
                    <w:adjustRightInd w:val="0"/>
                    <w:snapToGrid w:val="0"/>
                    <w:jc w:val="center"/>
                    <w:rPr>
                      <w:rFonts w:cs="Times New Roman"/>
                      <w:i/>
                      <w:iCs/>
                      <w:kern w:val="0"/>
                      <w:sz w:val="21"/>
                      <w:szCs w:val="21"/>
                      <w:u w:val="single"/>
                    </w:rPr>
                  </w:pPr>
                  <w:r>
                    <w:rPr>
                      <w:rFonts w:cs="Times New Roman"/>
                      <w:i/>
                      <w:iCs/>
                      <w:kern w:val="0"/>
                      <w:sz w:val="21"/>
                      <w:szCs w:val="21"/>
                      <w:u w:val="single"/>
                    </w:rPr>
                    <w:t>幼体主要以沙石上的植物碎屑和附着藻类为食，成体以浮游生物为食，也营寄生生活。</w:t>
                  </w:r>
                </w:p>
              </w:tc>
              <w:tc>
                <w:tcPr>
                  <w:tcW w:w="623" w:type="pct"/>
                  <w:vAlign w:val="center"/>
                </w:tcPr>
                <w:p w14:paraId="2B04CF4E">
                  <w:pPr>
                    <w:adjustRightInd w:val="0"/>
                    <w:snapToGrid w:val="0"/>
                    <w:jc w:val="center"/>
                    <w:rPr>
                      <w:rFonts w:cs="Times New Roman"/>
                      <w:i/>
                      <w:iCs/>
                      <w:kern w:val="0"/>
                      <w:sz w:val="21"/>
                      <w:szCs w:val="21"/>
                      <w:u w:val="single"/>
                    </w:rPr>
                  </w:pPr>
                  <w:r>
                    <w:rPr>
                      <w:rFonts w:hint="eastAsia" w:cs="Times New Roman"/>
                      <w:i/>
                      <w:iCs/>
                      <w:kern w:val="0"/>
                      <w:sz w:val="21"/>
                      <w:szCs w:val="21"/>
                      <w:u w:val="single"/>
                    </w:rPr>
                    <w:t>较低</w:t>
                  </w:r>
                </w:p>
              </w:tc>
            </w:tr>
            <w:tr w14:paraId="7A398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41" w:type="pct"/>
                  <w:vAlign w:val="center"/>
                </w:tcPr>
                <w:p w14:paraId="5910DBAD">
                  <w:pPr>
                    <w:adjustRightInd w:val="0"/>
                    <w:snapToGrid w:val="0"/>
                    <w:jc w:val="center"/>
                    <w:rPr>
                      <w:rFonts w:cs="Times New Roman"/>
                      <w:i/>
                      <w:iCs/>
                      <w:kern w:val="0"/>
                      <w:sz w:val="21"/>
                      <w:szCs w:val="21"/>
                      <w:u w:val="single"/>
                    </w:rPr>
                  </w:pPr>
                  <w:r>
                    <w:rPr>
                      <w:rFonts w:hint="eastAsia" w:cs="Times New Roman"/>
                      <w:i/>
                      <w:iCs/>
                      <w:kern w:val="0"/>
                      <w:sz w:val="21"/>
                      <w:szCs w:val="21"/>
                      <w:u w:val="single"/>
                      <w:lang w:bidi="ar"/>
                    </w:rPr>
                    <w:t>石川氏哲罗鲑</w:t>
                  </w:r>
                </w:p>
              </w:tc>
              <w:tc>
                <w:tcPr>
                  <w:tcW w:w="1278" w:type="pct"/>
                  <w:vAlign w:val="center"/>
                </w:tcPr>
                <w:p w14:paraId="76C873A8">
                  <w:pPr>
                    <w:adjustRightInd w:val="0"/>
                    <w:snapToGrid w:val="0"/>
                    <w:jc w:val="center"/>
                    <w:rPr>
                      <w:rFonts w:cs="Times New Roman"/>
                      <w:i/>
                      <w:iCs/>
                      <w:kern w:val="0"/>
                      <w:sz w:val="21"/>
                      <w:szCs w:val="21"/>
                      <w:u w:val="single"/>
                    </w:rPr>
                  </w:pPr>
                  <w:r>
                    <w:rPr>
                      <w:rFonts w:cs="Times New Roman"/>
                      <w:i/>
                      <w:iCs/>
                      <w:kern w:val="0"/>
                      <w:sz w:val="21"/>
                      <w:szCs w:val="21"/>
                      <w:u w:val="single"/>
                      <w:lang w:bidi="ar"/>
                    </w:rPr>
                    <w:t>性成熟年龄为5年，体长大于400mm以上。产卵期在5月份，在流水石砾底质处产卵。</w:t>
                  </w:r>
                </w:p>
              </w:tc>
              <w:tc>
                <w:tcPr>
                  <w:tcW w:w="1350" w:type="pct"/>
                  <w:vAlign w:val="center"/>
                </w:tcPr>
                <w:p w14:paraId="0309DEE2">
                  <w:pPr>
                    <w:adjustRightInd w:val="0"/>
                    <w:snapToGrid w:val="0"/>
                    <w:jc w:val="center"/>
                    <w:rPr>
                      <w:rFonts w:cs="Times New Roman"/>
                      <w:i/>
                      <w:iCs/>
                      <w:kern w:val="0"/>
                      <w:sz w:val="21"/>
                      <w:szCs w:val="21"/>
                      <w:u w:val="single"/>
                    </w:rPr>
                  </w:pPr>
                  <w:r>
                    <w:rPr>
                      <w:rFonts w:cs="Times New Roman"/>
                      <w:i/>
                      <w:iCs/>
                      <w:kern w:val="0"/>
                      <w:sz w:val="21"/>
                      <w:szCs w:val="21"/>
                      <w:u w:val="single"/>
                      <w:lang w:bidi="ar"/>
                    </w:rPr>
                    <w:t>栖息于水质清澈，水温最高不超过20℃的水域中，系冷水及喜流水性鱼类。夏季多生活在山林区支流中，秋末冬季进入河流深水区或大河深水中，偶尔在湖泊中发现。</w:t>
                  </w:r>
                </w:p>
              </w:tc>
              <w:tc>
                <w:tcPr>
                  <w:tcW w:w="1108" w:type="pct"/>
                  <w:vAlign w:val="center"/>
                </w:tcPr>
                <w:p w14:paraId="2CB8387A">
                  <w:pPr>
                    <w:adjustRightInd w:val="0"/>
                    <w:snapToGrid w:val="0"/>
                    <w:jc w:val="center"/>
                    <w:rPr>
                      <w:rFonts w:cs="Times New Roman"/>
                      <w:i/>
                      <w:iCs/>
                      <w:kern w:val="0"/>
                      <w:sz w:val="21"/>
                      <w:szCs w:val="21"/>
                      <w:u w:val="single"/>
                    </w:rPr>
                  </w:pPr>
                  <w:r>
                    <w:rPr>
                      <w:rFonts w:cs="Times New Roman"/>
                      <w:i/>
                      <w:iCs/>
                      <w:kern w:val="0"/>
                      <w:sz w:val="21"/>
                      <w:szCs w:val="21"/>
                      <w:u w:val="single"/>
                      <w:lang w:bidi="ar"/>
                    </w:rPr>
                    <w:t>哲罗鲑是肉食性凶猛的掠食性鱼类，四季均摄食，冬季食欲仍很强。哲罗稚鱼以捕食无脊椎动物为主，成鱼捕食鱼类及啮齿动物、蛇类或水禽。</w:t>
                  </w:r>
                </w:p>
              </w:tc>
              <w:tc>
                <w:tcPr>
                  <w:tcW w:w="623" w:type="pct"/>
                  <w:vAlign w:val="center"/>
                </w:tcPr>
                <w:p w14:paraId="325B78E4">
                  <w:pPr>
                    <w:adjustRightInd w:val="0"/>
                    <w:snapToGrid w:val="0"/>
                    <w:jc w:val="center"/>
                    <w:rPr>
                      <w:rFonts w:cs="Times New Roman"/>
                      <w:i/>
                      <w:iCs/>
                      <w:kern w:val="0"/>
                      <w:sz w:val="21"/>
                      <w:szCs w:val="21"/>
                      <w:u w:val="single"/>
                    </w:rPr>
                  </w:pPr>
                  <w:r>
                    <w:rPr>
                      <w:rFonts w:cs="Times New Roman"/>
                      <w:i/>
                      <w:iCs/>
                      <w:kern w:val="0"/>
                      <w:sz w:val="21"/>
                      <w:szCs w:val="21"/>
                      <w:u w:val="single"/>
                    </w:rPr>
                    <w:t>多年未见</w:t>
                  </w:r>
                </w:p>
              </w:tc>
            </w:tr>
            <w:tr w14:paraId="5CA97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41" w:type="pct"/>
                  <w:vAlign w:val="center"/>
                </w:tcPr>
                <w:p w14:paraId="0B342C39">
                  <w:pPr>
                    <w:adjustRightInd w:val="0"/>
                    <w:snapToGrid w:val="0"/>
                    <w:jc w:val="center"/>
                    <w:rPr>
                      <w:rFonts w:cs="Times New Roman"/>
                      <w:i/>
                      <w:iCs/>
                      <w:kern w:val="0"/>
                      <w:sz w:val="21"/>
                      <w:szCs w:val="21"/>
                      <w:u w:val="single"/>
                    </w:rPr>
                  </w:pPr>
                  <w:r>
                    <w:rPr>
                      <w:rFonts w:cs="Times New Roman"/>
                      <w:i/>
                      <w:iCs/>
                      <w:kern w:val="0"/>
                      <w:sz w:val="21"/>
                      <w:szCs w:val="21"/>
                      <w:u w:val="single"/>
                      <w:lang w:bidi="ar"/>
                    </w:rPr>
                    <w:t>细鳞鲑</w:t>
                  </w:r>
                </w:p>
              </w:tc>
              <w:tc>
                <w:tcPr>
                  <w:tcW w:w="1278" w:type="pct"/>
                  <w:vAlign w:val="center"/>
                </w:tcPr>
                <w:p w14:paraId="6B914F76">
                  <w:pPr>
                    <w:adjustRightInd w:val="0"/>
                    <w:snapToGrid w:val="0"/>
                    <w:jc w:val="center"/>
                    <w:rPr>
                      <w:rFonts w:cs="Times New Roman"/>
                      <w:i/>
                      <w:iCs/>
                      <w:kern w:val="0"/>
                      <w:sz w:val="21"/>
                      <w:szCs w:val="21"/>
                      <w:u w:val="single"/>
                    </w:rPr>
                  </w:pPr>
                  <w:r>
                    <w:rPr>
                      <w:rFonts w:cs="Times New Roman"/>
                      <w:i/>
                      <w:iCs/>
                      <w:kern w:val="0"/>
                      <w:sz w:val="21"/>
                      <w:szCs w:val="21"/>
                      <w:u w:val="single"/>
                      <w:lang w:bidi="ar"/>
                    </w:rPr>
                    <w:t>具有明显的适温洄游习性，春季（4月中旬－5月下旬）进行产卵洄游，由主流游进支流；秋季（9月中旬～10月中旬）进行越冬洄游，从支流回到主流。细鳞鲑产卵期为4月中旬～5月下旬，水质清澈、砂砾底质、流速1.0～1.5m/s、两岸植被茂密的河套子处。</w:t>
                  </w:r>
                </w:p>
              </w:tc>
              <w:tc>
                <w:tcPr>
                  <w:tcW w:w="1350" w:type="pct"/>
                  <w:vAlign w:val="center"/>
                </w:tcPr>
                <w:p w14:paraId="40A24A05">
                  <w:pPr>
                    <w:adjustRightInd w:val="0"/>
                    <w:snapToGrid w:val="0"/>
                    <w:jc w:val="center"/>
                    <w:rPr>
                      <w:rFonts w:cs="Times New Roman"/>
                      <w:i/>
                      <w:iCs/>
                      <w:kern w:val="0"/>
                      <w:sz w:val="21"/>
                      <w:szCs w:val="21"/>
                      <w:u w:val="single"/>
                    </w:rPr>
                  </w:pPr>
                  <w:r>
                    <w:rPr>
                      <w:rFonts w:cs="Times New Roman"/>
                      <w:i/>
                      <w:iCs/>
                      <w:kern w:val="0"/>
                      <w:sz w:val="21"/>
                      <w:szCs w:val="21"/>
                      <w:u w:val="single"/>
                      <w:lang w:bidi="ar"/>
                    </w:rPr>
                    <w:t>喜栖息于水质澄清急流、高氧、石砾底质、水温l5℃以下、两岸植被茂密的支流。</w:t>
                  </w:r>
                </w:p>
              </w:tc>
              <w:tc>
                <w:tcPr>
                  <w:tcW w:w="1108" w:type="pct"/>
                  <w:vAlign w:val="center"/>
                </w:tcPr>
                <w:p w14:paraId="2CFE67E0">
                  <w:pPr>
                    <w:adjustRightInd w:val="0"/>
                    <w:snapToGrid w:val="0"/>
                    <w:jc w:val="center"/>
                    <w:rPr>
                      <w:rFonts w:cs="Times New Roman"/>
                      <w:i/>
                      <w:iCs/>
                      <w:kern w:val="0"/>
                      <w:sz w:val="21"/>
                      <w:szCs w:val="21"/>
                      <w:u w:val="single"/>
                    </w:rPr>
                  </w:pPr>
                  <w:r>
                    <w:rPr>
                      <w:rFonts w:cs="Times New Roman"/>
                      <w:i/>
                      <w:iCs/>
                      <w:kern w:val="0"/>
                      <w:sz w:val="21"/>
                      <w:szCs w:val="21"/>
                      <w:u w:val="single"/>
                      <w:lang w:bidi="ar"/>
                    </w:rPr>
                    <w:t>细鳞鲑属肉食性鱼类，以无脊椎动物、小鱼等为主要摄食对象。</w:t>
                  </w:r>
                </w:p>
              </w:tc>
              <w:tc>
                <w:tcPr>
                  <w:tcW w:w="623" w:type="pct"/>
                  <w:vAlign w:val="center"/>
                </w:tcPr>
                <w:p w14:paraId="36E3CFD9">
                  <w:pPr>
                    <w:adjustRightInd w:val="0"/>
                    <w:snapToGrid w:val="0"/>
                    <w:jc w:val="center"/>
                    <w:rPr>
                      <w:rFonts w:cs="Times New Roman"/>
                      <w:i/>
                      <w:iCs/>
                      <w:kern w:val="0"/>
                      <w:sz w:val="21"/>
                      <w:szCs w:val="21"/>
                      <w:u w:val="single"/>
                    </w:rPr>
                  </w:pPr>
                  <w:r>
                    <w:rPr>
                      <w:rFonts w:cs="Times New Roman"/>
                      <w:i/>
                      <w:iCs/>
                      <w:kern w:val="0"/>
                      <w:sz w:val="21"/>
                      <w:szCs w:val="21"/>
                      <w:u w:val="single"/>
                      <w:lang w:bidi="ar"/>
                    </w:rPr>
                    <w:t>极低</w:t>
                  </w:r>
                </w:p>
              </w:tc>
            </w:tr>
            <w:tr w14:paraId="199CE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41" w:type="pct"/>
                  <w:vAlign w:val="center"/>
                </w:tcPr>
                <w:p w14:paraId="6C863059">
                  <w:pPr>
                    <w:adjustRightInd w:val="0"/>
                    <w:snapToGrid w:val="0"/>
                    <w:jc w:val="center"/>
                    <w:rPr>
                      <w:rFonts w:cs="Times New Roman"/>
                      <w:i/>
                      <w:iCs/>
                      <w:kern w:val="0"/>
                      <w:sz w:val="21"/>
                      <w:szCs w:val="21"/>
                      <w:u w:val="single"/>
                      <w:lang w:bidi="ar"/>
                    </w:rPr>
                  </w:pPr>
                  <w:r>
                    <w:rPr>
                      <w:rFonts w:cs="Times New Roman"/>
                      <w:i/>
                      <w:iCs/>
                      <w:kern w:val="0"/>
                      <w:sz w:val="21"/>
                      <w:szCs w:val="21"/>
                      <w:u w:val="single"/>
                    </w:rPr>
                    <w:t>花羔红点鲑</w:t>
                  </w:r>
                </w:p>
              </w:tc>
              <w:tc>
                <w:tcPr>
                  <w:tcW w:w="1278" w:type="pct"/>
                  <w:vAlign w:val="center"/>
                </w:tcPr>
                <w:p w14:paraId="72F9C170">
                  <w:pPr>
                    <w:adjustRightInd w:val="0"/>
                    <w:snapToGrid w:val="0"/>
                    <w:jc w:val="center"/>
                    <w:rPr>
                      <w:rFonts w:cs="Times New Roman"/>
                      <w:i/>
                      <w:iCs/>
                      <w:kern w:val="0"/>
                      <w:sz w:val="21"/>
                      <w:szCs w:val="21"/>
                      <w:u w:val="single"/>
                      <w:lang w:bidi="ar"/>
                    </w:rPr>
                  </w:pPr>
                  <w:r>
                    <w:rPr>
                      <w:rFonts w:hint="eastAsia" w:cs="Times New Roman"/>
                      <w:i/>
                      <w:iCs/>
                      <w:kern w:val="0"/>
                      <w:sz w:val="21"/>
                      <w:szCs w:val="21"/>
                      <w:u w:val="single"/>
                      <w:lang w:bidi="ar"/>
                    </w:rPr>
                    <w:t>花羔红点鲑繁殖季节在每年秋季9-11月期间。雌性主要争夺最适合产生卵的地点。雌性会发现浅且流速缓慢的水域，并有砾石或卵石沉积物。雄性将精子沉积在凹巢上，并使雌性产下的卵子受精。</w:t>
                  </w:r>
                </w:p>
              </w:tc>
              <w:tc>
                <w:tcPr>
                  <w:tcW w:w="1350" w:type="pct"/>
                  <w:vAlign w:val="center"/>
                </w:tcPr>
                <w:p w14:paraId="727ED04F">
                  <w:pPr>
                    <w:adjustRightInd w:val="0"/>
                    <w:snapToGrid w:val="0"/>
                    <w:jc w:val="center"/>
                    <w:rPr>
                      <w:rFonts w:cs="Times New Roman"/>
                      <w:i/>
                      <w:iCs/>
                      <w:kern w:val="0"/>
                      <w:sz w:val="21"/>
                      <w:szCs w:val="21"/>
                      <w:u w:val="single"/>
                      <w:lang w:bidi="ar"/>
                    </w:rPr>
                  </w:pPr>
                  <w:r>
                    <w:rPr>
                      <w:rFonts w:hint="eastAsia" w:cs="Times New Roman"/>
                      <w:i/>
                      <w:iCs/>
                      <w:kern w:val="0"/>
                      <w:sz w:val="21"/>
                      <w:szCs w:val="21"/>
                      <w:u w:val="single"/>
                      <w:lang w:bidi="ar"/>
                    </w:rPr>
                    <w:t>喜栖息于有大量粗木屑的溪流中，该物种也可以在内陆湖泊中繁衍生息。夏季，花羔红点鲑从淡水湖泊和河流中迁徙。在迁徙过程中，它们通常停留在近岸附近，但如果有合适的溪流、湖泊或河流，它们可以移动几千米来觅食并寻找淡水向上移动并停留过冬。</w:t>
                  </w:r>
                </w:p>
              </w:tc>
              <w:tc>
                <w:tcPr>
                  <w:tcW w:w="1108" w:type="pct"/>
                  <w:vAlign w:val="center"/>
                </w:tcPr>
                <w:p w14:paraId="060A52D3">
                  <w:pPr>
                    <w:adjustRightInd w:val="0"/>
                    <w:snapToGrid w:val="0"/>
                    <w:jc w:val="center"/>
                    <w:rPr>
                      <w:rFonts w:cs="Times New Roman"/>
                      <w:i/>
                      <w:iCs/>
                      <w:kern w:val="0"/>
                      <w:sz w:val="21"/>
                      <w:szCs w:val="21"/>
                      <w:u w:val="single"/>
                      <w:lang w:bidi="ar"/>
                    </w:rPr>
                  </w:pPr>
                  <w:r>
                    <w:rPr>
                      <w:rFonts w:hint="eastAsia" w:cs="Times New Roman"/>
                      <w:i/>
                      <w:iCs/>
                      <w:kern w:val="0"/>
                      <w:sz w:val="21"/>
                      <w:szCs w:val="21"/>
                      <w:u w:val="single"/>
                      <w:lang w:bidi="ar"/>
                    </w:rPr>
                    <w:t>河流和溪流中的成体通常在流速较快的水域附近捕猎并吃小鱼或昆虫。通常，当它们出现在漩涡和更深的水池中时，它们会吃甲壳类动物、鲑鱼卵和其他小鱼。它们还会在水面捕食，攻击落入水中的有翅昆虫。它们还会吃蜉蝣和蠓的幼虫。</w:t>
                  </w:r>
                </w:p>
              </w:tc>
              <w:tc>
                <w:tcPr>
                  <w:tcW w:w="623" w:type="pct"/>
                  <w:vAlign w:val="center"/>
                </w:tcPr>
                <w:p w14:paraId="55182053">
                  <w:pPr>
                    <w:adjustRightInd w:val="0"/>
                    <w:snapToGrid w:val="0"/>
                    <w:jc w:val="center"/>
                    <w:rPr>
                      <w:rFonts w:cs="Times New Roman"/>
                      <w:i/>
                      <w:iCs/>
                      <w:kern w:val="0"/>
                      <w:sz w:val="21"/>
                      <w:szCs w:val="21"/>
                      <w:u w:val="single"/>
                      <w:lang w:bidi="ar"/>
                    </w:rPr>
                  </w:pPr>
                  <w:r>
                    <w:rPr>
                      <w:rFonts w:cs="Times New Roman"/>
                      <w:i/>
                      <w:iCs/>
                      <w:kern w:val="0"/>
                      <w:sz w:val="21"/>
                      <w:szCs w:val="21"/>
                      <w:u w:val="single"/>
                      <w:lang w:bidi="ar"/>
                    </w:rPr>
                    <w:t>极低</w:t>
                  </w:r>
                </w:p>
              </w:tc>
            </w:tr>
            <w:tr w14:paraId="0A8C3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41" w:type="pct"/>
                  <w:vAlign w:val="center"/>
                </w:tcPr>
                <w:p w14:paraId="338D29AA">
                  <w:pPr>
                    <w:adjustRightInd w:val="0"/>
                    <w:snapToGrid w:val="0"/>
                    <w:jc w:val="center"/>
                    <w:rPr>
                      <w:rFonts w:cs="Times New Roman"/>
                      <w:i/>
                      <w:iCs/>
                      <w:kern w:val="0"/>
                      <w:sz w:val="21"/>
                      <w:szCs w:val="21"/>
                      <w:u w:val="single"/>
                      <w:lang w:bidi="ar"/>
                    </w:rPr>
                  </w:pPr>
                  <w:r>
                    <w:rPr>
                      <w:rFonts w:hint="eastAsia" w:cs="Times New Roman"/>
                      <w:i/>
                      <w:iCs/>
                      <w:kern w:val="0"/>
                      <w:sz w:val="21"/>
                      <w:szCs w:val="21"/>
                      <w:u w:val="single"/>
                      <w:lang w:bidi="ar"/>
                    </w:rPr>
                    <w:t>鸭绿江茴鱼</w:t>
                  </w:r>
                </w:p>
              </w:tc>
              <w:tc>
                <w:tcPr>
                  <w:tcW w:w="1278" w:type="pct"/>
                  <w:vAlign w:val="center"/>
                </w:tcPr>
                <w:p w14:paraId="49841B99">
                  <w:pPr>
                    <w:adjustRightInd w:val="0"/>
                    <w:snapToGrid w:val="0"/>
                    <w:jc w:val="center"/>
                    <w:rPr>
                      <w:rFonts w:cs="Times New Roman"/>
                      <w:i/>
                      <w:iCs/>
                      <w:kern w:val="0"/>
                      <w:sz w:val="21"/>
                      <w:szCs w:val="21"/>
                      <w:u w:val="single"/>
                      <w:lang w:bidi="ar"/>
                    </w:rPr>
                  </w:pPr>
                  <w:r>
                    <w:rPr>
                      <w:rFonts w:cs="Times New Roman"/>
                      <w:i/>
                      <w:iCs/>
                      <w:kern w:val="0"/>
                      <w:sz w:val="21"/>
                      <w:szCs w:val="21"/>
                      <w:u w:val="single"/>
                      <w:lang w:bidi="ar"/>
                    </w:rPr>
                    <w:t>成熟年龄为4冬龄，繁殖季节约在4月中旬至5月初，到清澈而湍急的水流中产卵，卵常粘附着在河底的砾石上面。</w:t>
                  </w:r>
                </w:p>
              </w:tc>
              <w:tc>
                <w:tcPr>
                  <w:tcW w:w="1350" w:type="pct"/>
                  <w:vAlign w:val="center"/>
                </w:tcPr>
                <w:p w14:paraId="6C23A94D">
                  <w:pPr>
                    <w:adjustRightInd w:val="0"/>
                    <w:snapToGrid w:val="0"/>
                    <w:jc w:val="center"/>
                    <w:rPr>
                      <w:rFonts w:cs="Times New Roman"/>
                      <w:i/>
                      <w:iCs/>
                      <w:kern w:val="0"/>
                      <w:sz w:val="21"/>
                      <w:szCs w:val="21"/>
                      <w:u w:val="single"/>
                      <w:lang w:bidi="ar"/>
                    </w:rPr>
                  </w:pPr>
                  <w:r>
                    <w:rPr>
                      <w:rFonts w:cs="Times New Roman"/>
                      <w:i/>
                      <w:iCs/>
                      <w:kern w:val="0"/>
                      <w:sz w:val="21"/>
                      <w:szCs w:val="21"/>
                      <w:u w:val="single"/>
                      <w:lang w:bidi="ar"/>
                    </w:rPr>
                    <w:t>冷水及喜流水性鱼类，山涧溪流栖居，游动范围较小，进入大江和湖泊。夏季多生活在支流的上游，喜在水草繁茂、昆虫众多、水色澄清、水流较急的河川中，冬季即在山溪深水处越冬。</w:t>
                  </w:r>
                </w:p>
              </w:tc>
              <w:tc>
                <w:tcPr>
                  <w:tcW w:w="1108" w:type="pct"/>
                  <w:vAlign w:val="center"/>
                </w:tcPr>
                <w:p w14:paraId="2F22DE51">
                  <w:pPr>
                    <w:adjustRightInd w:val="0"/>
                    <w:snapToGrid w:val="0"/>
                    <w:jc w:val="center"/>
                    <w:rPr>
                      <w:rFonts w:cs="Times New Roman"/>
                      <w:i/>
                      <w:iCs/>
                      <w:kern w:val="0"/>
                      <w:sz w:val="21"/>
                      <w:szCs w:val="21"/>
                      <w:u w:val="single"/>
                      <w:lang w:bidi="ar"/>
                    </w:rPr>
                  </w:pPr>
                  <w:r>
                    <w:rPr>
                      <w:rFonts w:cs="Times New Roman"/>
                      <w:i/>
                      <w:iCs/>
                      <w:kern w:val="0"/>
                      <w:sz w:val="21"/>
                      <w:szCs w:val="21"/>
                      <w:u w:val="single"/>
                      <w:lang w:bidi="ar"/>
                    </w:rPr>
                    <w:t>以无脊椎动物为主要食物，索食时间多在夜间，夏季喜在浅水处捕食水生昆虫和落入水中的陆生昆虫。</w:t>
                  </w:r>
                </w:p>
              </w:tc>
              <w:tc>
                <w:tcPr>
                  <w:tcW w:w="623" w:type="pct"/>
                  <w:vAlign w:val="center"/>
                </w:tcPr>
                <w:p w14:paraId="67B7A044">
                  <w:pPr>
                    <w:adjustRightInd w:val="0"/>
                    <w:snapToGrid w:val="0"/>
                    <w:jc w:val="center"/>
                    <w:rPr>
                      <w:rFonts w:cs="Times New Roman"/>
                      <w:i/>
                      <w:iCs/>
                      <w:kern w:val="0"/>
                      <w:sz w:val="21"/>
                      <w:szCs w:val="21"/>
                      <w:u w:val="single"/>
                      <w:lang w:bidi="ar"/>
                    </w:rPr>
                  </w:pPr>
                  <w:r>
                    <w:rPr>
                      <w:rFonts w:cs="Times New Roman"/>
                      <w:i/>
                      <w:iCs/>
                      <w:kern w:val="0"/>
                      <w:sz w:val="21"/>
                      <w:szCs w:val="21"/>
                      <w:u w:val="single"/>
                      <w:lang w:bidi="ar"/>
                    </w:rPr>
                    <w:t>极低</w:t>
                  </w:r>
                </w:p>
              </w:tc>
            </w:tr>
          </w:tbl>
          <w:p w14:paraId="417ACD45">
            <w:pPr>
              <w:spacing w:line="360" w:lineRule="auto"/>
              <w:ind w:firstLine="480" w:firstLineChars="200"/>
            </w:pPr>
          </w:p>
          <w:p w14:paraId="77230114">
            <w:pPr>
              <w:spacing w:line="360" w:lineRule="auto"/>
              <w:ind w:firstLine="482" w:firstLineChars="200"/>
              <w:rPr>
                <w:b/>
                <w:bCs/>
                <w:u w:val="single"/>
              </w:rPr>
            </w:pPr>
            <w:r>
              <w:rPr>
                <w:rFonts w:hint="eastAsia"/>
                <w:b/>
                <w:bCs/>
                <w:u w:val="single"/>
              </w:rPr>
              <w:t>③冷水性鱼类</w:t>
            </w:r>
          </w:p>
          <w:p w14:paraId="6FC2279E">
            <w:pPr>
              <w:spacing w:line="360" w:lineRule="auto"/>
              <w:ind w:firstLine="482" w:firstLineChars="200"/>
            </w:pPr>
            <w:r>
              <w:rPr>
                <w:rFonts w:hint="eastAsia"/>
                <w:b/>
                <w:bCs/>
                <w:u w:val="single"/>
              </w:rPr>
              <w:t>调查范围内江段共有冷水性鱼类5目8科13种，占鱼类总数的28.3%，评价区江段是冷水性鱼类的主要分布区，其中经济冷水性鱼类有11种，占冷水性鱼类的84.6%，有花羔红点鲑、石川氏哲罗鱼、细鳞鱼、鸭绿江茴鱼、亚洲公鱼、大银鱼、洛氏鱥、瓦氏雅罗鱼、北方须鳅、北方花鳅、江鳕等，详见下表：</w:t>
            </w:r>
          </w:p>
          <w:p w14:paraId="60E899F6">
            <w:pPr>
              <w:spacing w:line="360" w:lineRule="auto"/>
              <w:ind w:firstLine="480" w:firstLineChars="200"/>
            </w:pPr>
          </w:p>
          <w:p w14:paraId="55518DBC">
            <w:pPr>
              <w:spacing w:line="360" w:lineRule="auto"/>
              <w:jc w:val="center"/>
              <w:rPr>
                <w:b/>
                <w:bCs/>
                <w:u w:val="single"/>
              </w:rPr>
            </w:pPr>
            <w:r>
              <w:rPr>
                <w:rFonts w:hint="eastAsia"/>
                <w:b/>
                <w:bCs/>
                <w:u w:val="single"/>
              </w:rPr>
              <w:t>表28       评价区江段冷水性鱼类一览表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2118"/>
              <w:gridCol w:w="1932"/>
              <w:gridCol w:w="3835"/>
            </w:tblGrid>
            <w:tr w14:paraId="23BAA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noWrap/>
                  <w:vAlign w:val="center"/>
                </w:tcPr>
                <w:p w14:paraId="34F724F2">
                  <w:pPr>
                    <w:pStyle w:val="42"/>
                    <w:rPr>
                      <w:b/>
                      <w:bCs/>
                      <w:i/>
                      <w:iCs/>
                      <w:u w:val="single"/>
                    </w:rPr>
                  </w:pPr>
                  <w:r>
                    <w:rPr>
                      <w:b/>
                      <w:bCs/>
                      <w:i/>
                      <w:iCs/>
                      <w:u w:val="single"/>
                    </w:rPr>
                    <w:t>目</w:t>
                  </w:r>
                </w:p>
              </w:tc>
              <w:tc>
                <w:tcPr>
                  <w:tcW w:w="1225" w:type="pct"/>
                  <w:noWrap/>
                  <w:vAlign w:val="center"/>
                </w:tcPr>
                <w:p w14:paraId="08512ACA">
                  <w:pPr>
                    <w:pStyle w:val="42"/>
                    <w:rPr>
                      <w:b/>
                      <w:bCs/>
                      <w:i/>
                      <w:iCs/>
                      <w:u w:val="single"/>
                    </w:rPr>
                  </w:pPr>
                  <w:r>
                    <w:rPr>
                      <w:b/>
                      <w:bCs/>
                      <w:i/>
                      <w:iCs/>
                      <w:u w:val="single"/>
                    </w:rPr>
                    <w:t>科</w:t>
                  </w:r>
                </w:p>
              </w:tc>
              <w:tc>
                <w:tcPr>
                  <w:tcW w:w="2431" w:type="pct"/>
                  <w:vAlign w:val="center"/>
                </w:tcPr>
                <w:p w14:paraId="2CE336D0">
                  <w:pPr>
                    <w:pStyle w:val="42"/>
                    <w:rPr>
                      <w:b/>
                      <w:bCs/>
                      <w:i/>
                      <w:iCs/>
                      <w:u w:val="single"/>
                    </w:rPr>
                  </w:pPr>
                  <w:r>
                    <w:rPr>
                      <w:b/>
                      <w:bCs/>
                      <w:i/>
                      <w:iCs/>
                      <w:u w:val="single"/>
                    </w:rPr>
                    <w:t>种类</w:t>
                  </w:r>
                </w:p>
              </w:tc>
            </w:tr>
            <w:tr w14:paraId="62E8E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noWrap/>
                  <w:vAlign w:val="center"/>
                </w:tcPr>
                <w:p w14:paraId="3285D9E8">
                  <w:pPr>
                    <w:pStyle w:val="42"/>
                    <w:rPr>
                      <w:i/>
                      <w:iCs/>
                      <w:u w:val="single"/>
                    </w:rPr>
                  </w:pPr>
                  <w:r>
                    <w:rPr>
                      <w:i/>
                      <w:iCs/>
                      <w:u w:val="single"/>
                    </w:rPr>
                    <w:t>七鳃鳗目</w:t>
                  </w:r>
                </w:p>
                <w:p w14:paraId="49FBD983">
                  <w:pPr>
                    <w:pStyle w:val="42"/>
                    <w:rPr>
                      <w:i/>
                      <w:iCs/>
                      <w:u w:val="single"/>
                    </w:rPr>
                  </w:pPr>
                  <w:r>
                    <w:rPr>
                      <w:i/>
                      <w:iCs/>
                      <w:u w:val="single"/>
                    </w:rPr>
                    <w:t>Petromyziniformes</w:t>
                  </w:r>
                </w:p>
              </w:tc>
              <w:tc>
                <w:tcPr>
                  <w:tcW w:w="1225" w:type="pct"/>
                  <w:noWrap/>
                  <w:vAlign w:val="center"/>
                </w:tcPr>
                <w:p w14:paraId="019F6533">
                  <w:pPr>
                    <w:pStyle w:val="42"/>
                    <w:rPr>
                      <w:i/>
                      <w:iCs/>
                      <w:u w:val="single"/>
                    </w:rPr>
                  </w:pPr>
                  <w:r>
                    <w:rPr>
                      <w:i/>
                      <w:iCs/>
                      <w:u w:val="single"/>
                    </w:rPr>
                    <w:t>七鳃鳗科</w:t>
                  </w:r>
                </w:p>
                <w:p w14:paraId="5DD456F2">
                  <w:pPr>
                    <w:pStyle w:val="42"/>
                    <w:rPr>
                      <w:i/>
                      <w:iCs/>
                      <w:u w:val="single"/>
                      <w:lang w:eastAsia="en-US"/>
                    </w:rPr>
                  </w:pPr>
                  <w:r>
                    <w:rPr>
                      <w:i/>
                      <w:iCs/>
                      <w:u w:val="single"/>
                    </w:rPr>
                    <w:t>Petromyzontidae</w:t>
                  </w:r>
                </w:p>
              </w:tc>
              <w:tc>
                <w:tcPr>
                  <w:tcW w:w="2431" w:type="pct"/>
                  <w:vAlign w:val="center"/>
                </w:tcPr>
                <w:p w14:paraId="36187262">
                  <w:pPr>
                    <w:pStyle w:val="42"/>
                    <w:rPr>
                      <w:i/>
                      <w:iCs/>
                      <w:u w:val="single"/>
                      <w:lang w:eastAsia="en-US"/>
                    </w:rPr>
                  </w:pPr>
                  <w:r>
                    <w:rPr>
                      <w:i/>
                      <w:iCs/>
                      <w:u w:val="single"/>
                    </w:rPr>
                    <w:t>东北七鳃鳗Eudontomyzon morii</w:t>
                  </w:r>
                </w:p>
              </w:tc>
            </w:tr>
            <w:tr w14:paraId="1C1B9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restart"/>
                  <w:noWrap/>
                  <w:vAlign w:val="center"/>
                </w:tcPr>
                <w:p w14:paraId="5192295D">
                  <w:pPr>
                    <w:pStyle w:val="42"/>
                    <w:rPr>
                      <w:i/>
                      <w:iCs/>
                      <w:u w:val="single"/>
                    </w:rPr>
                  </w:pPr>
                  <w:r>
                    <w:rPr>
                      <w:i/>
                      <w:iCs/>
                      <w:u w:val="single"/>
                    </w:rPr>
                    <w:t>鲑形目</w:t>
                  </w:r>
                </w:p>
                <w:p w14:paraId="1BC1FF64">
                  <w:pPr>
                    <w:pStyle w:val="42"/>
                    <w:rPr>
                      <w:i/>
                      <w:iCs/>
                      <w:u w:val="single"/>
                    </w:rPr>
                  </w:pPr>
                  <w:r>
                    <w:rPr>
                      <w:i/>
                      <w:iCs/>
                      <w:u w:val="single"/>
                    </w:rPr>
                    <w:t>Salmoniformes</w:t>
                  </w:r>
                </w:p>
              </w:tc>
              <w:tc>
                <w:tcPr>
                  <w:tcW w:w="1225" w:type="pct"/>
                  <w:vMerge w:val="restart"/>
                  <w:noWrap/>
                  <w:vAlign w:val="center"/>
                </w:tcPr>
                <w:p w14:paraId="4557DB9D">
                  <w:pPr>
                    <w:pStyle w:val="42"/>
                    <w:rPr>
                      <w:i/>
                      <w:iCs/>
                      <w:u w:val="single"/>
                    </w:rPr>
                  </w:pPr>
                  <w:r>
                    <w:rPr>
                      <w:i/>
                      <w:iCs/>
                      <w:u w:val="single"/>
                    </w:rPr>
                    <w:t xml:space="preserve">鲑科 </w:t>
                  </w:r>
                </w:p>
                <w:p w14:paraId="7C6F6B9A">
                  <w:pPr>
                    <w:pStyle w:val="42"/>
                    <w:rPr>
                      <w:i/>
                      <w:iCs/>
                      <w:u w:val="single"/>
                    </w:rPr>
                  </w:pPr>
                  <w:r>
                    <w:rPr>
                      <w:i/>
                      <w:iCs/>
                      <w:u w:val="single"/>
                    </w:rPr>
                    <w:t xml:space="preserve">Salmoniformes   </w:t>
                  </w:r>
                </w:p>
              </w:tc>
              <w:tc>
                <w:tcPr>
                  <w:tcW w:w="2431" w:type="pct"/>
                  <w:vAlign w:val="center"/>
                </w:tcPr>
                <w:p w14:paraId="597FEFB3">
                  <w:pPr>
                    <w:pStyle w:val="42"/>
                    <w:rPr>
                      <w:i/>
                      <w:iCs/>
                      <w:u w:val="single"/>
                      <w:lang w:eastAsia="en-US"/>
                    </w:rPr>
                  </w:pPr>
                  <w:r>
                    <w:rPr>
                      <w:i/>
                      <w:iCs/>
                      <w:u w:val="single"/>
                    </w:rPr>
                    <w:t>花羔红点鲑Salvelinus malma</w:t>
                  </w:r>
                </w:p>
              </w:tc>
            </w:tr>
            <w:tr w14:paraId="1D74C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68835C9C">
                  <w:pPr>
                    <w:pStyle w:val="42"/>
                    <w:rPr>
                      <w:i/>
                      <w:iCs/>
                      <w:u w:val="single"/>
                    </w:rPr>
                  </w:pPr>
                </w:p>
              </w:tc>
              <w:tc>
                <w:tcPr>
                  <w:tcW w:w="1225" w:type="pct"/>
                  <w:vMerge w:val="continue"/>
                  <w:noWrap/>
                  <w:vAlign w:val="center"/>
                </w:tcPr>
                <w:p w14:paraId="1284ABE9">
                  <w:pPr>
                    <w:pStyle w:val="42"/>
                    <w:rPr>
                      <w:i/>
                      <w:iCs/>
                      <w:u w:val="single"/>
                    </w:rPr>
                  </w:pPr>
                </w:p>
              </w:tc>
              <w:tc>
                <w:tcPr>
                  <w:tcW w:w="2431" w:type="pct"/>
                  <w:vAlign w:val="center"/>
                </w:tcPr>
                <w:p w14:paraId="06C3B7F4">
                  <w:pPr>
                    <w:pStyle w:val="42"/>
                    <w:rPr>
                      <w:i/>
                      <w:iCs/>
                      <w:u w:val="single"/>
                      <w:lang w:eastAsia="en-US"/>
                    </w:rPr>
                  </w:pPr>
                  <w:r>
                    <w:rPr>
                      <w:rFonts w:hint="eastAsia"/>
                      <w:i/>
                      <w:iCs/>
                      <w:u w:val="single"/>
                    </w:rPr>
                    <w:t>石川氏哲罗鱼</w:t>
                  </w:r>
                  <w:r>
                    <w:rPr>
                      <w:i/>
                      <w:iCs/>
                      <w:u w:val="single"/>
                    </w:rPr>
                    <w:t>Hucho ishikawae</w:t>
                  </w:r>
                </w:p>
              </w:tc>
            </w:tr>
            <w:tr w14:paraId="45F6C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244A62C3">
                  <w:pPr>
                    <w:pStyle w:val="42"/>
                    <w:rPr>
                      <w:i/>
                      <w:iCs/>
                      <w:u w:val="single"/>
                    </w:rPr>
                  </w:pPr>
                </w:p>
              </w:tc>
              <w:tc>
                <w:tcPr>
                  <w:tcW w:w="1225" w:type="pct"/>
                  <w:vMerge w:val="continue"/>
                  <w:noWrap/>
                  <w:vAlign w:val="center"/>
                </w:tcPr>
                <w:p w14:paraId="54BB8737">
                  <w:pPr>
                    <w:pStyle w:val="42"/>
                    <w:rPr>
                      <w:i/>
                      <w:iCs/>
                      <w:u w:val="single"/>
                    </w:rPr>
                  </w:pPr>
                </w:p>
              </w:tc>
              <w:tc>
                <w:tcPr>
                  <w:tcW w:w="2431" w:type="pct"/>
                  <w:vAlign w:val="center"/>
                </w:tcPr>
                <w:p w14:paraId="393F218C">
                  <w:pPr>
                    <w:pStyle w:val="42"/>
                    <w:rPr>
                      <w:i/>
                      <w:iCs/>
                      <w:u w:val="single"/>
                      <w:lang w:eastAsia="en-US"/>
                    </w:rPr>
                  </w:pPr>
                  <w:r>
                    <w:rPr>
                      <w:rFonts w:hint="eastAsia"/>
                      <w:i/>
                      <w:iCs/>
                      <w:u w:val="single"/>
                    </w:rPr>
                    <w:t>细鳞鱼</w:t>
                  </w:r>
                  <w:r>
                    <w:rPr>
                      <w:i/>
                      <w:iCs/>
                      <w:u w:val="single"/>
                    </w:rPr>
                    <w:t>Brachymystax lenok</w:t>
                  </w:r>
                </w:p>
              </w:tc>
            </w:tr>
            <w:tr w14:paraId="6852F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271CE59E">
                  <w:pPr>
                    <w:pStyle w:val="42"/>
                    <w:rPr>
                      <w:i/>
                      <w:iCs/>
                      <w:u w:val="single"/>
                    </w:rPr>
                  </w:pPr>
                </w:p>
              </w:tc>
              <w:tc>
                <w:tcPr>
                  <w:tcW w:w="1225" w:type="pct"/>
                  <w:vMerge w:val="continue"/>
                  <w:noWrap/>
                  <w:vAlign w:val="center"/>
                </w:tcPr>
                <w:p w14:paraId="1AA1A642">
                  <w:pPr>
                    <w:pStyle w:val="42"/>
                    <w:rPr>
                      <w:i/>
                      <w:iCs/>
                      <w:u w:val="single"/>
                    </w:rPr>
                  </w:pPr>
                </w:p>
              </w:tc>
              <w:tc>
                <w:tcPr>
                  <w:tcW w:w="2431" w:type="pct"/>
                  <w:vAlign w:val="center"/>
                </w:tcPr>
                <w:p w14:paraId="4673ECDF">
                  <w:pPr>
                    <w:pStyle w:val="42"/>
                    <w:rPr>
                      <w:i/>
                      <w:iCs/>
                      <w:u w:val="single"/>
                      <w:lang w:eastAsia="en-US"/>
                    </w:rPr>
                  </w:pPr>
                  <w:r>
                    <w:rPr>
                      <w:rFonts w:hint="eastAsia"/>
                      <w:i/>
                      <w:iCs/>
                      <w:u w:val="single"/>
                    </w:rPr>
                    <w:t>鸭绿江茴鱼</w:t>
                  </w:r>
                  <w:r>
                    <w:rPr>
                      <w:i/>
                      <w:iCs/>
                      <w:u w:val="single"/>
                    </w:rPr>
                    <w:t>Thymallus arcticus yaluensis</w:t>
                  </w:r>
                </w:p>
              </w:tc>
            </w:tr>
            <w:tr w14:paraId="1B8C7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52014C20">
                  <w:pPr>
                    <w:pStyle w:val="42"/>
                    <w:rPr>
                      <w:i/>
                      <w:iCs/>
                      <w:u w:val="single"/>
                    </w:rPr>
                  </w:pPr>
                </w:p>
              </w:tc>
              <w:tc>
                <w:tcPr>
                  <w:tcW w:w="1225" w:type="pct"/>
                  <w:noWrap/>
                  <w:vAlign w:val="center"/>
                </w:tcPr>
                <w:p w14:paraId="16D25AF1">
                  <w:pPr>
                    <w:pStyle w:val="42"/>
                    <w:rPr>
                      <w:i/>
                      <w:iCs/>
                      <w:u w:val="single"/>
                      <w:lang w:eastAsia="en-US"/>
                    </w:rPr>
                  </w:pPr>
                  <w:r>
                    <w:rPr>
                      <w:rFonts w:hint="eastAsia"/>
                      <w:i/>
                      <w:iCs/>
                      <w:u w:val="single"/>
                    </w:rPr>
                    <w:t>胡瓜鱼科</w:t>
                  </w:r>
                  <w:r>
                    <w:rPr>
                      <w:i/>
                      <w:iCs/>
                      <w:u w:val="single"/>
                    </w:rPr>
                    <w:t xml:space="preserve"> Osmeridae      </w:t>
                  </w:r>
                </w:p>
              </w:tc>
              <w:tc>
                <w:tcPr>
                  <w:tcW w:w="2431" w:type="pct"/>
                  <w:vAlign w:val="center"/>
                </w:tcPr>
                <w:p w14:paraId="1EF797EF">
                  <w:pPr>
                    <w:pStyle w:val="42"/>
                    <w:rPr>
                      <w:i/>
                      <w:iCs/>
                      <w:u w:val="single"/>
                      <w:lang w:eastAsia="en-US"/>
                    </w:rPr>
                  </w:pPr>
                  <w:r>
                    <w:rPr>
                      <w:rFonts w:hint="eastAsia"/>
                      <w:i/>
                      <w:iCs/>
                      <w:u w:val="single"/>
                    </w:rPr>
                    <w:t>亚洲公鱼</w:t>
                  </w:r>
                  <w:r>
                    <w:rPr>
                      <w:i/>
                      <w:iCs/>
                      <w:u w:val="single"/>
                    </w:rPr>
                    <w:t>Hypomesus nipponensis</w:t>
                  </w:r>
                </w:p>
              </w:tc>
            </w:tr>
            <w:tr w14:paraId="09F13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75DCFFDD">
                  <w:pPr>
                    <w:pStyle w:val="42"/>
                    <w:rPr>
                      <w:i/>
                      <w:iCs/>
                      <w:u w:val="single"/>
                    </w:rPr>
                  </w:pPr>
                </w:p>
              </w:tc>
              <w:tc>
                <w:tcPr>
                  <w:tcW w:w="1225" w:type="pct"/>
                  <w:noWrap/>
                  <w:vAlign w:val="center"/>
                </w:tcPr>
                <w:p w14:paraId="3A50AB4F">
                  <w:pPr>
                    <w:pStyle w:val="42"/>
                    <w:rPr>
                      <w:i/>
                      <w:iCs/>
                      <w:u w:val="single"/>
                      <w:lang w:eastAsia="en-US"/>
                    </w:rPr>
                  </w:pPr>
                  <w:r>
                    <w:rPr>
                      <w:rFonts w:hint="eastAsia"/>
                      <w:i/>
                      <w:iCs/>
                      <w:u w:val="single"/>
                    </w:rPr>
                    <w:t>银鱼科</w:t>
                  </w:r>
                  <w:r>
                    <w:rPr>
                      <w:i/>
                      <w:iCs/>
                      <w:u w:val="single"/>
                    </w:rPr>
                    <w:t xml:space="preserve"> Salangidae         </w:t>
                  </w:r>
                </w:p>
              </w:tc>
              <w:tc>
                <w:tcPr>
                  <w:tcW w:w="2431" w:type="pct"/>
                  <w:vAlign w:val="center"/>
                </w:tcPr>
                <w:p w14:paraId="43C8D070">
                  <w:pPr>
                    <w:pStyle w:val="42"/>
                    <w:rPr>
                      <w:i/>
                      <w:iCs/>
                      <w:u w:val="single"/>
                      <w:lang w:eastAsia="en-US"/>
                    </w:rPr>
                  </w:pPr>
                  <w:r>
                    <w:rPr>
                      <w:rFonts w:hint="eastAsia"/>
                      <w:i/>
                      <w:iCs/>
                      <w:u w:val="single"/>
                    </w:rPr>
                    <w:t>大银鱼</w:t>
                  </w:r>
                  <w:r>
                    <w:rPr>
                      <w:i/>
                      <w:iCs/>
                      <w:u w:val="single"/>
                    </w:rPr>
                    <w:t>Protosalanx hyalocranius</w:t>
                  </w:r>
                </w:p>
              </w:tc>
            </w:tr>
            <w:tr w14:paraId="15449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restart"/>
                  <w:noWrap/>
                  <w:vAlign w:val="center"/>
                </w:tcPr>
                <w:p w14:paraId="40FB5447">
                  <w:pPr>
                    <w:pStyle w:val="42"/>
                    <w:rPr>
                      <w:i/>
                      <w:iCs/>
                      <w:u w:val="single"/>
                    </w:rPr>
                  </w:pPr>
                  <w:r>
                    <w:rPr>
                      <w:i/>
                      <w:iCs/>
                      <w:u w:val="single"/>
                    </w:rPr>
                    <w:t>鲤形目</w:t>
                  </w:r>
                </w:p>
                <w:p w14:paraId="04FB58EB">
                  <w:pPr>
                    <w:pStyle w:val="42"/>
                    <w:rPr>
                      <w:i/>
                      <w:iCs/>
                      <w:u w:val="single"/>
                    </w:rPr>
                  </w:pPr>
                  <w:r>
                    <w:rPr>
                      <w:i/>
                      <w:iCs/>
                      <w:u w:val="single"/>
                    </w:rPr>
                    <w:t>Cypriniformes</w:t>
                  </w:r>
                </w:p>
              </w:tc>
              <w:tc>
                <w:tcPr>
                  <w:tcW w:w="1225" w:type="pct"/>
                  <w:vMerge w:val="restart"/>
                  <w:noWrap/>
                  <w:vAlign w:val="center"/>
                </w:tcPr>
                <w:p w14:paraId="398EDBBB">
                  <w:pPr>
                    <w:pStyle w:val="42"/>
                    <w:rPr>
                      <w:i/>
                      <w:iCs/>
                      <w:u w:val="single"/>
                    </w:rPr>
                  </w:pPr>
                  <w:r>
                    <w:rPr>
                      <w:i/>
                      <w:iCs/>
                      <w:u w:val="single"/>
                    </w:rPr>
                    <w:t xml:space="preserve">鲤科 Cyprinidae         </w:t>
                  </w:r>
                </w:p>
              </w:tc>
              <w:tc>
                <w:tcPr>
                  <w:tcW w:w="2431" w:type="pct"/>
                  <w:vAlign w:val="center"/>
                </w:tcPr>
                <w:p w14:paraId="38905CCA">
                  <w:pPr>
                    <w:pStyle w:val="42"/>
                    <w:rPr>
                      <w:i/>
                      <w:iCs/>
                      <w:u w:val="single"/>
                    </w:rPr>
                  </w:pPr>
                  <w:r>
                    <w:rPr>
                      <w:i/>
                      <w:iCs/>
                      <w:u w:val="single"/>
                    </w:rPr>
                    <w:t>洛氏鱥 Rhynchocypris lagowskii</w:t>
                  </w:r>
                </w:p>
              </w:tc>
            </w:tr>
            <w:tr w14:paraId="7D214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02BA6E94">
                  <w:pPr>
                    <w:pStyle w:val="42"/>
                    <w:rPr>
                      <w:i/>
                      <w:iCs/>
                      <w:u w:val="single"/>
                    </w:rPr>
                  </w:pPr>
                </w:p>
              </w:tc>
              <w:tc>
                <w:tcPr>
                  <w:tcW w:w="1225" w:type="pct"/>
                  <w:vMerge w:val="continue"/>
                  <w:noWrap/>
                  <w:vAlign w:val="center"/>
                </w:tcPr>
                <w:p w14:paraId="4530E4CE">
                  <w:pPr>
                    <w:pStyle w:val="42"/>
                    <w:rPr>
                      <w:i/>
                      <w:iCs/>
                      <w:u w:val="single"/>
                    </w:rPr>
                  </w:pPr>
                </w:p>
              </w:tc>
              <w:tc>
                <w:tcPr>
                  <w:tcW w:w="2431" w:type="pct"/>
                  <w:vAlign w:val="center"/>
                </w:tcPr>
                <w:p w14:paraId="7FC67FC9">
                  <w:pPr>
                    <w:pStyle w:val="42"/>
                    <w:rPr>
                      <w:i/>
                      <w:iCs/>
                      <w:u w:val="single"/>
                    </w:rPr>
                  </w:pPr>
                  <w:r>
                    <w:rPr>
                      <w:rFonts w:hint="eastAsia"/>
                      <w:i/>
                      <w:iCs/>
                      <w:u w:val="single"/>
                    </w:rPr>
                    <w:t>瓦氏雅罗鱼</w:t>
                  </w:r>
                  <w:r>
                    <w:rPr>
                      <w:i/>
                      <w:iCs/>
                      <w:u w:val="single"/>
                    </w:rPr>
                    <w:t>Leuciscus waleckii waleckii</w:t>
                  </w:r>
                </w:p>
              </w:tc>
            </w:tr>
            <w:tr w14:paraId="41D15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00CB0CE3">
                  <w:pPr>
                    <w:pStyle w:val="42"/>
                    <w:rPr>
                      <w:i/>
                      <w:iCs/>
                      <w:u w:val="single"/>
                    </w:rPr>
                  </w:pPr>
                </w:p>
              </w:tc>
              <w:tc>
                <w:tcPr>
                  <w:tcW w:w="1225" w:type="pct"/>
                  <w:vMerge w:val="restart"/>
                  <w:noWrap/>
                  <w:vAlign w:val="center"/>
                </w:tcPr>
                <w:p w14:paraId="08BA1C7C">
                  <w:pPr>
                    <w:pStyle w:val="42"/>
                    <w:rPr>
                      <w:i/>
                      <w:iCs/>
                      <w:u w:val="single"/>
                    </w:rPr>
                  </w:pPr>
                  <w:r>
                    <w:rPr>
                      <w:rFonts w:hint="eastAsia"/>
                      <w:i/>
                      <w:iCs/>
                      <w:u w:val="single"/>
                    </w:rPr>
                    <w:t>鳅科</w:t>
                  </w:r>
                  <w:r>
                    <w:rPr>
                      <w:i/>
                      <w:iCs/>
                      <w:u w:val="single"/>
                    </w:rPr>
                    <w:t xml:space="preserve"> Cobitidae   </w:t>
                  </w:r>
                  <w:r>
                    <w:rPr>
                      <w:rFonts w:hint="eastAsia"/>
                      <w:i/>
                      <w:iCs/>
                      <w:u w:val="single"/>
                    </w:rPr>
                    <w:t>　</w:t>
                  </w:r>
                </w:p>
              </w:tc>
              <w:tc>
                <w:tcPr>
                  <w:tcW w:w="2431" w:type="pct"/>
                  <w:vAlign w:val="center"/>
                </w:tcPr>
                <w:p w14:paraId="66E3877B">
                  <w:pPr>
                    <w:pStyle w:val="42"/>
                    <w:rPr>
                      <w:i/>
                      <w:iCs/>
                      <w:u w:val="single"/>
                    </w:rPr>
                  </w:pPr>
                  <w:r>
                    <w:rPr>
                      <w:rFonts w:hint="eastAsia"/>
                      <w:i/>
                      <w:iCs/>
                      <w:u w:val="single"/>
                    </w:rPr>
                    <w:t>北方须鳅</w:t>
                  </w:r>
                  <w:r>
                    <w:rPr>
                      <w:i/>
                      <w:iCs/>
                      <w:u w:val="single"/>
                    </w:rPr>
                    <w:t>Barbatula nuda</w:t>
                  </w:r>
                </w:p>
              </w:tc>
            </w:tr>
            <w:tr w14:paraId="28BCA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vMerge w:val="continue"/>
                  <w:noWrap/>
                  <w:vAlign w:val="center"/>
                </w:tcPr>
                <w:p w14:paraId="16BBDA9D">
                  <w:pPr>
                    <w:pStyle w:val="42"/>
                    <w:rPr>
                      <w:i/>
                      <w:iCs/>
                      <w:u w:val="single"/>
                    </w:rPr>
                  </w:pPr>
                </w:p>
              </w:tc>
              <w:tc>
                <w:tcPr>
                  <w:tcW w:w="1225" w:type="pct"/>
                  <w:vMerge w:val="continue"/>
                  <w:noWrap/>
                  <w:vAlign w:val="center"/>
                </w:tcPr>
                <w:p w14:paraId="3FBE63AB">
                  <w:pPr>
                    <w:pStyle w:val="42"/>
                    <w:rPr>
                      <w:i/>
                      <w:iCs/>
                      <w:u w:val="single"/>
                    </w:rPr>
                  </w:pPr>
                </w:p>
              </w:tc>
              <w:tc>
                <w:tcPr>
                  <w:tcW w:w="2431" w:type="pct"/>
                  <w:vAlign w:val="center"/>
                </w:tcPr>
                <w:p w14:paraId="06027E87">
                  <w:pPr>
                    <w:pStyle w:val="42"/>
                    <w:rPr>
                      <w:i/>
                      <w:iCs/>
                      <w:u w:val="single"/>
                    </w:rPr>
                  </w:pPr>
                  <w:r>
                    <w:rPr>
                      <w:rFonts w:hint="eastAsia"/>
                      <w:i/>
                      <w:iCs/>
                      <w:u w:val="single"/>
                    </w:rPr>
                    <w:t>北方花鳅</w:t>
                  </w:r>
                  <w:r>
                    <w:rPr>
                      <w:i/>
                      <w:iCs/>
                      <w:u w:val="single"/>
                    </w:rPr>
                    <w:t>Cobitis sibirica</w:t>
                  </w:r>
                </w:p>
              </w:tc>
            </w:tr>
            <w:tr w14:paraId="26147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noWrap/>
                  <w:vAlign w:val="center"/>
                </w:tcPr>
                <w:p w14:paraId="396C4241">
                  <w:pPr>
                    <w:pStyle w:val="42"/>
                    <w:rPr>
                      <w:i/>
                      <w:iCs/>
                      <w:u w:val="single"/>
                    </w:rPr>
                  </w:pPr>
                  <w:r>
                    <w:rPr>
                      <w:i/>
                      <w:iCs/>
                      <w:u w:val="single"/>
                    </w:rPr>
                    <w:t>鳕形目</w:t>
                  </w:r>
                </w:p>
                <w:p w14:paraId="6877BA3B">
                  <w:pPr>
                    <w:pStyle w:val="42"/>
                    <w:rPr>
                      <w:i/>
                      <w:iCs/>
                      <w:u w:val="single"/>
                    </w:rPr>
                  </w:pPr>
                  <w:r>
                    <w:rPr>
                      <w:i/>
                      <w:iCs/>
                      <w:u w:val="single"/>
                    </w:rPr>
                    <w:t>Gadiformes</w:t>
                  </w:r>
                </w:p>
              </w:tc>
              <w:tc>
                <w:tcPr>
                  <w:tcW w:w="1225" w:type="pct"/>
                  <w:noWrap/>
                  <w:vAlign w:val="center"/>
                </w:tcPr>
                <w:p w14:paraId="5430551B">
                  <w:pPr>
                    <w:pStyle w:val="42"/>
                    <w:rPr>
                      <w:i/>
                      <w:iCs/>
                      <w:u w:val="single"/>
                      <w:lang w:eastAsia="en-US"/>
                    </w:rPr>
                  </w:pPr>
                  <w:r>
                    <w:rPr>
                      <w:i/>
                      <w:iCs/>
                      <w:u w:val="single"/>
                    </w:rPr>
                    <w:t xml:space="preserve">鳕科 Lotidae     </w:t>
                  </w:r>
                </w:p>
              </w:tc>
              <w:tc>
                <w:tcPr>
                  <w:tcW w:w="2431" w:type="pct"/>
                  <w:vAlign w:val="center"/>
                </w:tcPr>
                <w:p w14:paraId="5D3DC752">
                  <w:pPr>
                    <w:pStyle w:val="42"/>
                    <w:rPr>
                      <w:i/>
                      <w:iCs/>
                      <w:u w:val="single"/>
                      <w:lang w:eastAsia="en-US"/>
                    </w:rPr>
                  </w:pPr>
                  <w:r>
                    <w:rPr>
                      <w:i/>
                      <w:iCs/>
                      <w:u w:val="single"/>
                    </w:rPr>
                    <w:t>江鳕Lota lota</w:t>
                  </w:r>
                </w:p>
              </w:tc>
            </w:tr>
            <w:tr w14:paraId="43DDF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343" w:type="pct"/>
                  <w:noWrap/>
                  <w:vAlign w:val="center"/>
                </w:tcPr>
                <w:p w14:paraId="16699DB0">
                  <w:pPr>
                    <w:pStyle w:val="42"/>
                    <w:rPr>
                      <w:i/>
                      <w:iCs/>
                      <w:u w:val="single"/>
                    </w:rPr>
                  </w:pPr>
                  <w:r>
                    <w:rPr>
                      <w:i/>
                      <w:iCs/>
                      <w:u w:val="single"/>
                    </w:rPr>
                    <w:t>鮋形目</w:t>
                  </w:r>
                </w:p>
                <w:p w14:paraId="7B51CC39">
                  <w:pPr>
                    <w:pStyle w:val="42"/>
                    <w:rPr>
                      <w:i/>
                      <w:iCs/>
                      <w:u w:val="single"/>
                    </w:rPr>
                  </w:pPr>
                  <w:r>
                    <w:rPr>
                      <w:i/>
                      <w:iCs/>
                      <w:u w:val="single"/>
                    </w:rPr>
                    <w:t>Scorpaeniformes</w:t>
                  </w:r>
                </w:p>
              </w:tc>
              <w:tc>
                <w:tcPr>
                  <w:tcW w:w="1225" w:type="pct"/>
                  <w:noWrap/>
                  <w:vAlign w:val="center"/>
                </w:tcPr>
                <w:p w14:paraId="0C149EAC">
                  <w:pPr>
                    <w:pStyle w:val="42"/>
                    <w:rPr>
                      <w:i/>
                      <w:iCs/>
                      <w:u w:val="single"/>
                    </w:rPr>
                  </w:pPr>
                  <w:r>
                    <w:rPr>
                      <w:i/>
                      <w:iCs/>
                      <w:u w:val="single"/>
                    </w:rPr>
                    <w:t>杜父鱼科 Cottidae</w:t>
                  </w:r>
                </w:p>
              </w:tc>
              <w:tc>
                <w:tcPr>
                  <w:tcW w:w="2431" w:type="pct"/>
                  <w:vAlign w:val="center"/>
                </w:tcPr>
                <w:p w14:paraId="0E17D89F">
                  <w:pPr>
                    <w:pStyle w:val="42"/>
                    <w:rPr>
                      <w:i/>
                      <w:iCs/>
                      <w:u w:val="single"/>
                    </w:rPr>
                  </w:pPr>
                  <w:r>
                    <w:rPr>
                      <w:i/>
                      <w:iCs/>
                      <w:u w:val="single"/>
                    </w:rPr>
                    <w:t>杂色杜父鱼 Cottus poecilopus</w:t>
                  </w:r>
                </w:p>
              </w:tc>
            </w:tr>
          </w:tbl>
          <w:p w14:paraId="74CFF574">
            <w:pPr>
              <w:spacing w:line="360" w:lineRule="auto"/>
              <w:ind w:firstLine="480" w:firstLineChars="200"/>
            </w:pPr>
          </w:p>
          <w:p w14:paraId="2FBA25AC">
            <w:pPr>
              <w:spacing w:line="360" w:lineRule="auto"/>
              <w:ind w:firstLine="482" w:firstLineChars="200"/>
              <w:rPr>
                <w:b/>
                <w:bCs/>
                <w:u w:val="single"/>
              </w:rPr>
            </w:pPr>
            <w:r>
              <w:rPr>
                <w:rFonts w:hint="eastAsia"/>
                <w:b/>
                <w:bCs/>
                <w:u w:val="single"/>
              </w:rPr>
              <w:t>④外来鱼类</w:t>
            </w:r>
          </w:p>
          <w:p w14:paraId="0D7960C0">
            <w:pPr>
              <w:spacing w:line="360" w:lineRule="auto"/>
              <w:ind w:firstLine="482" w:firstLineChars="200"/>
              <w:rPr>
                <w:b/>
                <w:bCs/>
                <w:u w:val="single"/>
              </w:rPr>
            </w:pPr>
            <w:r>
              <w:rPr>
                <w:rFonts w:hint="eastAsia"/>
                <w:b/>
                <w:bCs/>
                <w:u w:val="single"/>
              </w:rPr>
              <w:t>评价水域主要有草鱼、青鱼、鲢、鳙和大银鱼等2目2科5种外来鱼类，这几种鱼类都为鸭绿江上水库逃逸至河道中。</w:t>
            </w:r>
          </w:p>
          <w:p w14:paraId="7F6E4582">
            <w:pPr>
              <w:spacing w:line="360" w:lineRule="auto"/>
              <w:ind w:firstLine="482" w:firstLineChars="200"/>
              <w:rPr>
                <w:b/>
                <w:bCs/>
                <w:u w:val="single"/>
              </w:rPr>
            </w:pPr>
            <w:r>
              <w:rPr>
                <w:rFonts w:hint="eastAsia"/>
                <w:b/>
                <w:bCs/>
                <w:u w:val="single"/>
              </w:rPr>
              <w:t>⑤鱼类资源现状</w:t>
            </w:r>
          </w:p>
          <w:p w14:paraId="446D792C">
            <w:pPr>
              <w:spacing w:line="360" w:lineRule="auto"/>
              <w:ind w:firstLine="482" w:firstLineChars="200"/>
              <w:rPr>
                <w:b/>
                <w:bCs/>
                <w:u w:val="single"/>
              </w:rPr>
            </w:pPr>
            <w:r>
              <w:rPr>
                <w:rFonts w:hint="eastAsia"/>
                <w:b/>
                <w:bCs/>
                <w:u w:val="single"/>
              </w:rPr>
              <w:t>长白山区曾经有着丰富的冷水性鱼类资源，在我国同类资源中有占据重要位置，特别是细鳞鲑、花羔红点鲑、石川哲罗鲑等鲑形目鱼类，是鸭绿江上游的特产鱼类。但调查中发现，近些年来长白山区冷水鱼资源显著减少，据资料记载及当地渔民介绍，20世纪50年代生存的冷水鱼种类和数量要比现在多得多。而如今有的种类已经基本上见不到了，长白山区冷水鱼种类趋于减少，种群数量逐渐下降，好多种类已经失去了捕捞价值，能见到的种类中有的已成为珍稀或濒危物种。</w:t>
            </w:r>
          </w:p>
          <w:p w14:paraId="36CE6B05">
            <w:pPr>
              <w:spacing w:line="360" w:lineRule="auto"/>
              <w:ind w:firstLine="482" w:firstLineChars="200"/>
              <w:rPr>
                <w:b/>
                <w:bCs/>
                <w:u w:val="single"/>
              </w:rPr>
            </w:pPr>
            <w:r>
              <w:rPr>
                <w:rFonts w:hint="eastAsia"/>
                <w:b/>
                <w:bCs/>
                <w:u w:val="single"/>
              </w:rPr>
              <w:t>分析造成长白山区冷水鱼资源下降的原因，可能有以下几个方面：一是水坝电站的修建，导致许多水域截流断流，阻断了冷水性鱼类的洄游通道，从而影响了其资源补充。二是长期以来人们在生产活动中农药化肥的使用会对水体造成污染，而水体污染不仅直接影响到冷水鱼的生存，也可影响到冷水鱼饵料的生长繁育。三是不合理的电鱼、毒鱼、过度捕捞等活动，导致资源下降。五是气候变暖，适合冷水鱼生存的冷水区域在减少。</w:t>
            </w:r>
          </w:p>
          <w:p w14:paraId="27EC7715">
            <w:pPr>
              <w:spacing w:line="360" w:lineRule="auto"/>
              <w:ind w:firstLine="482" w:firstLineChars="200"/>
              <w:rPr>
                <w:b/>
                <w:bCs/>
                <w:u w:val="single"/>
              </w:rPr>
            </w:pPr>
            <w:r>
              <w:rPr>
                <w:rFonts w:hint="eastAsia"/>
                <w:b/>
                <w:bCs/>
                <w:u w:val="single"/>
              </w:rPr>
              <w:t>目前，鸭绿江流域渔业资源以水库养殖为主。水库鱼类资源的补充主要依靠人工放养鱼类苗种。水库库区的鱼类资源也以江河平原鱼类为主。</w:t>
            </w:r>
          </w:p>
          <w:p w14:paraId="72FAE436">
            <w:pPr>
              <w:spacing w:line="360" w:lineRule="auto"/>
              <w:ind w:firstLine="482" w:firstLineChars="200"/>
            </w:pPr>
            <w:r>
              <w:rPr>
                <w:rFonts w:hint="eastAsia"/>
                <w:b/>
                <w:bCs/>
                <w:u w:val="single"/>
              </w:rPr>
              <w:t>通过现场调查及走访，本项目上下游各</w:t>
            </w:r>
            <w:r>
              <w:rPr>
                <w:b/>
                <w:bCs/>
                <w:u w:val="single"/>
              </w:rPr>
              <w:t>2km</w:t>
            </w:r>
            <w:r>
              <w:rPr>
                <w:rFonts w:hint="eastAsia"/>
                <w:b/>
                <w:bCs/>
                <w:u w:val="single"/>
              </w:rPr>
              <w:t>范围内主要渔获物为马口鱼、洛氏鱥、瓦氏雅罗鱼、䱗、扁吻鮈、黑龙江鰟鲏、条纹似白鮈、麦穗鱼、大鳍鱊、北方花鳅、北方须鳅、棒花鱼等中小型鱼类。国家保护及濒危鱼类极少见到。</w:t>
            </w:r>
          </w:p>
          <w:p w14:paraId="72B56445">
            <w:pPr>
              <w:spacing w:line="360" w:lineRule="auto"/>
              <w:ind w:firstLine="482" w:firstLineChars="200"/>
              <w:rPr>
                <w:b/>
                <w:bCs/>
                <w:u w:val="single"/>
              </w:rPr>
            </w:pPr>
            <w:r>
              <w:rPr>
                <w:rFonts w:hint="eastAsia"/>
                <w:b/>
                <w:bCs/>
                <w:u w:val="single"/>
              </w:rPr>
              <w:t>⑥鱼类“三场及洄游通道”</w:t>
            </w:r>
          </w:p>
          <w:p w14:paraId="33D48F6F">
            <w:pPr>
              <w:spacing w:line="360" w:lineRule="auto"/>
              <w:ind w:firstLine="482" w:firstLineChars="200"/>
              <w:rPr>
                <w:b/>
                <w:bCs/>
                <w:u w:val="single"/>
              </w:rPr>
            </w:pPr>
            <w:r>
              <w:rPr>
                <w:rFonts w:hint="eastAsia"/>
                <w:b/>
                <w:bCs/>
                <w:u w:val="single"/>
              </w:rPr>
              <w:t>冷水性鱼类产卵区域主要分布于鸭绿江上游及其支流，鸭绿江上游及其支流都为山区河流，水质优良，水温低、流急、水浅，河底都为鹅卵石和石砾，为冷水性鱼类繁殖提供了良好的条件。</w:t>
            </w:r>
          </w:p>
          <w:p w14:paraId="7C8F67D1">
            <w:pPr>
              <w:spacing w:line="360" w:lineRule="auto"/>
              <w:ind w:firstLine="482" w:firstLineChars="200"/>
              <w:rPr>
                <w:b/>
                <w:bCs/>
                <w:u w:val="single"/>
              </w:rPr>
            </w:pPr>
            <w:r>
              <w:rPr>
                <w:rFonts w:hint="eastAsia"/>
                <w:b/>
                <w:bCs/>
                <w:u w:val="single"/>
              </w:rPr>
              <w:t>鸭绿江茴鱼、细鳞鲑产卵时间为4～5月，产卵区域主要分布于长白县上5km以上江段，以及鸭绿江支流西北岔河羊岔上掌河源处至西北岔采运处跃进站段。花羔红点鲑的产卵时间为9～10月，产卵区域主要分布于长白县上40km以上江段。东北七鰓鳗产卵时间为5月，产卵区域主要分布于鸭绿江临江段上游支流中下游河段。</w:t>
            </w:r>
          </w:p>
          <w:p w14:paraId="2F3A985A">
            <w:pPr>
              <w:spacing w:line="360" w:lineRule="auto"/>
              <w:ind w:firstLine="482" w:firstLineChars="200"/>
            </w:pPr>
            <w:r>
              <w:rPr>
                <w:rFonts w:hint="eastAsia"/>
                <w:b/>
                <w:bCs/>
                <w:u w:val="single"/>
              </w:rPr>
              <w:t>经咨询中国水产科学研究院黑龙江水产研究所，依托《东北地区重点水域渔业资源与环境调查（2020-2022年）》项目调查结果，鸭绿江临江航道码头建设工程上游2公里至临江码头下游2公里江段未发现国家重点保护、珍贵濒危及重要鱼类自然产卵场、索饵场、越冬场及洄游通道的分布。</w:t>
            </w:r>
          </w:p>
          <w:p w14:paraId="0028CC1E">
            <w:pPr>
              <w:spacing w:line="360" w:lineRule="auto"/>
              <w:ind w:firstLine="480" w:firstLineChars="200"/>
            </w:pPr>
            <w:r>
              <w:rPr>
                <w:rFonts w:hint="eastAsia"/>
              </w:rPr>
              <w:t>（2）浮游植物</w:t>
            </w:r>
          </w:p>
          <w:p w14:paraId="720B57CB">
            <w:pPr>
              <w:spacing w:line="360" w:lineRule="auto"/>
              <w:ind w:firstLine="480" w:firstLineChars="200"/>
            </w:pPr>
            <w:r>
              <w:rPr>
                <w:rFonts w:hint="eastAsia"/>
              </w:rPr>
              <w:t>①种类组成</w:t>
            </w:r>
          </w:p>
          <w:p w14:paraId="6DCD7E29">
            <w:pPr>
              <w:spacing w:line="360" w:lineRule="auto"/>
              <w:ind w:firstLine="480" w:firstLineChars="200"/>
            </w:pPr>
            <w:r>
              <w:rPr>
                <w:rFonts w:hint="eastAsia"/>
              </w:rPr>
              <w:t>调查期间，调查范围内江段浮游植物经鉴定共计7门56种属。其中，硅藻门的种类最多，35种属，占62.5%；绿藻门次之，14种属，占19.6 %；蓝藻门5种属；隐藻2种属；甲藻门、金藻、黄藻门各1种属，详见下表：</w:t>
            </w:r>
          </w:p>
          <w:p w14:paraId="3725ECBA">
            <w:pPr>
              <w:spacing w:line="360" w:lineRule="auto"/>
              <w:ind w:firstLine="480" w:firstLineChars="200"/>
            </w:pPr>
          </w:p>
          <w:p w14:paraId="34486BF5">
            <w:pPr>
              <w:spacing w:line="360" w:lineRule="auto"/>
              <w:ind w:firstLine="480" w:firstLineChars="200"/>
            </w:pPr>
          </w:p>
          <w:p w14:paraId="620A29B7">
            <w:pPr>
              <w:spacing w:line="360" w:lineRule="auto"/>
              <w:jc w:val="center"/>
              <w:rPr>
                <w:b/>
                <w:bCs/>
              </w:rPr>
            </w:pPr>
            <w:r>
              <w:rPr>
                <w:rFonts w:hint="eastAsia"/>
                <w:b/>
                <w:bCs/>
              </w:rPr>
              <w:t>表29       评价区江段浮游植物一览表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2552"/>
              <w:gridCol w:w="2663"/>
            </w:tblGrid>
            <w:tr w14:paraId="776C3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03" w:type="dxa"/>
                  <w:vMerge w:val="restart"/>
                  <w:vAlign w:val="center"/>
                </w:tcPr>
                <w:p w14:paraId="7EA891F6">
                  <w:pPr>
                    <w:pStyle w:val="42"/>
                    <w:rPr>
                      <w:b/>
                      <w:bCs/>
                    </w:rPr>
                  </w:pPr>
                  <w:r>
                    <w:rPr>
                      <w:rFonts w:hint="eastAsia"/>
                      <w:b/>
                      <w:bCs/>
                    </w:rPr>
                    <w:t>门类</w:t>
                  </w:r>
                </w:p>
              </w:tc>
              <w:tc>
                <w:tcPr>
                  <w:tcW w:w="5215" w:type="dxa"/>
                  <w:gridSpan w:val="2"/>
                  <w:noWrap/>
                  <w:vAlign w:val="center"/>
                </w:tcPr>
                <w:p w14:paraId="23F48A59">
                  <w:pPr>
                    <w:pStyle w:val="42"/>
                    <w:rPr>
                      <w:b/>
                      <w:bCs/>
                    </w:rPr>
                  </w:pPr>
                  <w:r>
                    <w:rPr>
                      <w:rFonts w:hint="eastAsia"/>
                      <w:b/>
                      <w:bCs/>
                    </w:rPr>
                    <w:t>种类</w:t>
                  </w:r>
                </w:p>
              </w:tc>
            </w:tr>
            <w:tr w14:paraId="01198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03" w:type="dxa"/>
                  <w:vMerge w:val="continue"/>
                  <w:vAlign w:val="center"/>
                </w:tcPr>
                <w:p w14:paraId="0D3DE5D7">
                  <w:pPr>
                    <w:pStyle w:val="42"/>
                    <w:rPr>
                      <w:b/>
                      <w:bCs/>
                    </w:rPr>
                  </w:pPr>
                </w:p>
              </w:tc>
              <w:tc>
                <w:tcPr>
                  <w:tcW w:w="2552" w:type="dxa"/>
                  <w:noWrap/>
                  <w:vAlign w:val="center"/>
                </w:tcPr>
                <w:p w14:paraId="1AA70FFF">
                  <w:pPr>
                    <w:pStyle w:val="42"/>
                    <w:rPr>
                      <w:b/>
                      <w:bCs/>
                    </w:rPr>
                  </w:pPr>
                  <w:r>
                    <w:rPr>
                      <w:rFonts w:hint="eastAsia"/>
                      <w:b/>
                      <w:bCs/>
                    </w:rPr>
                    <w:t>中文名称</w:t>
                  </w:r>
                </w:p>
              </w:tc>
              <w:tc>
                <w:tcPr>
                  <w:tcW w:w="2663" w:type="dxa"/>
                  <w:vAlign w:val="center"/>
                </w:tcPr>
                <w:p w14:paraId="161D6788">
                  <w:pPr>
                    <w:pStyle w:val="42"/>
                    <w:rPr>
                      <w:b/>
                      <w:bCs/>
                    </w:rPr>
                  </w:pPr>
                  <w:r>
                    <w:rPr>
                      <w:rFonts w:hint="eastAsia"/>
                      <w:b/>
                      <w:bCs/>
                    </w:rPr>
                    <w:t>拉丁名称</w:t>
                  </w:r>
                </w:p>
              </w:tc>
            </w:tr>
            <w:tr w14:paraId="5EE09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restart"/>
                  <w:vAlign w:val="center"/>
                </w:tcPr>
                <w:p w14:paraId="4A7F9072">
                  <w:pPr>
                    <w:pStyle w:val="42"/>
                  </w:pPr>
                  <w:bookmarkStart w:id="7" w:name="RANGE!C5"/>
                  <w:r>
                    <w:rPr>
                      <w:rFonts w:hint="eastAsia"/>
                    </w:rPr>
                    <w:t>蓝藻门</w:t>
                  </w:r>
                  <w:r>
                    <w:t xml:space="preserve"> Cyanophyta</w:t>
                  </w:r>
                  <w:bookmarkEnd w:id="7"/>
                </w:p>
              </w:tc>
              <w:tc>
                <w:tcPr>
                  <w:tcW w:w="2552" w:type="dxa"/>
                  <w:noWrap/>
                  <w:vAlign w:val="center"/>
                </w:tcPr>
                <w:p w14:paraId="1AD5415B">
                  <w:pPr>
                    <w:pStyle w:val="42"/>
                  </w:pPr>
                  <w:r>
                    <w:rPr>
                      <w:rFonts w:hint="eastAsia"/>
                    </w:rPr>
                    <w:t>小席藻</w:t>
                  </w:r>
                </w:p>
              </w:tc>
              <w:tc>
                <w:tcPr>
                  <w:tcW w:w="2663" w:type="dxa"/>
                  <w:vAlign w:val="center"/>
                </w:tcPr>
                <w:p w14:paraId="0238FA22">
                  <w:pPr>
                    <w:pStyle w:val="42"/>
                    <w:rPr>
                      <w:i/>
                      <w:iCs/>
                    </w:rPr>
                  </w:pPr>
                  <w:r>
                    <w:rPr>
                      <w:i/>
                      <w:iCs/>
                    </w:rPr>
                    <w:t>Phormidium tenue</w:t>
                  </w:r>
                </w:p>
              </w:tc>
            </w:tr>
            <w:tr w14:paraId="30A40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68C34ED2">
                  <w:pPr>
                    <w:pStyle w:val="42"/>
                  </w:pPr>
                </w:p>
              </w:tc>
              <w:tc>
                <w:tcPr>
                  <w:tcW w:w="2552" w:type="dxa"/>
                  <w:noWrap/>
                  <w:vAlign w:val="center"/>
                </w:tcPr>
                <w:p w14:paraId="27B3AE20">
                  <w:pPr>
                    <w:pStyle w:val="42"/>
                  </w:pPr>
                  <w:r>
                    <w:rPr>
                      <w:rFonts w:hint="eastAsia"/>
                    </w:rPr>
                    <w:t>小形色球藻</w:t>
                  </w:r>
                </w:p>
              </w:tc>
              <w:tc>
                <w:tcPr>
                  <w:tcW w:w="2663" w:type="dxa"/>
                  <w:vAlign w:val="center"/>
                </w:tcPr>
                <w:p w14:paraId="332BC151">
                  <w:pPr>
                    <w:pStyle w:val="42"/>
                    <w:rPr>
                      <w:i/>
                      <w:iCs/>
                    </w:rPr>
                  </w:pPr>
                  <w:r>
                    <w:rPr>
                      <w:i/>
                      <w:iCs/>
                    </w:rPr>
                    <w:t>Chroococcus minor</w:t>
                  </w:r>
                </w:p>
              </w:tc>
            </w:tr>
            <w:tr w14:paraId="209A4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1F155C78">
                  <w:pPr>
                    <w:pStyle w:val="42"/>
                  </w:pPr>
                </w:p>
              </w:tc>
              <w:tc>
                <w:tcPr>
                  <w:tcW w:w="2552" w:type="dxa"/>
                  <w:noWrap/>
                  <w:vAlign w:val="center"/>
                </w:tcPr>
                <w:p w14:paraId="11892629">
                  <w:pPr>
                    <w:pStyle w:val="42"/>
                  </w:pPr>
                  <w:r>
                    <w:rPr>
                      <w:rFonts w:hint="eastAsia"/>
                    </w:rPr>
                    <w:t>束缚色球藻</w:t>
                  </w:r>
                </w:p>
              </w:tc>
              <w:tc>
                <w:tcPr>
                  <w:tcW w:w="2663" w:type="dxa"/>
                  <w:vAlign w:val="center"/>
                </w:tcPr>
                <w:p w14:paraId="5589C012">
                  <w:pPr>
                    <w:pStyle w:val="42"/>
                    <w:rPr>
                      <w:i/>
                      <w:iCs/>
                    </w:rPr>
                  </w:pPr>
                  <w:r>
                    <w:rPr>
                      <w:i/>
                      <w:iCs/>
                    </w:rPr>
                    <w:t>Chroococcus tenax</w:t>
                  </w:r>
                </w:p>
              </w:tc>
            </w:tr>
            <w:tr w14:paraId="588E6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5AF530F6">
                  <w:pPr>
                    <w:pStyle w:val="42"/>
                  </w:pPr>
                </w:p>
              </w:tc>
              <w:tc>
                <w:tcPr>
                  <w:tcW w:w="2552" w:type="dxa"/>
                  <w:noWrap/>
                  <w:vAlign w:val="center"/>
                </w:tcPr>
                <w:p w14:paraId="0B642902">
                  <w:pPr>
                    <w:pStyle w:val="42"/>
                  </w:pPr>
                  <w:r>
                    <w:rPr>
                      <w:rFonts w:hint="eastAsia"/>
                    </w:rPr>
                    <w:t>大颤藻</w:t>
                  </w:r>
                </w:p>
              </w:tc>
              <w:tc>
                <w:tcPr>
                  <w:tcW w:w="2663" w:type="dxa"/>
                  <w:vAlign w:val="center"/>
                </w:tcPr>
                <w:p w14:paraId="1C85EAD3">
                  <w:pPr>
                    <w:pStyle w:val="42"/>
                    <w:rPr>
                      <w:i/>
                      <w:iCs/>
                    </w:rPr>
                  </w:pPr>
                  <w:r>
                    <w:rPr>
                      <w:i/>
                      <w:iCs/>
                    </w:rPr>
                    <w:t>Oscillatoria princeps</w:t>
                  </w:r>
                </w:p>
              </w:tc>
            </w:tr>
            <w:tr w14:paraId="4CF0F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6999EC80">
                  <w:pPr>
                    <w:pStyle w:val="42"/>
                  </w:pPr>
                </w:p>
              </w:tc>
              <w:tc>
                <w:tcPr>
                  <w:tcW w:w="2552" w:type="dxa"/>
                  <w:noWrap/>
                  <w:vAlign w:val="center"/>
                </w:tcPr>
                <w:p w14:paraId="5112D4D3">
                  <w:pPr>
                    <w:pStyle w:val="42"/>
                  </w:pPr>
                  <w:r>
                    <w:rPr>
                      <w:rFonts w:hint="eastAsia"/>
                    </w:rPr>
                    <w:t>类颤藻鱼腥藻</w:t>
                  </w:r>
                </w:p>
              </w:tc>
              <w:tc>
                <w:tcPr>
                  <w:tcW w:w="2663" w:type="dxa"/>
                  <w:vAlign w:val="center"/>
                </w:tcPr>
                <w:p w14:paraId="5A7B72D3">
                  <w:pPr>
                    <w:pStyle w:val="42"/>
                    <w:rPr>
                      <w:i/>
                      <w:iCs/>
                    </w:rPr>
                  </w:pPr>
                  <w:r>
                    <w:rPr>
                      <w:i/>
                      <w:iCs/>
                    </w:rPr>
                    <w:t>Anabaena oscillarioides</w:t>
                  </w:r>
                </w:p>
              </w:tc>
            </w:tr>
            <w:tr w14:paraId="71370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restart"/>
                  <w:vAlign w:val="center"/>
                </w:tcPr>
                <w:p w14:paraId="5238F5E8">
                  <w:pPr>
                    <w:pStyle w:val="42"/>
                  </w:pPr>
                  <w:bookmarkStart w:id="8" w:name="RANGE!C16"/>
                  <w:r>
                    <w:rPr>
                      <w:rFonts w:hint="eastAsia"/>
                    </w:rPr>
                    <w:t>绿藻门</w:t>
                  </w:r>
                  <w:r>
                    <w:t xml:space="preserve"> Chlorophyta</w:t>
                  </w:r>
                  <w:bookmarkEnd w:id="8"/>
                </w:p>
              </w:tc>
              <w:tc>
                <w:tcPr>
                  <w:tcW w:w="2552" w:type="dxa"/>
                  <w:noWrap/>
                  <w:vAlign w:val="center"/>
                </w:tcPr>
                <w:p w14:paraId="6E3EAFE7">
                  <w:pPr>
                    <w:pStyle w:val="42"/>
                  </w:pPr>
                  <w:r>
                    <w:rPr>
                      <w:rFonts w:hint="eastAsia"/>
                    </w:rPr>
                    <w:t>普通小球藻</w:t>
                  </w:r>
                </w:p>
              </w:tc>
              <w:tc>
                <w:tcPr>
                  <w:tcW w:w="2663" w:type="dxa"/>
                  <w:vAlign w:val="center"/>
                </w:tcPr>
                <w:p w14:paraId="75EF1CF6">
                  <w:pPr>
                    <w:pStyle w:val="42"/>
                    <w:rPr>
                      <w:i/>
                      <w:iCs/>
                    </w:rPr>
                  </w:pPr>
                  <w:r>
                    <w:rPr>
                      <w:i/>
                      <w:iCs/>
                    </w:rPr>
                    <w:t>Chlorella vulgaris</w:t>
                  </w:r>
                </w:p>
              </w:tc>
            </w:tr>
            <w:tr w14:paraId="61514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670F7C71">
                  <w:pPr>
                    <w:pStyle w:val="42"/>
                  </w:pPr>
                </w:p>
              </w:tc>
              <w:tc>
                <w:tcPr>
                  <w:tcW w:w="2552" w:type="dxa"/>
                  <w:noWrap/>
                  <w:vAlign w:val="center"/>
                </w:tcPr>
                <w:p w14:paraId="5825D663">
                  <w:pPr>
                    <w:pStyle w:val="42"/>
                  </w:pPr>
                  <w:r>
                    <w:rPr>
                      <w:rFonts w:hint="eastAsia"/>
                    </w:rPr>
                    <w:t>丝藻</w:t>
                  </w:r>
                </w:p>
              </w:tc>
              <w:tc>
                <w:tcPr>
                  <w:tcW w:w="2663" w:type="dxa"/>
                  <w:vAlign w:val="center"/>
                </w:tcPr>
                <w:p w14:paraId="3E9E7DEA">
                  <w:pPr>
                    <w:pStyle w:val="42"/>
                    <w:rPr>
                      <w:i/>
                      <w:iCs/>
                    </w:rPr>
                  </w:pPr>
                  <w:r>
                    <w:rPr>
                      <w:i/>
                      <w:iCs/>
                    </w:rPr>
                    <w:t>Ulothrix sp.</w:t>
                  </w:r>
                </w:p>
              </w:tc>
            </w:tr>
            <w:tr w14:paraId="6C911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071EC81D">
                  <w:pPr>
                    <w:pStyle w:val="42"/>
                  </w:pPr>
                </w:p>
              </w:tc>
              <w:tc>
                <w:tcPr>
                  <w:tcW w:w="2552" w:type="dxa"/>
                  <w:noWrap/>
                  <w:vAlign w:val="center"/>
                </w:tcPr>
                <w:p w14:paraId="42EFAC38">
                  <w:pPr>
                    <w:pStyle w:val="42"/>
                  </w:pPr>
                  <w:r>
                    <w:rPr>
                      <w:rFonts w:hint="eastAsia"/>
                    </w:rPr>
                    <w:t>镰形纤维藻</w:t>
                  </w:r>
                </w:p>
              </w:tc>
              <w:tc>
                <w:tcPr>
                  <w:tcW w:w="2663" w:type="dxa"/>
                  <w:vAlign w:val="center"/>
                </w:tcPr>
                <w:p w14:paraId="7FAEB635">
                  <w:pPr>
                    <w:pStyle w:val="42"/>
                    <w:rPr>
                      <w:i/>
                      <w:iCs/>
                    </w:rPr>
                  </w:pPr>
                  <w:r>
                    <w:rPr>
                      <w:i/>
                      <w:iCs/>
                    </w:rPr>
                    <w:t>Ankistrodesmus falcatus</w:t>
                  </w:r>
                </w:p>
              </w:tc>
            </w:tr>
            <w:tr w14:paraId="5231B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14F682A6">
                  <w:pPr>
                    <w:pStyle w:val="42"/>
                  </w:pPr>
                </w:p>
              </w:tc>
              <w:tc>
                <w:tcPr>
                  <w:tcW w:w="2552" w:type="dxa"/>
                  <w:noWrap/>
                  <w:vAlign w:val="center"/>
                </w:tcPr>
                <w:p w14:paraId="4FFEDBB7">
                  <w:pPr>
                    <w:pStyle w:val="42"/>
                  </w:pPr>
                  <w:r>
                    <w:rPr>
                      <w:rFonts w:hint="eastAsia"/>
                    </w:rPr>
                    <w:t>衣藻</w:t>
                  </w:r>
                </w:p>
              </w:tc>
              <w:tc>
                <w:tcPr>
                  <w:tcW w:w="2663" w:type="dxa"/>
                  <w:vAlign w:val="center"/>
                </w:tcPr>
                <w:p w14:paraId="7F3FEB45">
                  <w:pPr>
                    <w:pStyle w:val="42"/>
                    <w:rPr>
                      <w:i/>
                      <w:iCs/>
                    </w:rPr>
                  </w:pPr>
                  <w:r>
                    <w:rPr>
                      <w:i/>
                      <w:iCs/>
                    </w:rPr>
                    <w:t>Chlamydomonas sp.</w:t>
                  </w:r>
                </w:p>
              </w:tc>
            </w:tr>
            <w:tr w14:paraId="3C2F8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5835C64B">
                  <w:pPr>
                    <w:pStyle w:val="42"/>
                  </w:pPr>
                </w:p>
              </w:tc>
              <w:tc>
                <w:tcPr>
                  <w:tcW w:w="2552" w:type="dxa"/>
                  <w:noWrap/>
                  <w:vAlign w:val="center"/>
                </w:tcPr>
                <w:p w14:paraId="2205217C">
                  <w:pPr>
                    <w:pStyle w:val="42"/>
                  </w:pPr>
                  <w:r>
                    <w:rPr>
                      <w:rFonts w:hint="eastAsia"/>
                    </w:rPr>
                    <w:t>椭圆衣藻</w:t>
                  </w:r>
                </w:p>
              </w:tc>
              <w:tc>
                <w:tcPr>
                  <w:tcW w:w="2663" w:type="dxa"/>
                  <w:vAlign w:val="center"/>
                </w:tcPr>
                <w:p w14:paraId="39E25DA6">
                  <w:pPr>
                    <w:pStyle w:val="42"/>
                    <w:rPr>
                      <w:i/>
                      <w:iCs/>
                    </w:rPr>
                  </w:pPr>
                  <w:r>
                    <w:rPr>
                      <w:i/>
                      <w:iCs/>
                    </w:rPr>
                    <w:t>Chlamydomonas elliptica</w:t>
                  </w:r>
                </w:p>
              </w:tc>
            </w:tr>
            <w:tr w14:paraId="7698E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075C41E2">
                  <w:pPr>
                    <w:pStyle w:val="42"/>
                  </w:pPr>
                </w:p>
              </w:tc>
              <w:tc>
                <w:tcPr>
                  <w:tcW w:w="2552" w:type="dxa"/>
                  <w:noWrap/>
                  <w:vAlign w:val="center"/>
                </w:tcPr>
                <w:p w14:paraId="79582881">
                  <w:pPr>
                    <w:pStyle w:val="42"/>
                  </w:pPr>
                  <w:r>
                    <w:rPr>
                      <w:rFonts w:hint="eastAsia"/>
                    </w:rPr>
                    <w:t>球状衣藻</w:t>
                  </w:r>
                </w:p>
              </w:tc>
              <w:tc>
                <w:tcPr>
                  <w:tcW w:w="2663" w:type="dxa"/>
                  <w:vAlign w:val="center"/>
                </w:tcPr>
                <w:p w14:paraId="4616DFEA">
                  <w:pPr>
                    <w:pStyle w:val="42"/>
                    <w:rPr>
                      <w:i/>
                      <w:iCs/>
                    </w:rPr>
                  </w:pPr>
                  <w:r>
                    <w:rPr>
                      <w:i/>
                      <w:iCs/>
                    </w:rPr>
                    <w:t>Chlamydomonasglobosa</w:t>
                  </w:r>
                </w:p>
              </w:tc>
            </w:tr>
            <w:tr w14:paraId="633BD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622343F0">
                  <w:pPr>
                    <w:pStyle w:val="42"/>
                  </w:pPr>
                </w:p>
              </w:tc>
              <w:tc>
                <w:tcPr>
                  <w:tcW w:w="2552" w:type="dxa"/>
                  <w:noWrap/>
                  <w:vAlign w:val="center"/>
                </w:tcPr>
                <w:p w14:paraId="7DF22686">
                  <w:pPr>
                    <w:pStyle w:val="42"/>
                  </w:pPr>
                  <w:r>
                    <w:rPr>
                      <w:rFonts w:hint="eastAsia"/>
                    </w:rPr>
                    <w:t>短刺四星藻</w:t>
                  </w:r>
                </w:p>
              </w:tc>
              <w:tc>
                <w:tcPr>
                  <w:tcW w:w="2663" w:type="dxa"/>
                  <w:vAlign w:val="center"/>
                </w:tcPr>
                <w:p w14:paraId="4DBCE8CD">
                  <w:pPr>
                    <w:pStyle w:val="42"/>
                    <w:rPr>
                      <w:i/>
                      <w:iCs/>
                    </w:rPr>
                  </w:pPr>
                  <w:r>
                    <w:rPr>
                      <w:i/>
                      <w:iCs/>
                    </w:rPr>
                    <w:t>Tetrastrum staurogeniaeforme</w:t>
                  </w:r>
                </w:p>
              </w:tc>
            </w:tr>
            <w:tr w14:paraId="08444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0B01F76D">
                  <w:pPr>
                    <w:pStyle w:val="42"/>
                  </w:pPr>
                </w:p>
              </w:tc>
              <w:tc>
                <w:tcPr>
                  <w:tcW w:w="2552" w:type="dxa"/>
                  <w:noWrap/>
                  <w:vAlign w:val="center"/>
                </w:tcPr>
                <w:p w14:paraId="657DCDD0">
                  <w:pPr>
                    <w:pStyle w:val="42"/>
                  </w:pPr>
                  <w:r>
                    <w:rPr>
                      <w:rFonts w:hint="eastAsia"/>
                    </w:rPr>
                    <w:t>四尾栅藻</w:t>
                  </w:r>
                </w:p>
              </w:tc>
              <w:tc>
                <w:tcPr>
                  <w:tcW w:w="2663" w:type="dxa"/>
                  <w:vAlign w:val="center"/>
                </w:tcPr>
                <w:p w14:paraId="264D8DC4">
                  <w:pPr>
                    <w:pStyle w:val="42"/>
                    <w:rPr>
                      <w:i/>
                      <w:iCs/>
                    </w:rPr>
                  </w:pPr>
                  <w:r>
                    <w:rPr>
                      <w:i/>
                      <w:iCs/>
                    </w:rPr>
                    <w:t>Scenedesmus quadricauda</w:t>
                  </w:r>
                </w:p>
              </w:tc>
            </w:tr>
            <w:tr w14:paraId="46D33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F3AA255">
                  <w:pPr>
                    <w:pStyle w:val="42"/>
                  </w:pPr>
                </w:p>
              </w:tc>
              <w:tc>
                <w:tcPr>
                  <w:tcW w:w="2552" w:type="dxa"/>
                  <w:noWrap/>
                  <w:vAlign w:val="center"/>
                </w:tcPr>
                <w:p w14:paraId="4772652E">
                  <w:pPr>
                    <w:pStyle w:val="42"/>
                  </w:pPr>
                  <w:r>
                    <w:rPr>
                      <w:rFonts w:hint="eastAsia"/>
                    </w:rPr>
                    <w:t>双对栅藻</w:t>
                  </w:r>
                </w:p>
              </w:tc>
              <w:tc>
                <w:tcPr>
                  <w:tcW w:w="2663" w:type="dxa"/>
                  <w:vAlign w:val="center"/>
                </w:tcPr>
                <w:p w14:paraId="0AA0686F">
                  <w:pPr>
                    <w:pStyle w:val="42"/>
                    <w:rPr>
                      <w:i/>
                      <w:iCs/>
                    </w:rPr>
                  </w:pPr>
                  <w:r>
                    <w:rPr>
                      <w:i/>
                      <w:iCs/>
                    </w:rPr>
                    <w:t>Scenedesmus bijuga</w:t>
                  </w:r>
                </w:p>
              </w:tc>
            </w:tr>
            <w:tr w14:paraId="46B1F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F38EFF8">
                  <w:pPr>
                    <w:pStyle w:val="42"/>
                  </w:pPr>
                </w:p>
              </w:tc>
              <w:tc>
                <w:tcPr>
                  <w:tcW w:w="2552" w:type="dxa"/>
                  <w:noWrap/>
                  <w:vAlign w:val="center"/>
                </w:tcPr>
                <w:p w14:paraId="365ACE18">
                  <w:pPr>
                    <w:pStyle w:val="42"/>
                  </w:pPr>
                  <w:r>
                    <w:rPr>
                      <w:rFonts w:hint="eastAsia"/>
                    </w:rPr>
                    <w:t>集星藻</w:t>
                  </w:r>
                </w:p>
              </w:tc>
              <w:tc>
                <w:tcPr>
                  <w:tcW w:w="2663" w:type="dxa"/>
                  <w:vAlign w:val="center"/>
                </w:tcPr>
                <w:p w14:paraId="54A12FC1">
                  <w:pPr>
                    <w:pStyle w:val="42"/>
                    <w:rPr>
                      <w:i/>
                      <w:iCs/>
                    </w:rPr>
                  </w:pPr>
                  <w:r>
                    <w:rPr>
                      <w:i/>
                      <w:iCs/>
                    </w:rPr>
                    <w:t>Actinastrum hantzschii</w:t>
                  </w:r>
                </w:p>
              </w:tc>
            </w:tr>
            <w:tr w14:paraId="2BEEA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3AE2E58">
                  <w:pPr>
                    <w:pStyle w:val="42"/>
                  </w:pPr>
                </w:p>
              </w:tc>
              <w:tc>
                <w:tcPr>
                  <w:tcW w:w="2552" w:type="dxa"/>
                  <w:noWrap/>
                  <w:vAlign w:val="center"/>
                </w:tcPr>
                <w:p w14:paraId="3C34AB47">
                  <w:pPr>
                    <w:pStyle w:val="42"/>
                  </w:pPr>
                  <w:r>
                    <w:rPr>
                      <w:rFonts w:hint="eastAsia"/>
                    </w:rPr>
                    <w:t>膨胀四角藻</w:t>
                  </w:r>
                </w:p>
              </w:tc>
              <w:tc>
                <w:tcPr>
                  <w:tcW w:w="2663" w:type="dxa"/>
                  <w:vAlign w:val="center"/>
                </w:tcPr>
                <w:p w14:paraId="4B9B9D4E">
                  <w:pPr>
                    <w:pStyle w:val="42"/>
                    <w:rPr>
                      <w:i/>
                      <w:iCs/>
                    </w:rPr>
                  </w:pPr>
                  <w:r>
                    <w:rPr>
                      <w:i/>
                      <w:iCs/>
                    </w:rPr>
                    <w:t>Tetraēdron tumidulum</w:t>
                  </w:r>
                </w:p>
              </w:tc>
            </w:tr>
            <w:tr w14:paraId="472A2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restart"/>
                  <w:vAlign w:val="center"/>
                </w:tcPr>
                <w:p w14:paraId="7CFDDB15">
                  <w:pPr>
                    <w:pStyle w:val="42"/>
                  </w:pPr>
                  <w:bookmarkStart w:id="9" w:name="RANGE!C32"/>
                  <w:r>
                    <w:rPr>
                      <w:rFonts w:hint="eastAsia"/>
                    </w:rPr>
                    <w:t>硅藻门</w:t>
                  </w:r>
                  <w:r>
                    <w:t xml:space="preserve"> Bacillariophyta</w:t>
                  </w:r>
                  <w:bookmarkEnd w:id="9"/>
                </w:p>
              </w:tc>
              <w:tc>
                <w:tcPr>
                  <w:tcW w:w="2552" w:type="dxa"/>
                  <w:noWrap/>
                  <w:vAlign w:val="center"/>
                </w:tcPr>
                <w:p w14:paraId="31CAAC97">
                  <w:pPr>
                    <w:pStyle w:val="42"/>
                  </w:pPr>
                  <w:r>
                    <w:rPr>
                      <w:rFonts w:hint="eastAsia"/>
                    </w:rPr>
                    <w:t>膨胀桥弯藻</w:t>
                  </w:r>
                </w:p>
              </w:tc>
              <w:tc>
                <w:tcPr>
                  <w:tcW w:w="2663" w:type="dxa"/>
                  <w:vAlign w:val="center"/>
                </w:tcPr>
                <w:p w14:paraId="474BEF5A">
                  <w:pPr>
                    <w:pStyle w:val="42"/>
                    <w:rPr>
                      <w:i/>
                      <w:iCs/>
                    </w:rPr>
                  </w:pPr>
                  <w:r>
                    <w:rPr>
                      <w:i/>
                      <w:iCs/>
                    </w:rPr>
                    <w:t>Cymbella tumida</w:t>
                  </w:r>
                </w:p>
              </w:tc>
            </w:tr>
            <w:tr w14:paraId="4FB07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7741F59">
                  <w:pPr>
                    <w:pStyle w:val="42"/>
                  </w:pPr>
                </w:p>
              </w:tc>
              <w:tc>
                <w:tcPr>
                  <w:tcW w:w="2552" w:type="dxa"/>
                  <w:noWrap/>
                  <w:vAlign w:val="center"/>
                </w:tcPr>
                <w:p w14:paraId="7CE36934">
                  <w:pPr>
                    <w:pStyle w:val="42"/>
                  </w:pPr>
                  <w:r>
                    <w:rPr>
                      <w:rFonts w:hint="eastAsia"/>
                    </w:rPr>
                    <w:t>小桥弯藻</w:t>
                  </w:r>
                </w:p>
              </w:tc>
              <w:tc>
                <w:tcPr>
                  <w:tcW w:w="2663" w:type="dxa"/>
                  <w:vAlign w:val="center"/>
                </w:tcPr>
                <w:p w14:paraId="3B47E1DB">
                  <w:pPr>
                    <w:pStyle w:val="42"/>
                    <w:rPr>
                      <w:i/>
                      <w:iCs/>
                    </w:rPr>
                  </w:pPr>
                  <w:r>
                    <w:rPr>
                      <w:i/>
                      <w:iCs/>
                    </w:rPr>
                    <w:t>Cymbella laevis</w:t>
                  </w:r>
                </w:p>
              </w:tc>
            </w:tr>
            <w:tr w14:paraId="26520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F3A105D">
                  <w:pPr>
                    <w:pStyle w:val="42"/>
                  </w:pPr>
                </w:p>
              </w:tc>
              <w:tc>
                <w:tcPr>
                  <w:tcW w:w="2552" w:type="dxa"/>
                  <w:noWrap/>
                  <w:vAlign w:val="center"/>
                </w:tcPr>
                <w:p w14:paraId="31928F6F">
                  <w:pPr>
                    <w:pStyle w:val="42"/>
                  </w:pPr>
                  <w:r>
                    <w:rPr>
                      <w:rFonts w:hint="eastAsia"/>
                    </w:rPr>
                    <w:t>偏肿桥弯藻</w:t>
                  </w:r>
                </w:p>
              </w:tc>
              <w:tc>
                <w:tcPr>
                  <w:tcW w:w="2663" w:type="dxa"/>
                  <w:vAlign w:val="center"/>
                </w:tcPr>
                <w:p w14:paraId="5E957262">
                  <w:pPr>
                    <w:pStyle w:val="42"/>
                    <w:rPr>
                      <w:i/>
                      <w:iCs/>
                    </w:rPr>
                  </w:pPr>
                  <w:r>
                    <w:rPr>
                      <w:i/>
                      <w:iCs/>
                    </w:rPr>
                    <w:t>Cymbella ventricosa</w:t>
                  </w:r>
                </w:p>
              </w:tc>
            </w:tr>
            <w:tr w14:paraId="0D0FF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464A026">
                  <w:pPr>
                    <w:pStyle w:val="42"/>
                  </w:pPr>
                </w:p>
              </w:tc>
              <w:tc>
                <w:tcPr>
                  <w:tcW w:w="2552" w:type="dxa"/>
                  <w:noWrap/>
                  <w:vAlign w:val="center"/>
                </w:tcPr>
                <w:p w14:paraId="1360B024">
                  <w:pPr>
                    <w:pStyle w:val="42"/>
                  </w:pPr>
                  <w:r>
                    <w:rPr>
                      <w:rFonts w:hint="eastAsia"/>
                    </w:rPr>
                    <w:t>等片藻</w:t>
                  </w:r>
                </w:p>
              </w:tc>
              <w:tc>
                <w:tcPr>
                  <w:tcW w:w="2663" w:type="dxa"/>
                  <w:vAlign w:val="center"/>
                </w:tcPr>
                <w:p w14:paraId="7F5222DA">
                  <w:pPr>
                    <w:pStyle w:val="42"/>
                    <w:rPr>
                      <w:i/>
                      <w:iCs/>
                    </w:rPr>
                  </w:pPr>
                  <w:r>
                    <w:rPr>
                      <w:i/>
                      <w:iCs/>
                    </w:rPr>
                    <w:t>Diatoma sp.</w:t>
                  </w:r>
                </w:p>
              </w:tc>
            </w:tr>
            <w:tr w14:paraId="209C3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80B4A11">
                  <w:pPr>
                    <w:pStyle w:val="42"/>
                  </w:pPr>
                </w:p>
              </w:tc>
              <w:tc>
                <w:tcPr>
                  <w:tcW w:w="2552" w:type="dxa"/>
                  <w:noWrap/>
                  <w:vAlign w:val="center"/>
                </w:tcPr>
                <w:p w14:paraId="24252D6B">
                  <w:pPr>
                    <w:pStyle w:val="42"/>
                  </w:pPr>
                  <w:r>
                    <w:rPr>
                      <w:rFonts w:hint="eastAsia"/>
                    </w:rPr>
                    <w:t>长等片藻</w:t>
                  </w:r>
                </w:p>
              </w:tc>
              <w:tc>
                <w:tcPr>
                  <w:tcW w:w="2663" w:type="dxa"/>
                  <w:vAlign w:val="center"/>
                </w:tcPr>
                <w:p w14:paraId="414C2109">
                  <w:pPr>
                    <w:pStyle w:val="42"/>
                    <w:rPr>
                      <w:i/>
                      <w:iCs/>
                    </w:rPr>
                  </w:pPr>
                  <w:r>
                    <w:rPr>
                      <w:i/>
                      <w:iCs/>
                    </w:rPr>
                    <w:t>Diatoma elongatum</w:t>
                  </w:r>
                </w:p>
              </w:tc>
            </w:tr>
            <w:tr w14:paraId="6A47D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3A38BB3">
                  <w:pPr>
                    <w:pStyle w:val="42"/>
                  </w:pPr>
                </w:p>
              </w:tc>
              <w:tc>
                <w:tcPr>
                  <w:tcW w:w="2552" w:type="dxa"/>
                  <w:noWrap/>
                  <w:vAlign w:val="center"/>
                </w:tcPr>
                <w:p w14:paraId="54330DF8">
                  <w:pPr>
                    <w:pStyle w:val="42"/>
                  </w:pPr>
                  <w:r>
                    <w:rPr>
                      <w:rFonts w:hint="eastAsia"/>
                    </w:rPr>
                    <w:t>普通等片藻</w:t>
                  </w:r>
                </w:p>
              </w:tc>
              <w:tc>
                <w:tcPr>
                  <w:tcW w:w="2663" w:type="dxa"/>
                  <w:vAlign w:val="center"/>
                </w:tcPr>
                <w:p w14:paraId="45ABC8EC">
                  <w:pPr>
                    <w:pStyle w:val="42"/>
                    <w:rPr>
                      <w:i/>
                      <w:iCs/>
                    </w:rPr>
                  </w:pPr>
                  <w:r>
                    <w:rPr>
                      <w:i/>
                      <w:iCs/>
                    </w:rPr>
                    <w:t>Diatoma vulgare</w:t>
                  </w:r>
                </w:p>
              </w:tc>
            </w:tr>
            <w:tr w14:paraId="55753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617B8608">
                  <w:pPr>
                    <w:pStyle w:val="42"/>
                  </w:pPr>
                </w:p>
              </w:tc>
              <w:tc>
                <w:tcPr>
                  <w:tcW w:w="2552" w:type="dxa"/>
                  <w:noWrap/>
                  <w:vAlign w:val="center"/>
                </w:tcPr>
                <w:p w14:paraId="5AD1C4B6">
                  <w:pPr>
                    <w:pStyle w:val="42"/>
                  </w:pPr>
                  <w:r>
                    <w:rPr>
                      <w:rFonts w:hint="eastAsia"/>
                    </w:rPr>
                    <w:t>卵形藻</w:t>
                  </w:r>
                </w:p>
              </w:tc>
              <w:tc>
                <w:tcPr>
                  <w:tcW w:w="2663" w:type="dxa"/>
                  <w:vAlign w:val="center"/>
                </w:tcPr>
                <w:p w14:paraId="3C7451DC">
                  <w:pPr>
                    <w:pStyle w:val="42"/>
                    <w:rPr>
                      <w:i/>
                      <w:iCs/>
                    </w:rPr>
                  </w:pPr>
                  <w:r>
                    <w:rPr>
                      <w:i/>
                      <w:iCs/>
                    </w:rPr>
                    <w:t>Cocconeis sp.</w:t>
                  </w:r>
                </w:p>
              </w:tc>
            </w:tr>
            <w:tr w14:paraId="1D0C4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0C3DC44D">
                  <w:pPr>
                    <w:pStyle w:val="42"/>
                  </w:pPr>
                </w:p>
              </w:tc>
              <w:tc>
                <w:tcPr>
                  <w:tcW w:w="2552" w:type="dxa"/>
                  <w:noWrap/>
                  <w:vAlign w:val="center"/>
                </w:tcPr>
                <w:p w14:paraId="38A081B5">
                  <w:pPr>
                    <w:pStyle w:val="42"/>
                  </w:pPr>
                  <w:r>
                    <w:rPr>
                      <w:rFonts w:hint="eastAsia"/>
                    </w:rPr>
                    <w:t>舟形藻</w:t>
                  </w:r>
                </w:p>
              </w:tc>
              <w:tc>
                <w:tcPr>
                  <w:tcW w:w="2663" w:type="dxa"/>
                  <w:vAlign w:val="center"/>
                </w:tcPr>
                <w:p w14:paraId="009CDE64">
                  <w:pPr>
                    <w:pStyle w:val="42"/>
                    <w:rPr>
                      <w:i/>
                      <w:iCs/>
                    </w:rPr>
                  </w:pPr>
                  <w:r>
                    <w:rPr>
                      <w:i/>
                      <w:iCs/>
                    </w:rPr>
                    <w:t>Navicula sp.</w:t>
                  </w:r>
                </w:p>
              </w:tc>
            </w:tr>
            <w:tr w14:paraId="183B5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7B6A46D8">
                  <w:pPr>
                    <w:pStyle w:val="42"/>
                  </w:pPr>
                </w:p>
              </w:tc>
              <w:tc>
                <w:tcPr>
                  <w:tcW w:w="2552" w:type="dxa"/>
                  <w:noWrap/>
                  <w:vAlign w:val="center"/>
                </w:tcPr>
                <w:p w14:paraId="372CCD29">
                  <w:pPr>
                    <w:pStyle w:val="42"/>
                  </w:pPr>
                  <w:r>
                    <w:rPr>
                      <w:rFonts w:hint="eastAsia"/>
                    </w:rPr>
                    <w:t>最小舟形藻</w:t>
                  </w:r>
                </w:p>
              </w:tc>
              <w:tc>
                <w:tcPr>
                  <w:tcW w:w="2663" w:type="dxa"/>
                  <w:vAlign w:val="center"/>
                </w:tcPr>
                <w:p w14:paraId="4CC7635A">
                  <w:pPr>
                    <w:pStyle w:val="42"/>
                    <w:rPr>
                      <w:i/>
                      <w:iCs/>
                    </w:rPr>
                  </w:pPr>
                  <w:r>
                    <w:rPr>
                      <w:i/>
                      <w:iCs/>
                    </w:rPr>
                    <w:t>Navicula minima</w:t>
                  </w:r>
                </w:p>
              </w:tc>
            </w:tr>
            <w:tr w14:paraId="1F14C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84AD939">
                  <w:pPr>
                    <w:pStyle w:val="42"/>
                  </w:pPr>
                </w:p>
              </w:tc>
              <w:tc>
                <w:tcPr>
                  <w:tcW w:w="2552" w:type="dxa"/>
                  <w:noWrap/>
                  <w:vAlign w:val="center"/>
                </w:tcPr>
                <w:p w14:paraId="2A7C3B1F">
                  <w:pPr>
                    <w:pStyle w:val="42"/>
                  </w:pPr>
                  <w:r>
                    <w:rPr>
                      <w:rFonts w:hint="eastAsia"/>
                    </w:rPr>
                    <w:t>喙头舟形藻</w:t>
                  </w:r>
                </w:p>
              </w:tc>
              <w:tc>
                <w:tcPr>
                  <w:tcW w:w="2663" w:type="dxa"/>
                  <w:vAlign w:val="center"/>
                </w:tcPr>
                <w:p w14:paraId="7AF4DED0">
                  <w:pPr>
                    <w:pStyle w:val="42"/>
                    <w:rPr>
                      <w:i/>
                      <w:iCs/>
                    </w:rPr>
                  </w:pPr>
                  <w:r>
                    <w:rPr>
                      <w:i/>
                      <w:iCs/>
                    </w:rPr>
                    <w:t>Navicularhynchocephala</w:t>
                  </w:r>
                </w:p>
              </w:tc>
            </w:tr>
            <w:tr w14:paraId="55C48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7B364FBD">
                  <w:pPr>
                    <w:pStyle w:val="42"/>
                  </w:pPr>
                </w:p>
              </w:tc>
              <w:tc>
                <w:tcPr>
                  <w:tcW w:w="2552" w:type="dxa"/>
                  <w:noWrap/>
                  <w:vAlign w:val="center"/>
                </w:tcPr>
                <w:p w14:paraId="6D9E087C">
                  <w:pPr>
                    <w:pStyle w:val="42"/>
                  </w:pPr>
                  <w:r>
                    <w:rPr>
                      <w:rFonts w:hint="eastAsia"/>
                    </w:rPr>
                    <w:t>嗜盐舟形藻</w:t>
                  </w:r>
                </w:p>
              </w:tc>
              <w:tc>
                <w:tcPr>
                  <w:tcW w:w="2663" w:type="dxa"/>
                  <w:vAlign w:val="center"/>
                </w:tcPr>
                <w:p w14:paraId="62B85C94">
                  <w:pPr>
                    <w:pStyle w:val="42"/>
                    <w:rPr>
                      <w:i/>
                      <w:iCs/>
                    </w:rPr>
                  </w:pPr>
                  <w:r>
                    <w:rPr>
                      <w:i/>
                      <w:iCs/>
                    </w:rPr>
                    <w:t>Navicula halophila</w:t>
                  </w:r>
                </w:p>
              </w:tc>
            </w:tr>
            <w:tr w14:paraId="581CA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6FFDABAA">
                  <w:pPr>
                    <w:pStyle w:val="42"/>
                  </w:pPr>
                </w:p>
              </w:tc>
              <w:tc>
                <w:tcPr>
                  <w:tcW w:w="2552" w:type="dxa"/>
                  <w:noWrap/>
                  <w:vAlign w:val="center"/>
                </w:tcPr>
                <w:p w14:paraId="71AF7F55">
                  <w:pPr>
                    <w:pStyle w:val="42"/>
                  </w:pPr>
                  <w:r>
                    <w:rPr>
                      <w:rFonts w:hint="eastAsia"/>
                    </w:rPr>
                    <w:t>放射舟形藻</w:t>
                  </w:r>
                </w:p>
              </w:tc>
              <w:tc>
                <w:tcPr>
                  <w:tcW w:w="2663" w:type="dxa"/>
                  <w:vAlign w:val="center"/>
                </w:tcPr>
                <w:p w14:paraId="74B4D357">
                  <w:pPr>
                    <w:pStyle w:val="42"/>
                    <w:rPr>
                      <w:i/>
                      <w:iCs/>
                    </w:rPr>
                  </w:pPr>
                  <w:r>
                    <w:rPr>
                      <w:i/>
                      <w:iCs/>
                    </w:rPr>
                    <w:t>Navicula radiosa</w:t>
                  </w:r>
                </w:p>
              </w:tc>
            </w:tr>
            <w:tr w14:paraId="56A98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5F338CE5">
                  <w:pPr>
                    <w:pStyle w:val="42"/>
                  </w:pPr>
                </w:p>
              </w:tc>
              <w:tc>
                <w:tcPr>
                  <w:tcW w:w="2552" w:type="dxa"/>
                  <w:noWrap/>
                  <w:vAlign w:val="center"/>
                </w:tcPr>
                <w:p w14:paraId="57B10B4D">
                  <w:pPr>
                    <w:pStyle w:val="42"/>
                  </w:pPr>
                  <w:r>
                    <w:rPr>
                      <w:rFonts w:hint="eastAsia"/>
                    </w:rPr>
                    <w:t>隐头舟形藻</w:t>
                  </w:r>
                </w:p>
              </w:tc>
              <w:tc>
                <w:tcPr>
                  <w:tcW w:w="2663" w:type="dxa"/>
                  <w:vAlign w:val="center"/>
                </w:tcPr>
                <w:p w14:paraId="3E0B6835">
                  <w:pPr>
                    <w:pStyle w:val="42"/>
                    <w:rPr>
                      <w:i/>
                      <w:iCs/>
                    </w:rPr>
                  </w:pPr>
                  <w:r>
                    <w:rPr>
                      <w:i/>
                      <w:iCs/>
                    </w:rPr>
                    <w:t>Navicula cryptocephala</w:t>
                  </w:r>
                </w:p>
              </w:tc>
            </w:tr>
            <w:tr w14:paraId="009A0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41B67A50">
                  <w:pPr>
                    <w:pStyle w:val="42"/>
                  </w:pPr>
                </w:p>
              </w:tc>
              <w:tc>
                <w:tcPr>
                  <w:tcW w:w="2552" w:type="dxa"/>
                  <w:noWrap/>
                  <w:vAlign w:val="center"/>
                </w:tcPr>
                <w:p w14:paraId="107F3844">
                  <w:pPr>
                    <w:pStyle w:val="42"/>
                  </w:pPr>
                  <w:r>
                    <w:rPr>
                      <w:rFonts w:hint="eastAsia"/>
                    </w:rPr>
                    <w:t>简单舟形藻</w:t>
                  </w:r>
                </w:p>
              </w:tc>
              <w:tc>
                <w:tcPr>
                  <w:tcW w:w="2663" w:type="dxa"/>
                  <w:vAlign w:val="center"/>
                </w:tcPr>
                <w:p w14:paraId="7B9E3D13">
                  <w:pPr>
                    <w:pStyle w:val="42"/>
                    <w:rPr>
                      <w:i/>
                      <w:iCs/>
                    </w:rPr>
                  </w:pPr>
                  <w:r>
                    <w:rPr>
                      <w:i/>
                      <w:iCs/>
                    </w:rPr>
                    <w:t>Navicula simplex</w:t>
                  </w:r>
                </w:p>
              </w:tc>
            </w:tr>
            <w:tr w14:paraId="056C7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F1EB9D5">
                  <w:pPr>
                    <w:pStyle w:val="42"/>
                  </w:pPr>
                </w:p>
              </w:tc>
              <w:tc>
                <w:tcPr>
                  <w:tcW w:w="2552" w:type="dxa"/>
                  <w:noWrap/>
                  <w:vAlign w:val="center"/>
                </w:tcPr>
                <w:p w14:paraId="48CBDAAD">
                  <w:pPr>
                    <w:pStyle w:val="42"/>
                  </w:pPr>
                  <w:r>
                    <w:rPr>
                      <w:rFonts w:hint="eastAsia"/>
                    </w:rPr>
                    <w:t>美丽星杆藻</w:t>
                  </w:r>
                </w:p>
              </w:tc>
              <w:tc>
                <w:tcPr>
                  <w:tcW w:w="2663" w:type="dxa"/>
                  <w:vAlign w:val="center"/>
                </w:tcPr>
                <w:p w14:paraId="4F90E9F6">
                  <w:pPr>
                    <w:pStyle w:val="42"/>
                    <w:rPr>
                      <w:i/>
                      <w:iCs/>
                    </w:rPr>
                  </w:pPr>
                  <w:r>
                    <w:rPr>
                      <w:i/>
                      <w:iCs/>
                    </w:rPr>
                    <w:t>Asterionella roduct</w:t>
                  </w:r>
                </w:p>
              </w:tc>
            </w:tr>
            <w:tr w14:paraId="25A58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C86E77C">
                  <w:pPr>
                    <w:pStyle w:val="42"/>
                  </w:pPr>
                </w:p>
              </w:tc>
              <w:tc>
                <w:tcPr>
                  <w:tcW w:w="2552" w:type="dxa"/>
                  <w:noWrap/>
                  <w:vAlign w:val="center"/>
                </w:tcPr>
                <w:p w14:paraId="4E6B3C24">
                  <w:pPr>
                    <w:pStyle w:val="42"/>
                  </w:pPr>
                  <w:r>
                    <w:rPr>
                      <w:rFonts w:hint="eastAsia"/>
                    </w:rPr>
                    <w:t>微细异极藻</w:t>
                  </w:r>
                </w:p>
              </w:tc>
              <w:tc>
                <w:tcPr>
                  <w:tcW w:w="2663" w:type="dxa"/>
                  <w:vAlign w:val="center"/>
                </w:tcPr>
                <w:p w14:paraId="02EEFE7C">
                  <w:pPr>
                    <w:pStyle w:val="42"/>
                    <w:rPr>
                      <w:i/>
                      <w:iCs/>
                    </w:rPr>
                  </w:pPr>
                  <w:r>
                    <w:rPr>
                      <w:i/>
                      <w:iCs/>
                    </w:rPr>
                    <w:t>Gomphonema parvulum</w:t>
                  </w:r>
                </w:p>
              </w:tc>
            </w:tr>
            <w:tr w14:paraId="03893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593FF489">
                  <w:pPr>
                    <w:pStyle w:val="42"/>
                  </w:pPr>
                </w:p>
              </w:tc>
              <w:tc>
                <w:tcPr>
                  <w:tcW w:w="2552" w:type="dxa"/>
                  <w:noWrap/>
                  <w:vAlign w:val="center"/>
                </w:tcPr>
                <w:p w14:paraId="05951F8A">
                  <w:pPr>
                    <w:pStyle w:val="42"/>
                  </w:pPr>
                  <w:r>
                    <w:rPr>
                      <w:rFonts w:hint="eastAsia"/>
                    </w:rPr>
                    <w:t>中间异极藻</w:t>
                  </w:r>
                </w:p>
              </w:tc>
              <w:tc>
                <w:tcPr>
                  <w:tcW w:w="2663" w:type="dxa"/>
                  <w:vAlign w:val="center"/>
                </w:tcPr>
                <w:p w14:paraId="44E79699">
                  <w:pPr>
                    <w:pStyle w:val="42"/>
                    <w:rPr>
                      <w:i/>
                      <w:iCs/>
                    </w:rPr>
                  </w:pPr>
                  <w:r>
                    <w:rPr>
                      <w:i/>
                      <w:iCs/>
                    </w:rPr>
                    <w:t>Gomphonema intricatum</w:t>
                  </w:r>
                </w:p>
              </w:tc>
            </w:tr>
            <w:tr w14:paraId="60070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43309DCE">
                  <w:pPr>
                    <w:pStyle w:val="42"/>
                  </w:pPr>
                </w:p>
              </w:tc>
              <w:tc>
                <w:tcPr>
                  <w:tcW w:w="2552" w:type="dxa"/>
                  <w:noWrap/>
                  <w:vAlign w:val="center"/>
                </w:tcPr>
                <w:p w14:paraId="3B22BCBB">
                  <w:pPr>
                    <w:pStyle w:val="42"/>
                  </w:pPr>
                  <w:r>
                    <w:rPr>
                      <w:rFonts w:hint="eastAsia"/>
                    </w:rPr>
                    <w:t>双头针杆藻</w:t>
                  </w:r>
                </w:p>
              </w:tc>
              <w:tc>
                <w:tcPr>
                  <w:tcW w:w="2663" w:type="dxa"/>
                  <w:vAlign w:val="center"/>
                </w:tcPr>
                <w:p w14:paraId="3EAF240E">
                  <w:pPr>
                    <w:pStyle w:val="42"/>
                    <w:rPr>
                      <w:i/>
                      <w:iCs/>
                    </w:rPr>
                  </w:pPr>
                  <w:r>
                    <w:rPr>
                      <w:i/>
                      <w:iCs/>
                    </w:rPr>
                    <w:t>Synedra amphicephala</w:t>
                  </w:r>
                </w:p>
              </w:tc>
            </w:tr>
            <w:tr w14:paraId="6F1BF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09147E9A">
                  <w:pPr>
                    <w:pStyle w:val="42"/>
                  </w:pPr>
                </w:p>
              </w:tc>
              <w:tc>
                <w:tcPr>
                  <w:tcW w:w="2552" w:type="dxa"/>
                  <w:noWrap/>
                  <w:vAlign w:val="center"/>
                </w:tcPr>
                <w:p w14:paraId="72498194">
                  <w:pPr>
                    <w:pStyle w:val="42"/>
                  </w:pPr>
                  <w:r>
                    <w:rPr>
                      <w:rFonts w:hint="eastAsia"/>
                    </w:rPr>
                    <w:t>尖针杆藻</w:t>
                  </w:r>
                </w:p>
              </w:tc>
              <w:tc>
                <w:tcPr>
                  <w:tcW w:w="2663" w:type="dxa"/>
                  <w:vAlign w:val="center"/>
                </w:tcPr>
                <w:p w14:paraId="08FD0E58">
                  <w:pPr>
                    <w:pStyle w:val="42"/>
                    <w:rPr>
                      <w:i/>
                      <w:iCs/>
                    </w:rPr>
                  </w:pPr>
                  <w:r>
                    <w:rPr>
                      <w:i/>
                      <w:iCs/>
                    </w:rPr>
                    <w:t>Synedra acus</w:t>
                  </w:r>
                </w:p>
              </w:tc>
            </w:tr>
            <w:tr w14:paraId="06C3D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1F03DEAD">
                  <w:pPr>
                    <w:pStyle w:val="42"/>
                  </w:pPr>
                </w:p>
              </w:tc>
              <w:tc>
                <w:tcPr>
                  <w:tcW w:w="2552" w:type="dxa"/>
                  <w:noWrap/>
                  <w:vAlign w:val="center"/>
                </w:tcPr>
                <w:p w14:paraId="72824BB7">
                  <w:pPr>
                    <w:pStyle w:val="42"/>
                  </w:pPr>
                  <w:r>
                    <w:rPr>
                      <w:rFonts w:hint="eastAsia"/>
                    </w:rPr>
                    <w:t>偏凸针杆藻</w:t>
                  </w:r>
                </w:p>
              </w:tc>
              <w:tc>
                <w:tcPr>
                  <w:tcW w:w="2663" w:type="dxa"/>
                  <w:vAlign w:val="center"/>
                </w:tcPr>
                <w:p w14:paraId="0B9FA684">
                  <w:pPr>
                    <w:pStyle w:val="42"/>
                    <w:rPr>
                      <w:i/>
                      <w:iCs/>
                    </w:rPr>
                  </w:pPr>
                  <w:r>
                    <w:rPr>
                      <w:i/>
                      <w:iCs/>
                    </w:rPr>
                    <w:t>Synedra vaucheriae</w:t>
                  </w:r>
                </w:p>
              </w:tc>
            </w:tr>
            <w:tr w14:paraId="0BE61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18EC190">
                  <w:pPr>
                    <w:pStyle w:val="42"/>
                  </w:pPr>
                </w:p>
              </w:tc>
              <w:tc>
                <w:tcPr>
                  <w:tcW w:w="2552" w:type="dxa"/>
                  <w:noWrap/>
                  <w:vAlign w:val="center"/>
                </w:tcPr>
                <w:p w14:paraId="7CA483CE">
                  <w:pPr>
                    <w:pStyle w:val="42"/>
                  </w:pPr>
                  <w:r>
                    <w:rPr>
                      <w:rFonts w:hint="eastAsia"/>
                    </w:rPr>
                    <w:t>肘状针杆藻</w:t>
                  </w:r>
                </w:p>
              </w:tc>
              <w:tc>
                <w:tcPr>
                  <w:tcW w:w="2663" w:type="dxa"/>
                  <w:vAlign w:val="center"/>
                </w:tcPr>
                <w:p w14:paraId="4E617583">
                  <w:pPr>
                    <w:pStyle w:val="42"/>
                    <w:rPr>
                      <w:i/>
                      <w:iCs/>
                    </w:rPr>
                  </w:pPr>
                  <w:r>
                    <w:rPr>
                      <w:i/>
                      <w:iCs/>
                    </w:rPr>
                    <w:t>Synedra ulna</w:t>
                  </w:r>
                </w:p>
              </w:tc>
            </w:tr>
            <w:tr w14:paraId="4A45B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1408B77E">
                  <w:pPr>
                    <w:pStyle w:val="42"/>
                  </w:pPr>
                </w:p>
              </w:tc>
              <w:tc>
                <w:tcPr>
                  <w:tcW w:w="2552" w:type="dxa"/>
                  <w:noWrap/>
                  <w:vAlign w:val="center"/>
                </w:tcPr>
                <w:p w14:paraId="2D742861">
                  <w:pPr>
                    <w:pStyle w:val="42"/>
                  </w:pPr>
                  <w:r>
                    <w:rPr>
                      <w:rFonts w:hint="eastAsia"/>
                    </w:rPr>
                    <w:t>谷皮菱形藻</w:t>
                  </w:r>
                </w:p>
              </w:tc>
              <w:tc>
                <w:tcPr>
                  <w:tcW w:w="2663" w:type="dxa"/>
                  <w:vAlign w:val="center"/>
                </w:tcPr>
                <w:p w14:paraId="5C3DCF47">
                  <w:pPr>
                    <w:pStyle w:val="42"/>
                    <w:rPr>
                      <w:i/>
                      <w:iCs/>
                    </w:rPr>
                  </w:pPr>
                  <w:r>
                    <w:rPr>
                      <w:i/>
                      <w:iCs/>
                    </w:rPr>
                    <w:t>Nitzschia palea</w:t>
                  </w:r>
                </w:p>
              </w:tc>
            </w:tr>
            <w:tr w14:paraId="2AB93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70E06E23">
                  <w:pPr>
                    <w:pStyle w:val="42"/>
                  </w:pPr>
                </w:p>
              </w:tc>
              <w:tc>
                <w:tcPr>
                  <w:tcW w:w="2552" w:type="dxa"/>
                  <w:noWrap/>
                  <w:vAlign w:val="center"/>
                </w:tcPr>
                <w:p w14:paraId="6CEE37C3">
                  <w:pPr>
                    <w:pStyle w:val="42"/>
                  </w:pPr>
                  <w:bookmarkStart w:id="10" w:name="RANGE!C62"/>
                  <w:r>
                    <w:rPr>
                      <w:rFonts w:hint="eastAsia"/>
                    </w:rPr>
                    <w:t>扭曲小环藻</w:t>
                  </w:r>
                  <w:bookmarkEnd w:id="10"/>
                </w:p>
              </w:tc>
              <w:tc>
                <w:tcPr>
                  <w:tcW w:w="2663" w:type="dxa"/>
                  <w:vAlign w:val="center"/>
                </w:tcPr>
                <w:p w14:paraId="09DE2835">
                  <w:pPr>
                    <w:pStyle w:val="42"/>
                    <w:rPr>
                      <w:i/>
                      <w:iCs/>
                    </w:rPr>
                  </w:pPr>
                  <w:r>
                    <w:rPr>
                      <w:i/>
                      <w:iCs/>
                    </w:rPr>
                    <w:t>Cyclotella comta</w:t>
                  </w:r>
                </w:p>
              </w:tc>
            </w:tr>
            <w:tr w14:paraId="3047C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1D7A0DA9">
                  <w:pPr>
                    <w:pStyle w:val="42"/>
                  </w:pPr>
                </w:p>
              </w:tc>
              <w:tc>
                <w:tcPr>
                  <w:tcW w:w="2552" w:type="dxa"/>
                  <w:noWrap/>
                  <w:vAlign w:val="center"/>
                </w:tcPr>
                <w:p w14:paraId="6E6AC1AB">
                  <w:pPr>
                    <w:pStyle w:val="42"/>
                  </w:pPr>
                  <w:bookmarkStart w:id="11" w:name="RANGE!C63"/>
                  <w:r>
                    <w:rPr>
                      <w:rFonts w:hint="eastAsia"/>
                    </w:rPr>
                    <w:t>具星小环藻</w:t>
                  </w:r>
                  <w:bookmarkEnd w:id="11"/>
                </w:p>
              </w:tc>
              <w:tc>
                <w:tcPr>
                  <w:tcW w:w="2663" w:type="dxa"/>
                  <w:vAlign w:val="center"/>
                </w:tcPr>
                <w:p w14:paraId="10949C95">
                  <w:pPr>
                    <w:pStyle w:val="42"/>
                    <w:rPr>
                      <w:i/>
                      <w:iCs/>
                    </w:rPr>
                  </w:pPr>
                  <w:r>
                    <w:rPr>
                      <w:i/>
                      <w:iCs/>
                    </w:rPr>
                    <w:t>Cyclotella stelligera</w:t>
                  </w:r>
                </w:p>
              </w:tc>
            </w:tr>
            <w:tr w14:paraId="2A33A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4C237790">
                  <w:pPr>
                    <w:pStyle w:val="42"/>
                  </w:pPr>
                </w:p>
              </w:tc>
              <w:tc>
                <w:tcPr>
                  <w:tcW w:w="2552" w:type="dxa"/>
                  <w:noWrap/>
                  <w:vAlign w:val="center"/>
                </w:tcPr>
                <w:p w14:paraId="07AEB166">
                  <w:pPr>
                    <w:pStyle w:val="42"/>
                  </w:pPr>
                  <w:r>
                    <w:rPr>
                      <w:rFonts w:hint="eastAsia"/>
                    </w:rPr>
                    <w:t>变异直链藻</w:t>
                  </w:r>
                </w:p>
              </w:tc>
              <w:tc>
                <w:tcPr>
                  <w:tcW w:w="2663" w:type="dxa"/>
                  <w:vAlign w:val="center"/>
                </w:tcPr>
                <w:p w14:paraId="53D8409D">
                  <w:pPr>
                    <w:pStyle w:val="42"/>
                    <w:rPr>
                      <w:i/>
                      <w:iCs/>
                    </w:rPr>
                  </w:pPr>
                  <w:r>
                    <w:rPr>
                      <w:i/>
                      <w:iCs/>
                    </w:rPr>
                    <w:t>Melosira varians</w:t>
                  </w:r>
                </w:p>
              </w:tc>
            </w:tr>
            <w:tr w14:paraId="2D7EC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1AAC77AB">
                  <w:pPr>
                    <w:pStyle w:val="42"/>
                  </w:pPr>
                </w:p>
              </w:tc>
              <w:tc>
                <w:tcPr>
                  <w:tcW w:w="2552" w:type="dxa"/>
                  <w:noWrap/>
                  <w:vAlign w:val="center"/>
                </w:tcPr>
                <w:p w14:paraId="6577A320">
                  <w:pPr>
                    <w:pStyle w:val="42"/>
                  </w:pPr>
                  <w:r>
                    <w:rPr>
                      <w:rFonts w:hint="eastAsia"/>
                    </w:rPr>
                    <w:t>双头辐节藻</w:t>
                  </w:r>
                </w:p>
              </w:tc>
              <w:tc>
                <w:tcPr>
                  <w:tcW w:w="2663" w:type="dxa"/>
                  <w:vAlign w:val="center"/>
                </w:tcPr>
                <w:p w14:paraId="39B9F1D2">
                  <w:pPr>
                    <w:pStyle w:val="42"/>
                    <w:rPr>
                      <w:i/>
                      <w:iCs/>
                    </w:rPr>
                  </w:pPr>
                  <w:r>
                    <w:rPr>
                      <w:i/>
                      <w:iCs/>
                    </w:rPr>
                    <w:t>Stauroneis anceps</w:t>
                  </w:r>
                </w:p>
              </w:tc>
            </w:tr>
            <w:tr w14:paraId="7611C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74B36425">
                  <w:pPr>
                    <w:pStyle w:val="42"/>
                  </w:pPr>
                </w:p>
              </w:tc>
              <w:tc>
                <w:tcPr>
                  <w:tcW w:w="2552" w:type="dxa"/>
                  <w:noWrap/>
                  <w:vAlign w:val="center"/>
                </w:tcPr>
                <w:p w14:paraId="2115CBB7">
                  <w:pPr>
                    <w:pStyle w:val="42"/>
                  </w:pPr>
                  <w:r>
                    <w:rPr>
                      <w:rFonts w:hint="eastAsia"/>
                    </w:rPr>
                    <w:t>脆杆藻</w:t>
                  </w:r>
                </w:p>
              </w:tc>
              <w:tc>
                <w:tcPr>
                  <w:tcW w:w="2663" w:type="dxa"/>
                  <w:vAlign w:val="center"/>
                </w:tcPr>
                <w:p w14:paraId="5C34F116">
                  <w:pPr>
                    <w:pStyle w:val="42"/>
                    <w:rPr>
                      <w:i/>
                      <w:iCs/>
                    </w:rPr>
                  </w:pPr>
                  <w:r>
                    <w:rPr>
                      <w:i/>
                      <w:iCs/>
                    </w:rPr>
                    <w:t>Fragilaria sp.</w:t>
                  </w:r>
                </w:p>
              </w:tc>
            </w:tr>
            <w:tr w14:paraId="2C81F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44D95C8">
                  <w:pPr>
                    <w:pStyle w:val="42"/>
                  </w:pPr>
                </w:p>
              </w:tc>
              <w:tc>
                <w:tcPr>
                  <w:tcW w:w="2552" w:type="dxa"/>
                  <w:noWrap/>
                  <w:vAlign w:val="center"/>
                </w:tcPr>
                <w:p w14:paraId="4F77CF87">
                  <w:pPr>
                    <w:pStyle w:val="42"/>
                  </w:pPr>
                  <w:r>
                    <w:rPr>
                      <w:rFonts w:hint="eastAsia"/>
                    </w:rPr>
                    <w:t>钝脆杆藻</w:t>
                  </w:r>
                </w:p>
              </w:tc>
              <w:tc>
                <w:tcPr>
                  <w:tcW w:w="2663" w:type="dxa"/>
                  <w:vAlign w:val="center"/>
                </w:tcPr>
                <w:p w14:paraId="42615EE3">
                  <w:pPr>
                    <w:pStyle w:val="42"/>
                    <w:rPr>
                      <w:i/>
                      <w:iCs/>
                    </w:rPr>
                  </w:pPr>
                  <w:r>
                    <w:rPr>
                      <w:i/>
                      <w:iCs/>
                    </w:rPr>
                    <w:t>Fragilaria capucina</w:t>
                  </w:r>
                </w:p>
              </w:tc>
            </w:tr>
            <w:tr w14:paraId="5273B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1056D3C2">
                  <w:pPr>
                    <w:pStyle w:val="42"/>
                  </w:pPr>
                </w:p>
              </w:tc>
              <w:tc>
                <w:tcPr>
                  <w:tcW w:w="2552" w:type="dxa"/>
                  <w:vAlign w:val="center"/>
                </w:tcPr>
                <w:p w14:paraId="6E066143">
                  <w:pPr>
                    <w:pStyle w:val="42"/>
                  </w:pPr>
                  <w:r>
                    <w:rPr>
                      <w:rFonts w:hint="eastAsia"/>
                    </w:rPr>
                    <w:t>短线脆杆藻</w:t>
                  </w:r>
                </w:p>
              </w:tc>
              <w:tc>
                <w:tcPr>
                  <w:tcW w:w="2663" w:type="dxa"/>
                  <w:vAlign w:val="center"/>
                </w:tcPr>
                <w:p w14:paraId="05CE327E">
                  <w:pPr>
                    <w:pStyle w:val="42"/>
                    <w:rPr>
                      <w:i/>
                      <w:iCs/>
                    </w:rPr>
                  </w:pPr>
                  <w:r>
                    <w:rPr>
                      <w:i/>
                      <w:iCs/>
                    </w:rPr>
                    <w:t>Fragilaria brevistriata</w:t>
                  </w:r>
                </w:p>
              </w:tc>
            </w:tr>
            <w:tr w14:paraId="3A5A8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C0CDC7A">
                  <w:pPr>
                    <w:pStyle w:val="42"/>
                  </w:pPr>
                </w:p>
              </w:tc>
              <w:tc>
                <w:tcPr>
                  <w:tcW w:w="2552" w:type="dxa"/>
                  <w:noWrap/>
                  <w:vAlign w:val="center"/>
                </w:tcPr>
                <w:p w14:paraId="5473041E">
                  <w:pPr>
                    <w:pStyle w:val="42"/>
                  </w:pPr>
                  <w:r>
                    <w:rPr>
                      <w:rFonts w:hint="eastAsia"/>
                    </w:rPr>
                    <w:t>环状扇形藻</w:t>
                  </w:r>
                </w:p>
              </w:tc>
              <w:tc>
                <w:tcPr>
                  <w:tcW w:w="2663" w:type="dxa"/>
                  <w:vAlign w:val="center"/>
                </w:tcPr>
                <w:p w14:paraId="5B71DDE5">
                  <w:pPr>
                    <w:pStyle w:val="42"/>
                    <w:rPr>
                      <w:i/>
                      <w:iCs/>
                    </w:rPr>
                  </w:pPr>
                  <w:r>
                    <w:rPr>
                      <w:i/>
                      <w:iCs/>
                    </w:rPr>
                    <w:t>Meridion circulare</w:t>
                  </w:r>
                </w:p>
              </w:tc>
            </w:tr>
            <w:tr w14:paraId="01012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D558F3B">
                  <w:pPr>
                    <w:pStyle w:val="42"/>
                  </w:pPr>
                </w:p>
              </w:tc>
              <w:tc>
                <w:tcPr>
                  <w:tcW w:w="2552" w:type="dxa"/>
                  <w:noWrap/>
                  <w:vAlign w:val="center"/>
                </w:tcPr>
                <w:p w14:paraId="1664A1BA">
                  <w:pPr>
                    <w:pStyle w:val="42"/>
                  </w:pPr>
                  <w:r>
                    <w:rPr>
                      <w:rFonts w:hint="eastAsia"/>
                    </w:rPr>
                    <w:t>弧形蛾眉藻</w:t>
                  </w:r>
                </w:p>
              </w:tc>
              <w:tc>
                <w:tcPr>
                  <w:tcW w:w="2663" w:type="dxa"/>
                  <w:vAlign w:val="center"/>
                </w:tcPr>
                <w:p w14:paraId="2D9D2780">
                  <w:pPr>
                    <w:pStyle w:val="42"/>
                    <w:rPr>
                      <w:i/>
                      <w:iCs/>
                    </w:rPr>
                  </w:pPr>
                  <w:r>
                    <w:rPr>
                      <w:i/>
                      <w:iCs/>
                    </w:rPr>
                    <w:t>Ceratoneis arcus</w:t>
                  </w:r>
                </w:p>
              </w:tc>
            </w:tr>
            <w:tr w14:paraId="6A75A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40A7A13">
                  <w:pPr>
                    <w:pStyle w:val="42"/>
                  </w:pPr>
                </w:p>
              </w:tc>
              <w:tc>
                <w:tcPr>
                  <w:tcW w:w="2552" w:type="dxa"/>
                  <w:noWrap/>
                  <w:vAlign w:val="center"/>
                </w:tcPr>
                <w:p w14:paraId="40F9FB4D">
                  <w:pPr>
                    <w:pStyle w:val="42"/>
                  </w:pPr>
                  <w:r>
                    <w:rPr>
                      <w:rFonts w:hint="eastAsia"/>
                    </w:rPr>
                    <w:t>羽纹藻</w:t>
                  </w:r>
                </w:p>
              </w:tc>
              <w:tc>
                <w:tcPr>
                  <w:tcW w:w="2663" w:type="dxa"/>
                  <w:vAlign w:val="center"/>
                </w:tcPr>
                <w:p w14:paraId="512A9A7E">
                  <w:pPr>
                    <w:pStyle w:val="42"/>
                    <w:rPr>
                      <w:i/>
                      <w:iCs/>
                    </w:rPr>
                  </w:pPr>
                  <w:r>
                    <w:rPr>
                      <w:i/>
                      <w:iCs/>
                    </w:rPr>
                    <w:t>Pinnularia sp.</w:t>
                  </w:r>
                </w:p>
              </w:tc>
            </w:tr>
            <w:tr w14:paraId="5897F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3F05580B">
                  <w:pPr>
                    <w:pStyle w:val="42"/>
                  </w:pPr>
                </w:p>
              </w:tc>
              <w:tc>
                <w:tcPr>
                  <w:tcW w:w="2552" w:type="dxa"/>
                  <w:noWrap/>
                  <w:vAlign w:val="center"/>
                </w:tcPr>
                <w:p w14:paraId="4B0F8180">
                  <w:pPr>
                    <w:pStyle w:val="42"/>
                  </w:pPr>
                  <w:r>
                    <w:rPr>
                      <w:rFonts w:hint="eastAsia"/>
                    </w:rPr>
                    <w:t>椭圆波纹藻</w:t>
                  </w:r>
                </w:p>
              </w:tc>
              <w:tc>
                <w:tcPr>
                  <w:tcW w:w="2663" w:type="dxa"/>
                  <w:vAlign w:val="center"/>
                </w:tcPr>
                <w:p w14:paraId="2CE7EDBC">
                  <w:pPr>
                    <w:pStyle w:val="42"/>
                    <w:rPr>
                      <w:i/>
                      <w:iCs/>
                    </w:rPr>
                  </w:pPr>
                  <w:r>
                    <w:rPr>
                      <w:i/>
                      <w:iCs/>
                    </w:rPr>
                    <w:t>Cymatopleura elliptica</w:t>
                  </w:r>
                </w:p>
              </w:tc>
            </w:tr>
            <w:tr w14:paraId="61567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59F02CEF">
                  <w:pPr>
                    <w:pStyle w:val="42"/>
                  </w:pPr>
                </w:p>
              </w:tc>
              <w:tc>
                <w:tcPr>
                  <w:tcW w:w="2552" w:type="dxa"/>
                  <w:noWrap/>
                  <w:vAlign w:val="center"/>
                </w:tcPr>
                <w:p w14:paraId="6DF8C502">
                  <w:pPr>
                    <w:pStyle w:val="42"/>
                  </w:pPr>
                  <w:r>
                    <w:rPr>
                      <w:rFonts w:hint="eastAsia"/>
                    </w:rPr>
                    <w:t>菱形藻</w:t>
                  </w:r>
                </w:p>
              </w:tc>
              <w:tc>
                <w:tcPr>
                  <w:tcW w:w="2663" w:type="dxa"/>
                  <w:vAlign w:val="center"/>
                </w:tcPr>
                <w:p w14:paraId="7BAAC50D">
                  <w:pPr>
                    <w:pStyle w:val="42"/>
                    <w:rPr>
                      <w:i/>
                      <w:iCs/>
                    </w:rPr>
                  </w:pPr>
                  <w:r>
                    <w:rPr>
                      <w:i/>
                      <w:iCs/>
                    </w:rPr>
                    <w:t>Nitzschia sp.</w:t>
                  </w:r>
                </w:p>
              </w:tc>
            </w:tr>
            <w:tr w14:paraId="40989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4C190EFC">
                  <w:pPr>
                    <w:pStyle w:val="42"/>
                  </w:pPr>
                </w:p>
              </w:tc>
              <w:tc>
                <w:tcPr>
                  <w:tcW w:w="2552" w:type="dxa"/>
                  <w:noWrap/>
                  <w:vAlign w:val="center"/>
                </w:tcPr>
                <w:p w14:paraId="7860C7B0">
                  <w:pPr>
                    <w:pStyle w:val="42"/>
                  </w:pPr>
                  <w:r>
                    <w:rPr>
                      <w:rFonts w:hint="eastAsia"/>
                    </w:rPr>
                    <w:t>绒毛平板藻</w:t>
                  </w:r>
                </w:p>
              </w:tc>
              <w:tc>
                <w:tcPr>
                  <w:tcW w:w="2663" w:type="dxa"/>
                  <w:vAlign w:val="center"/>
                </w:tcPr>
                <w:p w14:paraId="33D9AB97">
                  <w:pPr>
                    <w:pStyle w:val="42"/>
                    <w:rPr>
                      <w:i/>
                      <w:iCs/>
                    </w:rPr>
                  </w:pPr>
                  <w:r>
                    <w:rPr>
                      <w:i/>
                      <w:iCs/>
                    </w:rPr>
                    <w:t>Tabellaria flocculosa</w:t>
                  </w:r>
                </w:p>
              </w:tc>
            </w:tr>
            <w:tr w14:paraId="670C3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Align w:val="center"/>
                </w:tcPr>
                <w:p w14:paraId="389ADB5B">
                  <w:pPr>
                    <w:pStyle w:val="42"/>
                  </w:pPr>
                  <w:bookmarkStart w:id="12" w:name="RANGE!C80"/>
                  <w:r>
                    <w:rPr>
                      <w:rFonts w:hint="eastAsia"/>
                    </w:rPr>
                    <w:t>甲藻门</w:t>
                  </w:r>
                  <w:r>
                    <w:t xml:space="preserve"> Pyrrophyta</w:t>
                  </w:r>
                  <w:bookmarkEnd w:id="12"/>
                </w:p>
              </w:tc>
              <w:tc>
                <w:tcPr>
                  <w:tcW w:w="2552" w:type="dxa"/>
                  <w:noWrap/>
                  <w:vAlign w:val="center"/>
                </w:tcPr>
                <w:p w14:paraId="27DDFE6A">
                  <w:pPr>
                    <w:pStyle w:val="42"/>
                  </w:pPr>
                  <w:r>
                    <w:rPr>
                      <w:rFonts w:hint="eastAsia"/>
                    </w:rPr>
                    <w:t>光甲藻</w:t>
                  </w:r>
                </w:p>
              </w:tc>
              <w:tc>
                <w:tcPr>
                  <w:tcW w:w="2663" w:type="dxa"/>
                  <w:vAlign w:val="center"/>
                </w:tcPr>
                <w:p w14:paraId="0A75DF82">
                  <w:pPr>
                    <w:pStyle w:val="42"/>
                    <w:rPr>
                      <w:i/>
                      <w:iCs/>
                    </w:rPr>
                  </w:pPr>
                  <w:r>
                    <w:rPr>
                      <w:i/>
                      <w:iCs/>
                    </w:rPr>
                    <w:t>Glenodinium sp.</w:t>
                  </w:r>
                </w:p>
              </w:tc>
            </w:tr>
            <w:tr w14:paraId="6613F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restart"/>
                  <w:vAlign w:val="center"/>
                </w:tcPr>
                <w:p w14:paraId="5BB8C298">
                  <w:pPr>
                    <w:pStyle w:val="42"/>
                  </w:pPr>
                  <w:bookmarkStart w:id="13" w:name="RANGE!C84"/>
                  <w:r>
                    <w:rPr>
                      <w:rFonts w:hint="eastAsia"/>
                    </w:rPr>
                    <w:t>隐藻门</w:t>
                  </w:r>
                  <w:r>
                    <w:t xml:space="preserve"> Cryptophyta</w:t>
                  </w:r>
                  <w:bookmarkEnd w:id="13"/>
                </w:p>
              </w:tc>
              <w:tc>
                <w:tcPr>
                  <w:tcW w:w="2552" w:type="dxa"/>
                  <w:noWrap/>
                  <w:vAlign w:val="center"/>
                </w:tcPr>
                <w:p w14:paraId="5A0E210D">
                  <w:pPr>
                    <w:pStyle w:val="42"/>
                  </w:pPr>
                  <w:r>
                    <w:rPr>
                      <w:rFonts w:hint="eastAsia"/>
                    </w:rPr>
                    <w:t>隐藻</w:t>
                  </w:r>
                </w:p>
              </w:tc>
              <w:tc>
                <w:tcPr>
                  <w:tcW w:w="2663" w:type="dxa"/>
                  <w:vAlign w:val="center"/>
                </w:tcPr>
                <w:p w14:paraId="6B16D5C6">
                  <w:pPr>
                    <w:pStyle w:val="42"/>
                    <w:rPr>
                      <w:i/>
                      <w:iCs/>
                    </w:rPr>
                  </w:pPr>
                  <w:r>
                    <w:rPr>
                      <w:i/>
                      <w:iCs/>
                    </w:rPr>
                    <w:t>Cryptomonas sp.</w:t>
                  </w:r>
                </w:p>
              </w:tc>
            </w:tr>
            <w:tr w14:paraId="69C33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Merge w:val="continue"/>
                  <w:vAlign w:val="center"/>
                </w:tcPr>
                <w:p w14:paraId="26CD8B31">
                  <w:pPr>
                    <w:pStyle w:val="42"/>
                  </w:pPr>
                </w:p>
              </w:tc>
              <w:tc>
                <w:tcPr>
                  <w:tcW w:w="2552" w:type="dxa"/>
                  <w:noWrap/>
                  <w:vAlign w:val="center"/>
                </w:tcPr>
                <w:p w14:paraId="36619C56">
                  <w:pPr>
                    <w:pStyle w:val="42"/>
                  </w:pPr>
                  <w:r>
                    <w:rPr>
                      <w:rFonts w:hint="eastAsia"/>
                    </w:rPr>
                    <w:t>尖尾蓝隐藻</w:t>
                  </w:r>
                </w:p>
              </w:tc>
              <w:tc>
                <w:tcPr>
                  <w:tcW w:w="2663" w:type="dxa"/>
                  <w:vAlign w:val="center"/>
                </w:tcPr>
                <w:p w14:paraId="59B7584C">
                  <w:pPr>
                    <w:pStyle w:val="42"/>
                    <w:rPr>
                      <w:i/>
                      <w:iCs/>
                    </w:rPr>
                  </w:pPr>
                  <w:r>
                    <w:rPr>
                      <w:i/>
                      <w:iCs/>
                    </w:rPr>
                    <w:t>Chroomonas acuta</w:t>
                  </w:r>
                </w:p>
              </w:tc>
            </w:tr>
            <w:tr w14:paraId="051F2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Align w:val="center"/>
                </w:tcPr>
                <w:p w14:paraId="0178E7DC">
                  <w:pPr>
                    <w:pStyle w:val="42"/>
                  </w:pPr>
                  <w:bookmarkStart w:id="14" w:name="RANGE!C88"/>
                  <w:r>
                    <w:rPr>
                      <w:rFonts w:hint="eastAsia"/>
                    </w:rPr>
                    <w:t>金藻门</w:t>
                  </w:r>
                  <w:r>
                    <w:t xml:space="preserve"> Chrysophyta</w:t>
                  </w:r>
                  <w:bookmarkEnd w:id="14"/>
                </w:p>
              </w:tc>
              <w:tc>
                <w:tcPr>
                  <w:tcW w:w="2552" w:type="dxa"/>
                  <w:noWrap/>
                  <w:vAlign w:val="center"/>
                </w:tcPr>
                <w:p w14:paraId="16638398">
                  <w:pPr>
                    <w:pStyle w:val="42"/>
                  </w:pPr>
                  <w:r>
                    <w:rPr>
                      <w:rFonts w:hint="eastAsia"/>
                    </w:rPr>
                    <w:t>锥囊藻</w:t>
                  </w:r>
                </w:p>
              </w:tc>
              <w:tc>
                <w:tcPr>
                  <w:tcW w:w="2663" w:type="dxa"/>
                  <w:vAlign w:val="center"/>
                </w:tcPr>
                <w:p w14:paraId="02BC1931">
                  <w:pPr>
                    <w:pStyle w:val="42"/>
                    <w:rPr>
                      <w:i/>
                      <w:iCs/>
                    </w:rPr>
                  </w:pPr>
                  <w:r>
                    <w:rPr>
                      <w:i/>
                      <w:iCs/>
                    </w:rPr>
                    <w:t>Dinobryon sp.</w:t>
                  </w:r>
                </w:p>
              </w:tc>
            </w:tr>
            <w:tr w14:paraId="2D7ED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03" w:type="dxa"/>
                  <w:vAlign w:val="center"/>
                </w:tcPr>
                <w:p w14:paraId="179774DA">
                  <w:pPr>
                    <w:pStyle w:val="42"/>
                  </w:pPr>
                  <w:bookmarkStart w:id="15" w:name="RANGE!C91"/>
                  <w:r>
                    <w:rPr>
                      <w:rFonts w:hint="eastAsia"/>
                    </w:rPr>
                    <w:t>黄藻门</w:t>
                  </w:r>
                  <w:r>
                    <w:t xml:space="preserve"> Xanthophyta</w:t>
                  </w:r>
                  <w:bookmarkEnd w:id="15"/>
                </w:p>
              </w:tc>
              <w:tc>
                <w:tcPr>
                  <w:tcW w:w="2552" w:type="dxa"/>
                  <w:noWrap/>
                  <w:vAlign w:val="center"/>
                </w:tcPr>
                <w:p w14:paraId="286A8D91">
                  <w:pPr>
                    <w:pStyle w:val="42"/>
                  </w:pPr>
                  <w:r>
                    <w:rPr>
                      <w:rFonts w:hint="eastAsia"/>
                    </w:rPr>
                    <w:t>黄丝藻</w:t>
                  </w:r>
                </w:p>
              </w:tc>
              <w:tc>
                <w:tcPr>
                  <w:tcW w:w="2663" w:type="dxa"/>
                  <w:vAlign w:val="center"/>
                </w:tcPr>
                <w:p w14:paraId="1AC5B35E">
                  <w:pPr>
                    <w:pStyle w:val="42"/>
                    <w:rPr>
                      <w:i/>
                      <w:iCs/>
                    </w:rPr>
                  </w:pPr>
                  <w:r>
                    <w:rPr>
                      <w:i/>
                      <w:iCs/>
                    </w:rPr>
                    <w:t>Tribonemn sp.</w:t>
                  </w:r>
                </w:p>
              </w:tc>
            </w:tr>
          </w:tbl>
          <w:p w14:paraId="1CE7061C">
            <w:pPr>
              <w:spacing w:line="360" w:lineRule="auto"/>
              <w:ind w:firstLine="480" w:firstLineChars="200"/>
            </w:pPr>
          </w:p>
          <w:p w14:paraId="3DC21832">
            <w:pPr>
              <w:spacing w:line="360" w:lineRule="auto"/>
              <w:ind w:firstLine="480" w:firstLineChars="200"/>
            </w:pPr>
            <w:r>
              <w:rPr>
                <w:rFonts w:hint="eastAsia"/>
              </w:rPr>
              <w:t>②优势种及常见种</w:t>
            </w:r>
          </w:p>
          <w:p w14:paraId="2133E802">
            <w:pPr>
              <w:spacing w:line="360" w:lineRule="auto"/>
              <w:ind w:firstLine="480" w:firstLineChars="200"/>
            </w:pPr>
            <w:r>
              <w:rPr>
                <w:rFonts w:hint="eastAsia"/>
              </w:rPr>
              <w:t>调查范围内江段浮游植物的优势种以硅藻门的种类为主，分别有美丽星杆藻Asterionella roduct、尖针杆藻Synedra acus、肘状针杆藻窄变种Synedra ulna var. contracta、扭曲小环藻Cyclotella comta、微细桥弯藻Cymbella parva、喙头舟形藻Navicularhynchocephala、短线脆杆藻Fragilaria brevistriata。另外，绿藻门的普通小球藻Chlorella vulgaris、四尾栅藻Scenedesmus quadricauda也在调查期间占优势。</w:t>
            </w:r>
          </w:p>
          <w:p w14:paraId="58A8C6A1">
            <w:pPr>
              <w:spacing w:line="360" w:lineRule="auto"/>
              <w:ind w:firstLine="480" w:firstLineChars="200"/>
            </w:pPr>
            <w:r>
              <w:rPr>
                <w:rFonts w:hint="eastAsia"/>
              </w:rPr>
              <w:t>（3）浮游动物</w:t>
            </w:r>
          </w:p>
          <w:p w14:paraId="6966415F">
            <w:pPr>
              <w:spacing w:line="360" w:lineRule="auto"/>
              <w:ind w:firstLine="480" w:firstLineChars="200"/>
            </w:pPr>
            <w:r>
              <w:rPr>
                <w:rFonts w:hint="eastAsia"/>
              </w:rPr>
              <w:t>①种类组成</w:t>
            </w:r>
          </w:p>
          <w:p w14:paraId="3810CEA5">
            <w:pPr>
              <w:spacing w:line="360" w:lineRule="auto"/>
              <w:ind w:firstLine="480" w:firstLineChars="200"/>
            </w:pPr>
            <w:r>
              <w:rPr>
                <w:rFonts w:hint="eastAsia"/>
              </w:rPr>
              <w:t>调查范围内江段浮游动物经鉴定共4类30种属，其中轮虫类最多为17种属，占总数的56.7%，原生动物9种属，桡足类3种属，枝角类1种属，详见下表：</w:t>
            </w:r>
          </w:p>
          <w:p w14:paraId="2D1FD8AB">
            <w:pPr>
              <w:spacing w:line="360" w:lineRule="auto"/>
              <w:ind w:firstLine="480" w:firstLineChars="200"/>
            </w:pPr>
          </w:p>
          <w:p w14:paraId="42E123AC">
            <w:pPr>
              <w:spacing w:line="360" w:lineRule="auto"/>
              <w:jc w:val="center"/>
              <w:rPr>
                <w:b/>
                <w:bCs/>
              </w:rPr>
            </w:pPr>
            <w:r>
              <w:rPr>
                <w:rFonts w:hint="eastAsia"/>
                <w:b/>
                <w:bCs/>
              </w:rPr>
              <w:t>表30      评价区江段浮游动物一览表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2552"/>
              <w:gridCol w:w="2663"/>
            </w:tblGrid>
            <w:tr w14:paraId="58180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03" w:type="dxa"/>
                  <w:vMerge w:val="restart"/>
                  <w:vAlign w:val="center"/>
                </w:tcPr>
                <w:p w14:paraId="4C94F1CD">
                  <w:pPr>
                    <w:pStyle w:val="42"/>
                    <w:rPr>
                      <w:b/>
                      <w:bCs/>
                    </w:rPr>
                  </w:pPr>
                  <w:r>
                    <w:rPr>
                      <w:b/>
                      <w:bCs/>
                    </w:rPr>
                    <w:t>类</w:t>
                  </w:r>
                </w:p>
              </w:tc>
              <w:tc>
                <w:tcPr>
                  <w:tcW w:w="5215" w:type="dxa"/>
                  <w:gridSpan w:val="2"/>
                  <w:noWrap/>
                  <w:vAlign w:val="center"/>
                </w:tcPr>
                <w:p w14:paraId="090D2383">
                  <w:pPr>
                    <w:pStyle w:val="42"/>
                    <w:rPr>
                      <w:b/>
                      <w:bCs/>
                    </w:rPr>
                  </w:pPr>
                  <w:r>
                    <w:rPr>
                      <w:b/>
                      <w:bCs/>
                    </w:rPr>
                    <w:t>种类</w:t>
                  </w:r>
                </w:p>
              </w:tc>
            </w:tr>
            <w:tr w14:paraId="503F5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03" w:type="dxa"/>
                  <w:vMerge w:val="continue"/>
                  <w:vAlign w:val="center"/>
                </w:tcPr>
                <w:p w14:paraId="2D575C91">
                  <w:pPr>
                    <w:pStyle w:val="42"/>
                    <w:rPr>
                      <w:b/>
                      <w:bCs/>
                    </w:rPr>
                  </w:pPr>
                </w:p>
              </w:tc>
              <w:tc>
                <w:tcPr>
                  <w:tcW w:w="2552" w:type="dxa"/>
                  <w:noWrap/>
                  <w:vAlign w:val="center"/>
                </w:tcPr>
                <w:p w14:paraId="0B86E385">
                  <w:pPr>
                    <w:pStyle w:val="42"/>
                    <w:rPr>
                      <w:b/>
                      <w:bCs/>
                    </w:rPr>
                  </w:pPr>
                  <w:r>
                    <w:rPr>
                      <w:b/>
                      <w:bCs/>
                    </w:rPr>
                    <w:t>中文名</w:t>
                  </w:r>
                </w:p>
              </w:tc>
              <w:tc>
                <w:tcPr>
                  <w:tcW w:w="2663" w:type="dxa"/>
                  <w:vAlign w:val="center"/>
                </w:tcPr>
                <w:p w14:paraId="50D32BAC">
                  <w:pPr>
                    <w:pStyle w:val="42"/>
                    <w:rPr>
                      <w:b/>
                      <w:bCs/>
                    </w:rPr>
                  </w:pPr>
                  <w:r>
                    <w:rPr>
                      <w:b/>
                      <w:bCs/>
                    </w:rPr>
                    <w:t>拉丁名</w:t>
                  </w:r>
                </w:p>
              </w:tc>
            </w:tr>
            <w:tr w14:paraId="62798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restart"/>
                  <w:vAlign w:val="center"/>
                </w:tcPr>
                <w:p w14:paraId="081B42AA">
                  <w:pPr>
                    <w:pStyle w:val="42"/>
                  </w:pPr>
                  <w:r>
                    <w:t>原生动物Protozoa</w:t>
                  </w:r>
                </w:p>
              </w:tc>
              <w:tc>
                <w:tcPr>
                  <w:tcW w:w="2552" w:type="dxa"/>
                  <w:noWrap/>
                  <w:vAlign w:val="center"/>
                </w:tcPr>
                <w:p w14:paraId="18D93A6B">
                  <w:pPr>
                    <w:pStyle w:val="42"/>
                  </w:pPr>
                  <w:r>
                    <w:t>砂壳虫</w:t>
                  </w:r>
                </w:p>
              </w:tc>
              <w:tc>
                <w:tcPr>
                  <w:tcW w:w="2663" w:type="dxa"/>
                  <w:vAlign w:val="center"/>
                </w:tcPr>
                <w:p w14:paraId="60A2D95C">
                  <w:pPr>
                    <w:pStyle w:val="42"/>
                    <w:rPr>
                      <w:i/>
                      <w:iCs/>
                    </w:rPr>
                  </w:pPr>
                  <w:r>
                    <w:rPr>
                      <w:i/>
                      <w:iCs/>
                    </w:rPr>
                    <w:t>Difflμgia sp.</w:t>
                  </w:r>
                </w:p>
              </w:tc>
            </w:tr>
            <w:tr w14:paraId="4FD7A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6BD613AE">
                  <w:pPr>
                    <w:pStyle w:val="42"/>
                  </w:pPr>
                </w:p>
              </w:tc>
              <w:tc>
                <w:tcPr>
                  <w:tcW w:w="2552" w:type="dxa"/>
                  <w:noWrap/>
                  <w:vAlign w:val="center"/>
                </w:tcPr>
                <w:p w14:paraId="0EBDD926">
                  <w:pPr>
                    <w:pStyle w:val="42"/>
                  </w:pPr>
                  <w:r>
                    <w:t>球形砂壳虫</w:t>
                  </w:r>
                </w:p>
              </w:tc>
              <w:tc>
                <w:tcPr>
                  <w:tcW w:w="2663" w:type="dxa"/>
                  <w:vAlign w:val="center"/>
                </w:tcPr>
                <w:p w14:paraId="24403FAD">
                  <w:pPr>
                    <w:pStyle w:val="42"/>
                    <w:rPr>
                      <w:i/>
                      <w:iCs/>
                    </w:rPr>
                  </w:pPr>
                  <w:r>
                    <w:rPr>
                      <w:i/>
                      <w:iCs/>
                    </w:rPr>
                    <w:t>D. globμlosa</w:t>
                  </w:r>
                </w:p>
              </w:tc>
            </w:tr>
            <w:tr w14:paraId="59519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1ECF3F89">
                  <w:pPr>
                    <w:pStyle w:val="42"/>
                  </w:pPr>
                </w:p>
              </w:tc>
              <w:tc>
                <w:tcPr>
                  <w:tcW w:w="2552" w:type="dxa"/>
                  <w:noWrap/>
                  <w:vAlign w:val="center"/>
                </w:tcPr>
                <w:p w14:paraId="0FC52D9C">
                  <w:pPr>
                    <w:pStyle w:val="42"/>
                  </w:pPr>
                  <w:r>
                    <w:t>冠砂壳虫</w:t>
                  </w:r>
                </w:p>
              </w:tc>
              <w:tc>
                <w:tcPr>
                  <w:tcW w:w="2663" w:type="dxa"/>
                  <w:vAlign w:val="center"/>
                </w:tcPr>
                <w:p w14:paraId="1A736E0D">
                  <w:pPr>
                    <w:pStyle w:val="42"/>
                    <w:rPr>
                      <w:i/>
                      <w:iCs/>
                    </w:rPr>
                  </w:pPr>
                  <w:r>
                    <w:rPr>
                      <w:i/>
                      <w:iCs/>
                    </w:rPr>
                    <w:t>D.corona</w:t>
                  </w:r>
                </w:p>
              </w:tc>
            </w:tr>
            <w:tr w14:paraId="58FF0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2AB14466">
                  <w:pPr>
                    <w:pStyle w:val="42"/>
                  </w:pPr>
                </w:p>
              </w:tc>
              <w:tc>
                <w:tcPr>
                  <w:tcW w:w="2552" w:type="dxa"/>
                  <w:noWrap/>
                  <w:vAlign w:val="center"/>
                </w:tcPr>
                <w:p w14:paraId="6D99CFC6">
                  <w:pPr>
                    <w:pStyle w:val="42"/>
                  </w:pPr>
                  <w:r>
                    <w:t>长圆砂壳虫</w:t>
                  </w:r>
                </w:p>
              </w:tc>
              <w:tc>
                <w:tcPr>
                  <w:tcW w:w="2663" w:type="dxa"/>
                  <w:vAlign w:val="center"/>
                </w:tcPr>
                <w:p w14:paraId="40C4CD26">
                  <w:pPr>
                    <w:pStyle w:val="42"/>
                    <w:rPr>
                      <w:i/>
                      <w:iCs/>
                    </w:rPr>
                  </w:pPr>
                  <w:r>
                    <w:rPr>
                      <w:i/>
                      <w:iCs/>
                    </w:rPr>
                    <w:t>D.oblonga</w:t>
                  </w:r>
                </w:p>
              </w:tc>
            </w:tr>
            <w:tr w14:paraId="59599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4B8172AE">
                  <w:pPr>
                    <w:pStyle w:val="42"/>
                  </w:pPr>
                </w:p>
              </w:tc>
              <w:tc>
                <w:tcPr>
                  <w:tcW w:w="2552" w:type="dxa"/>
                  <w:noWrap/>
                  <w:vAlign w:val="center"/>
                </w:tcPr>
                <w:p w14:paraId="4019607E">
                  <w:pPr>
                    <w:pStyle w:val="42"/>
                  </w:pPr>
                  <w:r>
                    <w:t>普通表壳虫</w:t>
                  </w:r>
                </w:p>
              </w:tc>
              <w:tc>
                <w:tcPr>
                  <w:tcW w:w="2663" w:type="dxa"/>
                  <w:vAlign w:val="center"/>
                </w:tcPr>
                <w:p w14:paraId="28978F1A">
                  <w:pPr>
                    <w:pStyle w:val="42"/>
                    <w:rPr>
                      <w:i/>
                      <w:iCs/>
                    </w:rPr>
                  </w:pPr>
                  <w:r>
                    <w:rPr>
                      <w:i/>
                      <w:iCs/>
                    </w:rPr>
                    <w:t>Arcella vμlgaris</w:t>
                  </w:r>
                </w:p>
              </w:tc>
            </w:tr>
            <w:tr w14:paraId="2EFEA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5DF49067">
                  <w:pPr>
                    <w:pStyle w:val="42"/>
                  </w:pPr>
                </w:p>
              </w:tc>
              <w:tc>
                <w:tcPr>
                  <w:tcW w:w="2552" w:type="dxa"/>
                  <w:noWrap/>
                  <w:vAlign w:val="center"/>
                </w:tcPr>
                <w:p w14:paraId="0A549BCF">
                  <w:pPr>
                    <w:pStyle w:val="42"/>
                  </w:pPr>
                  <w:r>
                    <w:t>侠盗虫</w:t>
                  </w:r>
                </w:p>
              </w:tc>
              <w:tc>
                <w:tcPr>
                  <w:tcW w:w="2663" w:type="dxa"/>
                  <w:vAlign w:val="center"/>
                </w:tcPr>
                <w:p w14:paraId="6AEA0640">
                  <w:pPr>
                    <w:pStyle w:val="42"/>
                    <w:rPr>
                      <w:i/>
                      <w:iCs/>
                      <w:lang w:val="sv-SE"/>
                    </w:rPr>
                  </w:pPr>
                  <w:r>
                    <w:rPr>
                      <w:i/>
                      <w:iCs/>
                    </w:rPr>
                    <w:t>StrobiLidiμm sp.</w:t>
                  </w:r>
                </w:p>
              </w:tc>
            </w:tr>
            <w:tr w14:paraId="7DF93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7B1870DB">
                  <w:pPr>
                    <w:pStyle w:val="42"/>
                  </w:pPr>
                </w:p>
              </w:tc>
              <w:tc>
                <w:tcPr>
                  <w:tcW w:w="2552" w:type="dxa"/>
                  <w:noWrap/>
                  <w:vAlign w:val="center"/>
                </w:tcPr>
                <w:p w14:paraId="73AE75FF">
                  <w:pPr>
                    <w:pStyle w:val="42"/>
                  </w:pPr>
                  <w:r>
                    <w:t>筒壳虫</w:t>
                  </w:r>
                </w:p>
              </w:tc>
              <w:tc>
                <w:tcPr>
                  <w:tcW w:w="2663" w:type="dxa"/>
                  <w:vAlign w:val="center"/>
                </w:tcPr>
                <w:p w14:paraId="06F19BF8">
                  <w:pPr>
                    <w:pStyle w:val="42"/>
                    <w:rPr>
                      <w:i/>
                      <w:iCs/>
                    </w:rPr>
                  </w:pPr>
                  <w:r>
                    <w:rPr>
                      <w:i/>
                      <w:iCs/>
                    </w:rPr>
                    <w:t>Tintinnidiμm sp.</w:t>
                  </w:r>
                </w:p>
              </w:tc>
            </w:tr>
            <w:tr w14:paraId="07DB7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5C71A03A">
                  <w:pPr>
                    <w:pStyle w:val="42"/>
                  </w:pPr>
                </w:p>
              </w:tc>
              <w:tc>
                <w:tcPr>
                  <w:tcW w:w="2552" w:type="dxa"/>
                  <w:noWrap/>
                  <w:vAlign w:val="center"/>
                </w:tcPr>
                <w:p w14:paraId="0E1CA96A">
                  <w:pPr>
                    <w:pStyle w:val="42"/>
                  </w:pPr>
                  <w:r>
                    <w:t>似铃壳虫</w:t>
                  </w:r>
                </w:p>
              </w:tc>
              <w:tc>
                <w:tcPr>
                  <w:tcW w:w="2663" w:type="dxa"/>
                  <w:vAlign w:val="center"/>
                </w:tcPr>
                <w:p w14:paraId="7C9C00E6">
                  <w:pPr>
                    <w:pStyle w:val="42"/>
                    <w:rPr>
                      <w:i/>
                      <w:iCs/>
                    </w:rPr>
                  </w:pPr>
                  <w:r>
                    <w:rPr>
                      <w:i/>
                      <w:iCs/>
                    </w:rPr>
                    <w:t>Tintinopsis sp.</w:t>
                  </w:r>
                </w:p>
              </w:tc>
            </w:tr>
            <w:tr w14:paraId="34375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0A57562D">
                  <w:pPr>
                    <w:pStyle w:val="42"/>
                  </w:pPr>
                </w:p>
              </w:tc>
              <w:tc>
                <w:tcPr>
                  <w:tcW w:w="2552" w:type="dxa"/>
                  <w:vAlign w:val="center"/>
                </w:tcPr>
                <w:p w14:paraId="5391A269">
                  <w:pPr>
                    <w:pStyle w:val="42"/>
                  </w:pPr>
                  <w:r>
                    <w:t>中华拟铃壳虫</w:t>
                  </w:r>
                </w:p>
              </w:tc>
              <w:tc>
                <w:tcPr>
                  <w:tcW w:w="2663" w:type="dxa"/>
                  <w:vAlign w:val="center"/>
                </w:tcPr>
                <w:p w14:paraId="15107A7A">
                  <w:pPr>
                    <w:pStyle w:val="42"/>
                    <w:rPr>
                      <w:i/>
                      <w:iCs/>
                    </w:rPr>
                  </w:pPr>
                  <w:r>
                    <w:rPr>
                      <w:i/>
                      <w:iCs/>
                    </w:rPr>
                    <w:t>T. sinensis</w:t>
                  </w:r>
                </w:p>
              </w:tc>
            </w:tr>
            <w:tr w14:paraId="21054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restart"/>
                  <w:vAlign w:val="center"/>
                </w:tcPr>
                <w:p w14:paraId="49EF6E6D">
                  <w:pPr>
                    <w:pStyle w:val="42"/>
                  </w:pPr>
                  <w:r>
                    <w:t>轮虫类Rotifer</w:t>
                  </w:r>
                </w:p>
              </w:tc>
              <w:tc>
                <w:tcPr>
                  <w:tcW w:w="2552" w:type="dxa"/>
                  <w:vAlign w:val="center"/>
                </w:tcPr>
                <w:p w14:paraId="016C27EA">
                  <w:pPr>
                    <w:pStyle w:val="42"/>
                  </w:pPr>
                  <w:r>
                    <w:t>前节晶囊轮虫</w:t>
                  </w:r>
                </w:p>
              </w:tc>
              <w:tc>
                <w:tcPr>
                  <w:tcW w:w="2663" w:type="dxa"/>
                  <w:vAlign w:val="center"/>
                </w:tcPr>
                <w:p w14:paraId="2D43E718">
                  <w:pPr>
                    <w:pStyle w:val="42"/>
                    <w:rPr>
                      <w:i/>
                      <w:iCs/>
                    </w:rPr>
                  </w:pPr>
                  <w:r>
                    <w:rPr>
                      <w:i/>
                      <w:iCs/>
                    </w:rPr>
                    <w:t>Asplanchna priodonta</w:t>
                  </w:r>
                </w:p>
              </w:tc>
            </w:tr>
            <w:tr w14:paraId="78EB1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62AFD8FB">
                  <w:pPr>
                    <w:pStyle w:val="42"/>
                  </w:pPr>
                </w:p>
              </w:tc>
              <w:tc>
                <w:tcPr>
                  <w:tcW w:w="2552" w:type="dxa"/>
                  <w:vAlign w:val="center"/>
                </w:tcPr>
                <w:p w14:paraId="0F23EE77">
                  <w:pPr>
                    <w:pStyle w:val="42"/>
                  </w:pPr>
                  <w:r>
                    <w:t>臂尾轮虫</w:t>
                  </w:r>
                </w:p>
              </w:tc>
              <w:tc>
                <w:tcPr>
                  <w:tcW w:w="2663" w:type="dxa"/>
                  <w:vAlign w:val="center"/>
                </w:tcPr>
                <w:p w14:paraId="707FFBC8">
                  <w:pPr>
                    <w:pStyle w:val="42"/>
                    <w:rPr>
                      <w:i/>
                      <w:iCs/>
                    </w:rPr>
                  </w:pPr>
                  <w:r>
                    <w:rPr>
                      <w:i/>
                      <w:iCs/>
                    </w:rPr>
                    <w:t>Brachionμs sp.</w:t>
                  </w:r>
                </w:p>
              </w:tc>
            </w:tr>
            <w:tr w14:paraId="00EF1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6EB00853">
                  <w:pPr>
                    <w:pStyle w:val="42"/>
                  </w:pPr>
                </w:p>
              </w:tc>
              <w:tc>
                <w:tcPr>
                  <w:tcW w:w="2552" w:type="dxa"/>
                  <w:vAlign w:val="center"/>
                </w:tcPr>
                <w:p w14:paraId="723C452C">
                  <w:pPr>
                    <w:pStyle w:val="42"/>
                  </w:pPr>
                  <w:r>
                    <w:t>裂足臂尾轮虫</w:t>
                  </w:r>
                </w:p>
              </w:tc>
              <w:tc>
                <w:tcPr>
                  <w:tcW w:w="2663" w:type="dxa"/>
                  <w:vAlign w:val="center"/>
                </w:tcPr>
                <w:p w14:paraId="0D368DEB">
                  <w:pPr>
                    <w:pStyle w:val="42"/>
                    <w:rPr>
                      <w:i/>
                      <w:iCs/>
                    </w:rPr>
                  </w:pPr>
                  <w:r>
                    <w:rPr>
                      <w:i/>
                      <w:iCs/>
                    </w:rPr>
                    <w:t>B．diversicornis</w:t>
                  </w:r>
                </w:p>
              </w:tc>
            </w:tr>
            <w:tr w14:paraId="02CD1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6F5C233A">
                  <w:pPr>
                    <w:pStyle w:val="42"/>
                  </w:pPr>
                </w:p>
              </w:tc>
              <w:tc>
                <w:tcPr>
                  <w:tcW w:w="2552" w:type="dxa"/>
                  <w:vAlign w:val="center"/>
                </w:tcPr>
                <w:p w14:paraId="3CC0699F">
                  <w:pPr>
                    <w:pStyle w:val="42"/>
                  </w:pPr>
                  <w:r>
                    <w:t>角突臂尾轮虫</w:t>
                  </w:r>
                </w:p>
              </w:tc>
              <w:tc>
                <w:tcPr>
                  <w:tcW w:w="2663" w:type="dxa"/>
                  <w:vAlign w:val="center"/>
                </w:tcPr>
                <w:p w14:paraId="3CA0E063">
                  <w:pPr>
                    <w:pStyle w:val="42"/>
                    <w:rPr>
                      <w:i/>
                      <w:iCs/>
                    </w:rPr>
                  </w:pPr>
                  <w:r>
                    <w:rPr>
                      <w:i/>
                      <w:iCs/>
                    </w:rPr>
                    <w:t>B. angularis</w:t>
                  </w:r>
                </w:p>
              </w:tc>
            </w:tr>
            <w:tr w14:paraId="64869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1117B5AC">
                  <w:pPr>
                    <w:pStyle w:val="42"/>
                  </w:pPr>
                </w:p>
              </w:tc>
              <w:tc>
                <w:tcPr>
                  <w:tcW w:w="2552" w:type="dxa"/>
                  <w:vAlign w:val="center"/>
                </w:tcPr>
                <w:p w14:paraId="55A14DEB">
                  <w:pPr>
                    <w:pStyle w:val="42"/>
                  </w:pPr>
                  <w:r>
                    <w:t>蒲达臂尾轮虫</w:t>
                  </w:r>
                </w:p>
              </w:tc>
              <w:tc>
                <w:tcPr>
                  <w:tcW w:w="2663" w:type="dxa"/>
                  <w:vAlign w:val="center"/>
                </w:tcPr>
                <w:p w14:paraId="28371753">
                  <w:pPr>
                    <w:pStyle w:val="42"/>
                    <w:rPr>
                      <w:i/>
                      <w:iCs/>
                    </w:rPr>
                  </w:pPr>
                  <w:r>
                    <w:rPr>
                      <w:i/>
                      <w:iCs/>
                    </w:rPr>
                    <w:t>B. budapestiensis</w:t>
                  </w:r>
                </w:p>
              </w:tc>
            </w:tr>
            <w:tr w14:paraId="286BC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1A01D224">
                  <w:pPr>
                    <w:pStyle w:val="42"/>
                  </w:pPr>
                </w:p>
              </w:tc>
              <w:tc>
                <w:tcPr>
                  <w:tcW w:w="2552" w:type="dxa"/>
                  <w:vAlign w:val="center"/>
                </w:tcPr>
                <w:p w14:paraId="52E77223">
                  <w:pPr>
                    <w:pStyle w:val="42"/>
                  </w:pPr>
                  <w:r>
                    <w:t>多肢轮虫</w:t>
                  </w:r>
                </w:p>
              </w:tc>
              <w:tc>
                <w:tcPr>
                  <w:tcW w:w="2663" w:type="dxa"/>
                  <w:vAlign w:val="center"/>
                </w:tcPr>
                <w:p w14:paraId="1412985C">
                  <w:pPr>
                    <w:pStyle w:val="42"/>
                    <w:rPr>
                      <w:i/>
                      <w:iCs/>
                    </w:rPr>
                  </w:pPr>
                  <w:r>
                    <w:rPr>
                      <w:i/>
                      <w:iCs/>
                    </w:rPr>
                    <w:t>Polyarthra sp.</w:t>
                  </w:r>
                </w:p>
              </w:tc>
            </w:tr>
            <w:tr w14:paraId="21212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4ABC428C">
                  <w:pPr>
                    <w:pStyle w:val="42"/>
                  </w:pPr>
                </w:p>
              </w:tc>
              <w:tc>
                <w:tcPr>
                  <w:tcW w:w="2552" w:type="dxa"/>
                  <w:vAlign w:val="center"/>
                </w:tcPr>
                <w:p w14:paraId="3351E361">
                  <w:pPr>
                    <w:pStyle w:val="42"/>
                  </w:pPr>
                  <w:r>
                    <w:t>针簇多肢轮虫</w:t>
                  </w:r>
                </w:p>
              </w:tc>
              <w:tc>
                <w:tcPr>
                  <w:tcW w:w="2663" w:type="dxa"/>
                  <w:vAlign w:val="center"/>
                </w:tcPr>
                <w:p w14:paraId="678CD701">
                  <w:pPr>
                    <w:pStyle w:val="42"/>
                    <w:rPr>
                      <w:i/>
                      <w:iCs/>
                    </w:rPr>
                  </w:pPr>
                  <w:r>
                    <w:rPr>
                      <w:i/>
                      <w:iCs/>
                    </w:rPr>
                    <w:t>P. trigla</w:t>
                  </w:r>
                </w:p>
              </w:tc>
            </w:tr>
            <w:tr w14:paraId="601FD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10119510">
                  <w:pPr>
                    <w:pStyle w:val="42"/>
                  </w:pPr>
                </w:p>
              </w:tc>
              <w:tc>
                <w:tcPr>
                  <w:tcW w:w="2552" w:type="dxa"/>
                  <w:vAlign w:val="center"/>
                </w:tcPr>
                <w:p w14:paraId="0D9045AE">
                  <w:pPr>
                    <w:pStyle w:val="42"/>
                  </w:pPr>
                  <w:r>
                    <w:t>同尾轮虫</w:t>
                  </w:r>
                </w:p>
              </w:tc>
              <w:tc>
                <w:tcPr>
                  <w:tcW w:w="2663" w:type="dxa"/>
                  <w:vAlign w:val="center"/>
                </w:tcPr>
                <w:p w14:paraId="72CDE6E5">
                  <w:pPr>
                    <w:pStyle w:val="42"/>
                    <w:rPr>
                      <w:i/>
                      <w:iCs/>
                    </w:rPr>
                  </w:pPr>
                  <w:r>
                    <w:rPr>
                      <w:i/>
                      <w:iCs/>
                    </w:rPr>
                    <w:t>Diμrella sp.</w:t>
                  </w:r>
                </w:p>
              </w:tc>
            </w:tr>
            <w:tr w14:paraId="06554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3FD5CDF1">
                  <w:pPr>
                    <w:pStyle w:val="42"/>
                  </w:pPr>
                </w:p>
              </w:tc>
              <w:tc>
                <w:tcPr>
                  <w:tcW w:w="2552" w:type="dxa"/>
                  <w:vAlign w:val="center"/>
                </w:tcPr>
                <w:p w14:paraId="084A6B13">
                  <w:pPr>
                    <w:pStyle w:val="42"/>
                  </w:pPr>
                  <w:r>
                    <w:t>异尾轮虫</w:t>
                  </w:r>
                </w:p>
              </w:tc>
              <w:tc>
                <w:tcPr>
                  <w:tcW w:w="2663" w:type="dxa"/>
                  <w:vAlign w:val="center"/>
                </w:tcPr>
                <w:p w14:paraId="29FA672F">
                  <w:pPr>
                    <w:pStyle w:val="42"/>
                    <w:rPr>
                      <w:i/>
                      <w:iCs/>
                    </w:rPr>
                  </w:pPr>
                  <w:r>
                    <w:rPr>
                      <w:i/>
                      <w:iCs/>
                    </w:rPr>
                    <w:t>Trichocerca sp.</w:t>
                  </w:r>
                </w:p>
              </w:tc>
            </w:tr>
            <w:tr w14:paraId="679BF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0FB14F29">
                  <w:pPr>
                    <w:pStyle w:val="42"/>
                  </w:pPr>
                </w:p>
              </w:tc>
              <w:tc>
                <w:tcPr>
                  <w:tcW w:w="2552" w:type="dxa"/>
                  <w:vAlign w:val="center"/>
                </w:tcPr>
                <w:p w14:paraId="20369124">
                  <w:pPr>
                    <w:pStyle w:val="42"/>
                  </w:pPr>
                  <w:r>
                    <w:t>龟甲轮虫</w:t>
                  </w:r>
                </w:p>
              </w:tc>
              <w:tc>
                <w:tcPr>
                  <w:tcW w:w="2663" w:type="dxa"/>
                  <w:vAlign w:val="center"/>
                </w:tcPr>
                <w:p w14:paraId="686AE339">
                  <w:pPr>
                    <w:pStyle w:val="42"/>
                    <w:rPr>
                      <w:i/>
                      <w:iCs/>
                    </w:rPr>
                  </w:pPr>
                  <w:r>
                    <w:rPr>
                      <w:i/>
                      <w:iCs/>
                    </w:rPr>
                    <w:t>Keratella sp.</w:t>
                  </w:r>
                </w:p>
              </w:tc>
            </w:tr>
            <w:tr w14:paraId="43FCA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65614C11">
                  <w:pPr>
                    <w:pStyle w:val="42"/>
                  </w:pPr>
                </w:p>
              </w:tc>
              <w:tc>
                <w:tcPr>
                  <w:tcW w:w="2552" w:type="dxa"/>
                  <w:vAlign w:val="center"/>
                </w:tcPr>
                <w:p w14:paraId="60B017AB">
                  <w:pPr>
                    <w:pStyle w:val="42"/>
                  </w:pPr>
                  <w:r>
                    <w:t>螺形龟甲轮虫</w:t>
                  </w:r>
                </w:p>
              </w:tc>
              <w:tc>
                <w:tcPr>
                  <w:tcW w:w="2663" w:type="dxa"/>
                  <w:vAlign w:val="center"/>
                </w:tcPr>
                <w:p w14:paraId="5E88DFC0">
                  <w:pPr>
                    <w:pStyle w:val="42"/>
                    <w:rPr>
                      <w:i/>
                      <w:iCs/>
                    </w:rPr>
                  </w:pPr>
                  <w:r>
                    <w:rPr>
                      <w:i/>
                      <w:iCs/>
                    </w:rPr>
                    <w:t>K．cochlearis</w:t>
                  </w:r>
                </w:p>
              </w:tc>
            </w:tr>
            <w:tr w14:paraId="4D276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4DA2F047">
                  <w:pPr>
                    <w:pStyle w:val="42"/>
                  </w:pPr>
                </w:p>
              </w:tc>
              <w:tc>
                <w:tcPr>
                  <w:tcW w:w="2552" w:type="dxa"/>
                  <w:vAlign w:val="center"/>
                </w:tcPr>
                <w:p w14:paraId="7EE8B19A">
                  <w:pPr>
                    <w:pStyle w:val="42"/>
                  </w:pPr>
                  <w:r>
                    <w:t>矩形龟甲轮虫</w:t>
                  </w:r>
                </w:p>
              </w:tc>
              <w:tc>
                <w:tcPr>
                  <w:tcW w:w="2663" w:type="dxa"/>
                  <w:vAlign w:val="center"/>
                </w:tcPr>
                <w:p w14:paraId="3FF24AAB">
                  <w:pPr>
                    <w:pStyle w:val="42"/>
                    <w:rPr>
                      <w:i/>
                      <w:iCs/>
                    </w:rPr>
                  </w:pPr>
                  <w:r>
                    <w:rPr>
                      <w:i/>
                      <w:iCs/>
                    </w:rPr>
                    <w:t>K. guadrata</w:t>
                  </w:r>
                </w:p>
              </w:tc>
            </w:tr>
            <w:tr w14:paraId="6CB91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7BB4AA61">
                  <w:pPr>
                    <w:pStyle w:val="42"/>
                  </w:pPr>
                </w:p>
              </w:tc>
              <w:tc>
                <w:tcPr>
                  <w:tcW w:w="2552" w:type="dxa"/>
                  <w:vAlign w:val="center"/>
                </w:tcPr>
                <w:p w14:paraId="5CF93E67">
                  <w:pPr>
                    <w:pStyle w:val="42"/>
                  </w:pPr>
                  <w:r>
                    <w:t>鞍甲轮虫</w:t>
                  </w:r>
                </w:p>
              </w:tc>
              <w:tc>
                <w:tcPr>
                  <w:tcW w:w="2663" w:type="dxa"/>
                  <w:vAlign w:val="center"/>
                </w:tcPr>
                <w:p w14:paraId="60DBD64C">
                  <w:pPr>
                    <w:pStyle w:val="42"/>
                    <w:rPr>
                      <w:i/>
                      <w:iCs/>
                    </w:rPr>
                  </w:pPr>
                  <w:r>
                    <w:rPr>
                      <w:i/>
                      <w:iCs/>
                    </w:rPr>
                    <w:t>Lepadella sp.</w:t>
                  </w:r>
                </w:p>
              </w:tc>
            </w:tr>
            <w:tr w14:paraId="19BE4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1486E36B">
                  <w:pPr>
                    <w:pStyle w:val="42"/>
                  </w:pPr>
                </w:p>
              </w:tc>
              <w:tc>
                <w:tcPr>
                  <w:tcW w:w="2552" w:type="dxa"/>
                  <w:vAlign w:val="center"/>
                </w:tcPr>
                <w:p w14:paraId="15CF4B07">
                  <w:pPr>
                    <w:pStyle w:val="42"/>
                  </w:pPr>
                  <w:r>
                    <w:t>月形单趾轮虫</w:t>
                  </w:r>
                </w:p>
              </w:tc>
              <w:tc>
                <w:tcPr>
                  <w:tcW w:w="2663" w:type="dxa"/>
                  <w:vAlign w:val="center"/>
                </w:tcPr>
                <w:p w14:paraId="4C7E0623">
                  <w:pPr>
                    <w:pStyle w:val="42"/>
                    <w:rPr>
                      <w:i/>
                      <w:iCs/>
                    </w:rPr>
                  </w:pPr>
                  <w:r>
                    <w:rPr>
                      <w:i/>
                      <w:iCs/>
                    </w:rPr>
                    <w:t>Monostyla sp.</w:t>
                  </w:r>
                </w:p>
              </w:tc>
            </w:tr>
            <w:tr w14:paraId="2DA18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33E4C46A">
                  <w:pPr>
                    <w:pStyle w:val="42"/>
                  </w:pPr>
                </w:p>
              </w:tc>
              <w:tc>
                <w:tcPr>
                  <w:tcW w:w="2552" w:type="dxa"/>
                  <w:vAlign w:val="center"/>
                </w:tcPr>
                <w:p w14:paraId="6A4FE1F5">
                  <w:pPr>
                    <w:pStyle w:val="42"/>
                  </w:pPr>
                  <w:r>
                    <w:t>旋轮虫</w:t>
                  </w:r>
                </w:p>
              </w:tc>
              <w:tc>
                <w:tcPr>
                  <w:tcW w:w="2663" w:type="dxa"/>
                  <w:vAlign w:val="center"/>
                </w:tcPr>
                <w:p w14:paraId="159C70D6">
                  <w:pPr>
                    <w:pStyle w:val="42"/>
                    <w:rPr>
                      <w:i/>
                      <w:iCs/>
                    </w:rPr>
                  </w:pPr>
                  <w:r>
                    <w:rPr>
                      <w:i/>
                      <w:iCs/>
                    </w:rPr>
                    <w:t>Philodina sp.</w:t>
                  </w:r>
                </w:p>
              </w:tc>
            </w:tr>
            <w:tr w14:paraId="7B96B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29A14E69">
                  <w:pPr>
                    <w:pStyle w:val="42"/>
                  </w:pPr>
                </w:p>
              </w:tc>
              <w:tc>
                <w:tcPr>
                  <w:tcW w:w="2552" w:type="dxa"/>
                  <w:vAlign w:val="center"/>
                </w:tcPr>
                <w:p w14:paraId="2C49CF83">
                  <w:pPr>
                    <w:pStyle w:val="42"/>
                  </w:pPr>
                  <w:r>
                    <w:t>三肢轮虫</w:t>
                  </w:r>
                </w:p>
              </w:tc>
              <w:tc>
                <w:tcPr>
                  <w:tcW w:w="2663" w:type="dxa"/>
                  <w:vAlign w:val="center"/>
                </w:tcPr>
                <w:p w14:paraId="26AAA55D">
                  <w:pPr>
                    <w:pStyle w:val="42"/>
                    <w:rPr>
                      <w:i/>
                      <w:iCs/>
                    </w:rPr>
                  </w:pPr>
                  <w:r>
                    <w:rPr>
                      <w:i/>
                      <w:iCs/>
                    </w:rPr>
                    <w:t>Filinia sp.</w:t>
                  </w:r>
                </w:p>
              </w:tc>
            </w:tr>
            <w:tr w14:paraId="45E69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5F68AA78">
                  <w:pPr>
                    <w:pStyle w:val="42"/>
                  </w:pPr>
                </w:p>
              </w:tc>
              <w:tc>
                <w:tcPr>
                  <w:tcW w:w="2552" w:type="dxa"/>
                  <w:vAlign w:val="center"/>
                </w:tcPr>
                <w:p w14:paraId="4D60AB37">
                  <w:pPr>
                    <w:pStyle w:val="42"/>
                  </w:pPr>
                  <w:r>
                    <w:t>长三肢轮虫</w:t>
                  </w:r>
                </w:p>
              </w:tc>
              <w:tc>
                <w:tcPr>
                  <w:tcW w:w="2663" w:type="dxa"/>
                  <w:vAlign w:val="center"/>
                </w:tcPr>
                <w:p w14:paraId="10952CDB">
                  <w:pPr>
                    <w:pStyle w:val="42"/>
                    <w:rPr>
                      <w:i/>
                      <w:iCs/>
                    </w:rPr>
                  </w:pPr>
                  <w:r>
                    <w:rPr>
                      <w:i/>
                      <w:iCs/>
                    </w:rPr>
                    <w:t>F. longiseta</w:t>
                  </w:r>
                </w:p>
              </w:tc>
            </w:tr>
            <w:tr w14:paraId="435D2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Align w:val="center"/>
                </w:tcPr>
                <w:p w14:paraId="3A8E9E4D">
                  <w:pPr>
                    <w:pStyle w:val="42"/>
                  </w:pPr>
                  <w:r>
                    <w:t>枝角类 Cladocera</w:t>
                  </w:r>
                </w:p>
              </w:tc>
              <w:tc>
                <w:tcPr>
                  <w:tcW w:w="2552" w:type="dxa"/>
                  <w:vAlign w:val="center"/>
                </w:tcPr>
                <w:p w14:paraId="0C5BB2BD">
                  <w:pPr>
                    <w:pStyle w:val="42"/>
                  </w:pPr>
                  <w:r>
                    <w:t>柯氏象鼻溞</w:t>
                  </w:r>
                </w:p>
              </w:tc>
              <w:tc>
                <w:tcPr>
                  <w:tcW w:w="2663" w:type="dxa"/>
                  <w:vAlign w:val="center"/>
                </w:tcPr>
                <w:p w14:paraId="34E4AA11">
                  <w:pPr>
                    <w:pStyle w:val="42"/>
                    <w:rPr>
                      <w:i/>
                      <w:iCs/>
                    </w:rPr>
                  </w:pPr>
                  <w:r>
                    <w:rPr>
                      <w:i/>
                      <w:iCs/>
                    </w:rPr>
                    <w:t>Bosmina coregoni</w:t>
                  </w:r>
                </w:p>
              </w:tc>
            </w:tr>
            <w:tr w14:paraId="78DB8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restart"/>
                  <w:vAlign w:val="center"/>
                </w:tcPr>
                <w:p w14:paraId="68422E35">
                  <w:pPr>
                    <w:pStyle w:val="42"/>
                  </w:pPr>
                  <w:r>
                    <w:t>桡足类Copepoda</w:t>
                  </w:r>
                </w:p>
              </w:tc>
              <w:tc>
                <w:tcPr>
                  <w:tcW w:w="2552" w:type="dxa"/>
                  <w:vAlign w:val="center"/>
                </w:tcPr>
                <w:p w14:paraId="4DF3A3DC">
                  <w:pPr>
                    <w:pStyle w:val="42"/>
                  </w:pPr>
                  <w:r>
                    <w:t>某种剑水蚤</w:t>
                  </w:r>
                </w:p>
              </w:tc>
              <w:tc>
                <w:tcPr>
                  <w:tcW w:w="2663" w:type="dxa"/>
                  <w:vAlign w:val="center"/>
                </w:tcPr>
                <w:p w14:paraId="16E20B63">
                  <w:pPr>
                    <w:pStyle w:val="42"/>
                    <w:rPr>
                      <w:i/>
                      <w:iCs/>
                    </w:rPr>
                  </w:pPr>
                  <w:r>
                    <w:rPr>
                      <w:i/>
                      <w:iCs/>
                    </w:rPr>
                    <w:t>Cyclopinae spp.</w:t>
                  </w:r>
                </w:p>
              </w:tc>
            </w:tr>
            <w:tr w14:paraId="68926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19E2DF28">
                  <w:pPr>
                    <w:pStyle w:val="42"/>
                  </w:pPr>
                </w:p>
              </w:tc>
              <w:tc>
                <w:tcPr>
                  <w:tcW w:w="2552" w:type="dxa"/>
                  <w:noWrap/>
                  <w:vAlign w:val="center"/>
                </w:tcPr>
                <w:p w14:paraId="2F97B682">
                  <w:pPr>
                    <w:pStyle w:val="42"/>
                  </w:pPr>
                  <w:r>
                    <w:t>无节幼体</w:t>
                  </w:r>
                </w:p>
              </w:tc>
              <w:tc>
                <w:tcPr>
                  <w:tcW w:w="2663" w:type="dxa"/>
                  <w:vAlign w:val="center"/>
                </w:tcPr>
                <w:p w14:paraId="6A415CCF">
                  <w:pPr>
                    <w:pStyle w:val="42"/>
                    <w:rPr>
                      <w:i/>
                      <w:iCs/>
                    </w:rPr>
                  </w:pPr>
                  <w:r>
                    <w:rPr>
                      <w:i/>
                      <w:iCs/>
                    </w:rPr>
                    <w:t>Naμplii</w:t>
                  </w:r>
                </w:p>
              </w:tc>
            </w:tr>
            <w:tr w14:paraId="545E5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3" w:type="dxa"/>
                  <w:vMerge w:val="continue"/>
                  <w:vAlign w:val="center"/>
                </w:tcPr>
                <w:p w14:paraId="542998B2">
                  <w:pPr>
                    <w:pStyle w:val="42"/>
                  </w:pPr>
                </w:p>
              </w:tc>
              <w:tc>
                <w:tcPr>
                  <w:tcW w:w="2552" w:type="dxa"/>
                  <w:noWrap/>
                  <w:vAlign w:val="center"/>
                </w:tcPr>
                <w:p w14:paraId="5AD3B6B6">
                  <w:pPr>
                    <w:pStyle w:val="42"/>
                  </w:pPr>
                  <w:r>
                    <w:t>桡足幼体</w:t>
                  </w:r>
                </w:p>
              </w:tc>
              <w:tc>
                <w:tcPr>
                  <w:tcW w:w="2663" w:type="dxa"/>
                  <w:vAlign w:val="center"/>
                </w:tcPr>
                <w:p w14:paraId="071539FD">
                  <w:pPr>
                    <w:pStyle w:val="42"/>
                  </w:pPr>
                </w:p>
              </w:tc>
            </w:tr>
          </w:tbl>
          <w:p w14:paraId="07A59D8C">
            <w:pPr>
              <w:spacing w:line="360" w:lineRule="auto"/>
              <w:ind w:firstLine="480" w:firstLineChars="200"/>
            </w:pPr>
          </w:p>
          <w:p w14:paraId="600F84EB">
            <w:pPr>
              <w:spacing w:line="360" w:lineRule="auto"/>
              <w:ind w:firstLine="480" w:firstLineChars="200"/>
            </w:pPr>
            <w:r>
              <w:rPr>
                <w:rFonts w:hint="eastAsia"/>
              </w:rPr>
              <w:t>②优势种及常见种</w:t>
            </w:r>
          </w:p>
          <w:p w14:paraId="17DF0397">
            <w:pPr>
              <w:spacing w:line="360" w:lineRule="auto"/>
              <w:ind w:firstLine="480" w:firstLineChars="200"/>
              <w:rPr>
                <w:rFonts w:cs="Times New Roman"/>
              </w:rPr>
            </w:pPr>
            <w:r>
              <w:rPr>
                <w:rFonts w:hint="eastAsia" w:cs="Times New Roman"/>
              </w:rPr>
              <w:t>调查范围内</w:t>
            </w:r>
            <w:r>
              <w:rPr>
                <w:rFonts w:cs="Times New Roman"/>
              </w:rPr>
              <w:t>江段及支流浮游动物的优势种及常见种，主要有原生动物、轮虫和桡足类。分别为冠冕砂壳虫Difflμgia corona，长圆砂壳虫D.oblonga；角突臂尾轮虫Brachionμs angμlaris；无节幼体Nauplii。</w:t>
            </w:r>
          </w:p>
          <w:p w14:paraId="56C88144">
            <w:pPr>
              <w:spacing w:line="360" w:lineRule="auto"/>
              <w:ind w:firstLine="480" w:firstLineChars="200"/>
            </w:pPr>
            <w:r>
              <w:rPr>
                <w:rFonts w:hint="eastAsia"/>
              </w:rPr>
              <w:t>（4）底栖生物</w:t>
            </w:r>
          </w:p>
          <w:p w14:paraId="7DE2F421">
            <w:pPr>
              <w:spacing w:line="360" w:lineRule="auto"/>
              <w:ind w:firstLine="480" w:firstLineChars="200"/>
            </w:pPr>
            <w:r>
              <w:rPr>
                <w:rFonts w:hint="eastAsia"/>
              </w:rPr>
              <w:t>①种类组成</w:t>
            </w:r>
          </w:p>
          <w:p w14:paraId="610DC0C1">
            <w:pPr>
              <w:spacing w:line="360" w:lineRule="auto"/>
              <w:ind w:firstLine="480" w:firstLineChars="200"/>
            </w:pPr>
            <w:r>
              <w:rPr>
                <w:rFonts w:hint="eastAsia"/>
              </w:rPr>
              <w:t>调查范围内底栖动物共5类（软体动物、环节动物、甲壳动物、水生昆虫和扁形动物）101种，隶属于14目48科，其中水生昆虫84种，分属7目36科，占总数83.2%；软体动物10种，3目7科；环节动物4种，2目2科；甲壳动物1种，1目2科；扁形动物1种，1目1科，详见下表：</w:t>
            </w:r>
          </w:p>
          <w:p w14:paraId="48AEA1B9">
            <w:pPr>
              <w:spacing w:line="360" w:lineRule="auto"/>
              <w:jc w:val="center"/>
              <w:rPr>
                <w:b/>
                <w:bCs/>
              </w:rPr>
            </w:pPr>
            <w:r>
              <w:rPr>
                <w:rFonts w:hint="eastAsia"/>
                <w:b/>
                <w:bCs/>
              </w:rPr>
              <w:t>表31       评价区江段底栖动物一览表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2487"/>
              <w:gridCol w:w="3174"/>
            </w:tblGrid>
            <w:tr w14:paraId="541D6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601" w:type="dxa"/>
                  <w:shd w:val="clear" w:color="000000" w:fill="FFFFFF"/>
                  <w:noWrap/>
                  <w:vAlign w:val="center"/>
                </w:tcPr>
                <w:p w14:paraId="3793F361">
                  <w:pPr>
                    <w:pStyle w:val="42"/>
                    <w:rPr>
                      <w:b/>
                      <w:bCs/>
                    </w:rPr>
                  </w:pPr>
                  <w:r>
                    <w:rPr>
                      <w:b/>
                      <w:bCs/>
                    </w:rPr>
                    <w:t>类别</w:t>
                  </w:r>
                </w:p>
              </w:tc>
              <w:tc>
                <w:tcPr>
                  <w:tcW w:w="2913" w:type="dxa"/>
                  <w:shd w:val="clear" w:color="000000" w:fill="FFFFFF"/>
                  <w:noWrap/>
                  <w:vAlign w:val="center"/>
                </w:tcPr>
                <w:p w14:paraId="41ECAF3F">
                  <w:pPr>
                    <w:pStyle w:val="42"/>
                    <w:rPr>
                      <w:b/>
                      <w:bCs/>
                    </w:rPr>
                  </w:pPr>
                  <w:r>
                    <w:rPr>
                      <w:b/>
                      <w:bCs/>
                    </w:rPr>
                    <w:t>科</w:t>
                  </w:r>
                </w:p>
              </w:tc>
              <w:tc>
                <w:tcPr>
                  <w:tcW w:w="3728" w:type="dxa"/>
                  <w:shd w:val="clear" w:color="000000" w:fill="FFFFFF"/>
                  <w:noWrap/>
                  <w:vAlign w:val="center"/>
                </w:tcPr>
                <w:p w14:paraId="300BEA04">
                  <w:pPr>
                    <w:pStyle w:val="42"/>
                    <w:rPr>
                      <w:b/>
                      <w:bCs/>
                    </w:rPr>
                  </w:pPr>
                  <w:r>
                    <w:rPr>
                      <w:b/>
                      <w:bCs/>
                    </w:rPr>
                    <w:t>种</w:t>
                  </w:r>
                </w:p>
              </w:tc>
            </w:tr>
            <w:tr w14:paraId="5F1BA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restart"/>
                  <w:shd w:val="clear" w:color="000000" w:fill="FFFFFF"/>
                  <w:noWrap/>
                  <w:vAlign w:val="center"/>
                </w:tcPr>
                <w:p w14:paraId="06B9CBFC">
                  <w:pPr>
                    <w:pStyle w:val="42"/>
                  </w:pPr>
                  <w:r>
                    <w:t>软体动物 Mollusca</w:t>
                  </w:r>
                </w:p>
              </w:tc>
              <w:tc>
                <w:tcPr>
                  <w:tcW w:w="2913" w:type="dxa"/>
                  <w:shd w:val="clear" w:color="000000" w:fill="FFFFFF"/>
                  <w:noWrap/>
                  <w:vAlign w:val="center"/>
                </w:tcPr>
                <w:p w14:paraId="20D3417D">
                  <w:pPr>
                    <w:pStyle w:val="42"/>
                  </w:pPr>
                  <w:r>
                    <w:t>椎实螺科 Lymnaeidae</w:t>
                  </w:r>
                </w:p>
              </w:tc>
              <w:tc>
                <w:tcPr>
                  <w:tcW w:w="3728" w:type="dxa"/>
                  <w:shd w:val="clear" w:color="000000" w:fill="FFFFFF"/>
                  <w:noWrap/>
                  <w:vAlign w:val="center"/>
                </w:tcPr>
                <w:p w14:paraId="63842210">
                  <w:pPr>
                    <w:pStyle w:val="42"/>
                    <w:rPr>
                      <w:i/>
                      <w:iCs/>
                    </w:rPr>
                  </w:pPr>
                  <w:r>
                    <w:rPr>
                      <w:i/>
                      <w:iCs/>
                    </w:rPr>
                    <w:t>卵萝卜螺Radix ovata</w:t>
                  </w:r>
                </w:p>
              </w:tc>
            </w:tr>
            <w:tr w14:paraId="64DD0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440FE8BE">
                  <w:pPr>
                    <w:pStyle w:val="42"/>
                  </w:pPr>
                </w:p>
              </w:tc>
              <w:tc>
                <w:tcPr>
                  <w:tcW w:w="2913" w:type="dxa"/>
                  <w:shd w:val="clear" w:color="000000" w:fill="FFFFFF"/>
                  <w:noWrap/>
                  <w:vAlign w:val="center"/>
                </w:tcPr>
                <w:p w14:paraId="31608B0E">
                  <w:pPr>
                    <w:pStyle w:val="42"/>
                  </w:pPr>
                  <w:r>
                    <w:t>扁蜷螺科 Planorbidae</w:t>
                  </w:r>
                </w:p>
              </w:tc>
              <w:tc>
                <w:tcPr>
                  <w:tcW w:w="3728" w:type="dxa"/>
                  <w:shd w:val="clear" w:color="000000" w:fill="FFFFFF"/>
                  <w:noWrap/>
                  <w:vAlign w:val="center"/>
                </w:tcPr>
                <w:p w14:paraId="5FC35D3E">
                  <w:pPr>
                    <w:pStyle w:val="42"/>
                    <w:rPr>
                      <w:i/>
                      <w:iCs/>
                    </w:rPr>
                  </w:pPr>
                  <w:r>
                    <w:rPr>
                      <w:i/>
                      <w:iCs/>
                    </w:rPr>
                    <w:t>半球多脉扁螺Polypylis hemisphaerula</w:t>
                  </w:r>
                </w:p>
              </w:tc>
            </w:tr>
            <w:tr w14:paraId="1ACC5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0E4DCF23">
                  <w:pPr>
                    <w:pStyle w:val="42"/>
                  </w:pPr>
                </w:p>
              </w:tc>
              <w:tc>
                <w:tcPr>
                  <w:tcW w:w="2913" w:type="dxa"/>
                  <w:shd w:val="clear" w:color="000000" w:fill="FFFFFF"/>
                  <w:noWrap/>
                  <w:vAlign w:val="center"/>
                </w:tcPr>
                <w:p w14:paraId="5A102544">
                  <w:pPr>
                    <w:pStyle w:val="42"/>
                  </w:pPr>
                  <w:r>
                    <w:t>盘螺科 Valvatidae</w:t>
                  </w:r>
                </w:p>
              </w:tc>
              <w:tc>
                <w:tcPr>
                  <w:tcW w:w="3728" w:type="dxa"/>
                  <w:shd w:val="clear" w:color="000000" w:fill="FFFFFF"/>
                  <w:noWrap/>
                  <w:vAlign w:val="center"/>
                </w:tcPr>
                <w:p w14:paraId="38727A58">
                  <w:pPr>
                    <w:pStyle w:val="42"/>
                    <w:rPr>
                      <w:i/>
                      <w:iCs/>
                    </w:rPr>
                  </w:pPr>
                  <w:r>
                    <w:rPr>
                      <w:i/>
                      <w:iCs/>
                    </w:rPr>
                    <w:t>鱼盘螺Valvata piscinalis</w:t>
                  </w:r>
                </w:p>
              </w:tc>
            </w:tr>
            <w:tr w14:paraId="6F283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C3B8DC3">
                  <w:pPr>
                    <w:pStyle w:val="42"/>
                  </w:pPr>
                </w:p>
              </w:tc>
              <w:tc>
                <w:tcPr>
                  <w:tcW w:w="2913" w:type="dxa"/>
                  <w:shd w:val="clear" w:color="000000" w:fill="FFFFFF"/>
                  <w:noWrap/>
                  <w:vAlign w:val="center"/>
                </w:tcPr>
                <w:p w14:paraId="03BA3A13">
                  <w:pPr>
                    <w:pStyle w:val="42"/>
                  </w:pPr>
                  <w:r>
                    <w:t>黑螺科 Melaniidae</w:t>
                  </w:r>
                </w:p>
              </w:tc>
              <w:tc>
                <w:tcPr>
                  <w:tcW w:w="3728" w:type="dxa"/>
                  <w:shd w:val="clear" w:color="000000" w:fill="FFFFFF"/>
                  <w:noWrap/>
                  <w:vAlign w:val="center"/>
                </w:tcPr>
                <w:p w14:paraId="1A52A247">
                  <w:pPr>
                    <w:pStyle w:val="42"/>
                    <w:rPr>
                      <w:i/>
                      <w:iCs/>
                    </w:rPr>
                  </w:pPr>
                  <w:r>
                    <w:rPr>
                      <w:i/>
                      <w:iCs/>
                    </w:rPr>
                    <w:t>黑龙江短沟蜷Semisulcospira amurensis</w:t>
                  </w:r>
                </w:p>
              </w:tc>
            </w:tr>
            <w:tr w14:paraId="5224B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754D0658">
                  <w:pPr>
                    <w:pStyle w:val="42"/>
                  </w:pPr>
                </w:p>
              </w:tc>
              <w:tc>
                <w:tcPr>
                  <w:tcW w:w="2913" w:type="dxa"/>
                  <w:shd w:val="clear" w:color="000000" w:fill="FFFFFF"/>
                  <w:noWrap/>
                  <w:vAlign w:val="center"/>
                </w:tcPr>
                <w:p w14:paraId="26F9661E">
                  <w:pPr>
                    <w:pStyle w:val="42"/>
                  </w:pPr>
                  <w:r>
                    <w:t>蚌科Unionidae</w:t>
                  </w:r>
                </w:p>
              </w:tc>
              <w:tc>
                <w:tcPr>
                  <w:tcW w:w="3728" w:type="dxa"/>
                  <w:shd w:val="clear" w:color="000000" w:fill="FFFFFF"/>
                  <w:noWrap/>
                  <w:vAlign w:val="center"/>
                </w:tcPr>
                <w:p w14:paraId="48CF4206">
                  <w:pPr>
                    <w:pStyle w:val="42"/>
                    <w:rPr>
                      <w:i/>
                      <w:iCs/>
                    </w:rPr>
                  </w:pPr>
                  <w:r>
                    <w:rPr>
                      <w:i/>
                      <w:iCs/>
                    </w:rPr>
                    <w:t>圆顶珠蚌Unio dougladiae</w:t>
                  </w:r>
                </w:p>
              </w:tc>
            </w:tr>
            <w:tr w14:paraId="528AC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restart"/>
                  <w:shd w:val="clear" w:color="000000" w:fill="FFFFFF"/>
                  <w:noWrap/>
                  <w:vAlign w:val="center"/>
                </w:tcPr>
                <w:p w14:paraId="64C211D7">
                  <w:pPr>
                    <w:pStyle w:val="42"/>
                  </w:pPr>
                  <w:r>
                    <w:t>环节动物　Annelida</w:t>
                  </w:r>
                </w:p>
              </w:tc>
              <w:tc>
                <w:tcPr>
                  <w:tcW w:w="2913" w:type="dxa"/>
                  <w:vMerge w:val="restart"/>
                  <w:shd w:val="clear" w:color="000000" w:fill="FFFFFF"/>
                  <w:noWrap/>
                  <w:vAlign w:val="center"/>
                </w:tcPr>
                <w:p w14:paraId="043361F1">
                  <w:pPr>
                    <w:pStyle w:val="42"/>
                  </w:pPr>
                  <w:r>
                    <w:t>舌蛭科 Glossiphoniidae</w:t>
                  </w:r>
                </w:p>
              </w:tc>
              <w:tc>
                <w:tcPr>
                  <w:tcW w:w="3728" w:type="dxa"/>
                  <w:shd w:val="clear" w:color="000000" w:fill="FFFFFF"/>
                  <w:noWrap/>
                  <w:vAlign w:val="center"/>
                </w:tcPr>
                <w:p w14:paraId="4240FF31">
                  <w:pPr>
                    <w:pStyle w:val="42"/>
                    <w:rPr>
                      <w:i/>
                      <w:iCs/>
                    </w:rPr>
                  </w:pPr>
                  <w:r>
                    <w:rPr>
                      <w:i/>
                      <w:iCs/>
                    </w:rPr>
                    <w:t>宽身舌蛭Glossiphonia lata</w:t>
                  </w:r>
                </w:p>
              </w:tc>
            </w:tr>
            <w:tr w14:paraId="4A8D5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3206D505">
                  <w:pPr>
                    <w:pStyle w:val="42"/>
                  </w:pPr>
                </w:p>
              </w:tc>
              <w:tc>
                <w:tcPr>
                  <w:tcW w:w="2913" w:type="dxa"/>
                  <w:vMerge w:val="continue"/>
                  <w:vAlign w:val="center"/>
                </w:tcPr>
                <w:p w14:paraId="4B26F197">
                  <w:pPr>
                    <w:pStyle w:val="42"/>
                  </w:pPr>
                </w:p>
              </w:tc>
              <w:tc>
                <w:tcPr>
                  <w:tcW w:w="3728" w:type="dxa"/>
                  <w:shd w:val="clear" w:color="000000" w:fill="FFFFFF"/>
                  <w:noWrap/>
                  <w:vAlign w:val="center"/>
                </w:tcPr>
                <w:p w14:paraId="300F005A">
                  <w:pPr>
                    <w:pStyle w:val="42"/>
                    <w:rPr>
                      <w:i/>
                      <w:iCs/>
                    </w:rPr>
                  </w:pPr>
                  <w:r>
                    <w:rPr>
                      <w:i/>
                      <w:iCs/>
                    </w:rPr>
                    <w:t>静泽蛭 Helobdella nuda</w:t>
                  </w:r>
                </w:p>
              </w:tc>
            </w:tr>
            <w:tr w14:paraId="1AC33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B297859">
                  <w:pPr>
                    <w:pStyle w:val="42"/>
                  </w:pPr>
                </w:p>
              </w:tc>
              <w:tc>
                <w:tcPr>
                  <w:tcW w:w="2913" w:type="dxa"/>
                  <w:vMerge w:val="restart"/>
                  <w:shd w:val="clear" w:color="000000" w:fill="FFFFFF"/>
                  <w:vAlign w:val="center"/>
                </w:tcPr>
                <w:p w14:paraId="70FABE34">
                  <w:pPr>
                    <w:pStyle w:val="42"/>
                  </w:pPr>
                  <w:r>
                    <w:t>颤蚓科 Tubificidae</w:t>
                  </w:r>
                </w:p>
              </w:tc>
              <w:tc>
                <w:tcPr>
                  <w:tcW w:w="3728" w:type="dxa"/>
                  <w:shd w:val="clear" w:color="000000" w:fill="FFFFFF"/>
                  <w:vAlign w:val="center"/>
                </w:tcPr>
                <w:p w14:paraId="5E5FC2DB">
                  <w:pPr>
                    <w:pStyle w:val="42"/>
                    <w:rPr>
                      <w:i/>
                      <w:iCs/>
                    </w:rPr>
                  </w:pPr>
                  <w:r>
                    <w:rPr>
                      <w:i/>
                      <w:iCs/>
                    </w:rPr>
                    <w:t>霍甫水丝蚓 Limnodrilus hoffmeisteri</w:t>
                  </w:r>
                </w:p>
              </w:tc>
            </w:tr>
            <w:tr w14:paraId="1AA95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4D16B95D">
                  <w:pPr>
                    <w:pStyle w:val="42"/>
                  </w:pPr>
                </w:p>
              </w:tc>
              <w:tc>
                <w:tcPr>
                  <w:tcW w:w="2913" w:type="dxa"/>
                  <w:vMerge w:val="continue"/>
                  <w:vAlign w:val="center"/>
                </w:tcPr>
                <w:p w14:paraId="7BD1F46E">
                  <w:pPr>
                    <w:pStyle w:val="42"/>
                  </w:pPr>
                </w:p>
              </w:tc>
              <w:tc>
                <w:tcPr>
                  <w:tcW w:w="3728" w:type="dxa"/>
                  <w:shd w:val="clear" w:color="000000" w:fill="FFFFFF"/>
                  <w:noWrap/>
                  <w:vAlign w:val="center"/>
                </w:tcPr>
                <w:p w14:paraId="409B2363">
                  <w:pPr>
                    <w:pStyle w:val="42"/>
                    <w:rPr>
                      <w:i/>
                      <w:iCs/>
                    </w:rPr>
                  </w:pPr>
                  <w:r>
                    <w:rPr>
                      <w:i/>
                      <w:iCs/>
                    </w:rPr>
                    <w:t>正颤蚓 Tubifex tubifex</w:t>
                  </w:r>
                </w:p>
              </w:tc>
            </w:tr>
            <w:tr w14:paraId="55955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6D8F58E3">
                  <w:pPr>
                    <w:pStyle w:val="42"/>
                  </w:pPr>
                </w:p>
              </w:tc>
              <w:tc>
                <w:tcPr>
                  <w:tcW w:w="2913" w:type="dxa"/>
                  <w:shd w:val="clear" w:color="000000" w:fill="FFFFFF"/>
                  <w:noWrap/>
                  <w:vAlign w:val="center"/>
                </w:tcPr>
                <w:p w14:paraId="2F51F8EC">
                  <w:pPr>
                    <w:pStyle w:val="42"/>
                  </w:pPr>
                  <w:r>
                    <w:t>水黾科Gerridae</w:t>
                  </w:r>
                </w:p>
              </w:tc>
              <w:tc>
                <w:tcPr>
                  <w:tcW w:w="3728" w:type="dxa"/>
                  <w:shd w:val="clear" w:color="000000" w:fill="FFFFFF"/>
                  <w:noWrap/>
                  <w:vAlign w:val="center"/>
                </w:tcPr>
                <w:p w14:paraId="76C74455">
                  <w:pPr>
                    <w:pStyle w:val="42"/>
                    <w:rPr>
                      <w:i/>
                      <w:iCs/>
                    </w:rPr>
                  </w:pPr>
                  <w:r>
                    <w:rPr>
                      <w:i/>
                      <w:iCs/>
                    </w:rPr>
                    <w:t>水黾Ephydra sp.</w:t>
                  </w:r>
                </w:p>
              </w:tc>
            </w:tr>
            <w:tr w14:paraId="2F4F6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restart"/>
                  <w:shd w:val="clear" w:color="000000" w:fill="FFFFFF"/>
                  <w:noWrap/>
                  <w:vAlign w:val="center"/>
                </w:tcPr>
                <w:p w14:paraId="5E7C82B1">
                  <w:pPr>
                    <w:pStyle w:val="42"/>
                  </w:pPr>
                  <w:r>
                    <w:t>水生昆虫Aquatic insects</w:t>
                  </w:r>
                </w:p>
              </w:tc>
              <w:tc>
                <w:tcPr>
                  <w:tcW w:w="2913" w:type="dxa"/>
                  <w:vMerge w:val="restart"/>
                  <w:shd w:val="clear" w:color="000000" w:fill="FFFFFF"/>
                  <w:noWrap/>
                  <w:vAlign w:val="center"/>
                </w:tcPr>
                <w:p w14:paraId="69AEA30E">
                  <w:pPr>
                    <w:pStyle w:val="42"/>
                  </w:pPr>
                  <w:r>
                    <w:t>寡脉蜉科Oligoneuriidae</w:t>
                  </w:r>
                </w:p>
              </w:tc>
              <w:tc>
                <w:tcPr>
                  <w:tcW w:w="3728" w:type="dxa"/>
                  <w:shd w:val="clear" w:color="000000" w:fill="FFFFFF"/>
                  <w:noWrap/>
                  <w:vAlign w:val="center"/>
                </w:tcPr>
                <w:p w14:paraId="6BB2395C">
                  <w:pPr>
                    <w:pStyle w:val="42"/>
                    <w:rPr>
                      <w:i/>
                      <w:iCs/>
                    </w:rPr>
                  </w:pPr>
                  <w:r>
                    <w:rPr>
                      <w:i/>
                      <w:iCs/>
                    </w:rPr>
                    <w:t>Choroterpes trifurcata</w:t>
                  </w:r>
                </w:p>
              </w:tc>
            </w:tr>
            <w:tr w14:paraId="5676A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1327A66F">
                  <w:pPr>
                    <w:pStyle w:val="42"/>
                  </w:pPr>
                </w:p>
              </w:tc>
              <w:tc>
                <w:tcPr>
                  <w:tcW w:w="2913" w:type="dxa"/>
                  <w:vMerge w:val="continue"/>
                  <w:vAlign w:val="center"/>
                </w:tcPr>
                <w:p w14:paraId="7328BEFF">
                  <w:pPr>
                    <w:pStyle w:val="42"/>
                  </w:pPr>
                </w:p>
              </w:tc>
              <w:tc>
                <w:tcPr>
                  <w:tcW w:w="3728" w:type="dxa"/>
                  <w:shd w:val="clear" w:color="000000" w:fill="FFFFFF"/>
                  <w:noWrap/>
                  <w:vAlign w:val="center"/>
                </w:tcPr>
                <w:p w14:paraId="7D343232">
                  <w:pPr>
                    <w:pStyle w:val="42"/>
                    <w:rPr>
                      <w:i/>
                      <w:iCs/>
                    </w:rPr>
                  </w:pPr>
                  <w:r>
                    <w:rPr>
                      <w:i/>
                      <w:iCs/>
                    </w:rPr>
                    <w:t>Paraleptophlebia sp.-1</w:t>
                  </w:r>
                </w:p>
              </w:tc>
            </w:tr>
            <w:tr w14:paraId="75BC3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1203028">
                  <w:pPr>
                    <w:pStyle w:val="42"/>
                  </w:pPr>
                </w:p>
              </w:tc>
              <w:tc>
                <w:tcPr>
                  <w:tcW w:w="2913" w:type="dxa"/>
                  <w:vMerge w:val="restart"/>
                  <w:shd w:val="clear" w:color="000000" w:fill="FFFFFF"/>
                  <w:noWrap/>
                  <w:vAlign w:val="center"/>
                </w:tcPr>
                <w:p w14:paraId="6AE430C4">
                  <w:pPr>
                    <w:pStyle w:val="42"/>
                  </w:pPr>
                  <w:r>
                    <w:t>四节蜉科Baetidae</w:t>
                  </w:r>
                </w:p>
              </w:tc>
              <w:tc>
                <w:tcPr>
                  <w:tcW w:w="3728" w:type="dxa"/>
                  <w:shd w:val="clear" w:color="000000" w:fill="FFFFFF"/>
                  <w:noWrap/>
                  <w:vAlign w:val="center"/>
                </w:tcPr>
                <w:p w14:paraId="4F2FBEEC">
                  <w:pPr>
                    <w:pStyle w:val="42"/>
                    <w:rPr>
                      <w:i/>
                      <w:iCs/>
                    </w:rPr>
                  </w:pPr>
                  <w:r>
                    <w:rPr>
                      <w:i/>
                      <w:iCs/>
                    </w:rPr>
                    <w:t>Cloeon dipterum</w:t>
                  </w:r>
                </w:p>
              </w:tc>
            </w:tr>
            <w:tr w14:paraId="54EB8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50960D74">
                  <w:pPr>
                    <w:pStyle w:val="42"/>
                  </w:pPr>
                </w:p>
              </w:tc>
              <w:tc>
                <w:tcPr>
                  <w:tcW w:w="2913" w:type="dxa"/>
                  <w:vMerge w:val="continue"/>
                  <w:vAlign w:val="center"/>
                </w:tcPr>
                <w:p w14:paraId="278F0611">
                  <w:pPr>
                    <w:pStyle w:val="42"/>
                  </w:pPr>
                </w:p>
              </w:tc>
              <w:tc>
                <w:tcPr>
                  <w:tcW w:w="3728" w:type="dxa"/>
                  <w:shd w:val="clear" w:color="000000" w:fill="FFFFFF"/>
                  <w:noWrap/>
                  <w:vAlign w:val="center"/>
                </w:tcPr>
                <w:p w14:paraId="34E8755F">
                  <w:pPr>
                    <w:pStyle w:val="42"/>
                    <w:rPr>
                      <w:i/>
                      <w:iCs/>
                    </w:rPr>
                  </w:pPr>
                  <w:r>
                    <w:rPr>
                      <w:i/>
                      <w:iCs/>
                    </w:rPr>
                    <w:t>Baetiella japonica</w:t>
                  </w:r>
                </w:p>
              </w:tc>
            </w:tr>
            <w:tr w14:paraId="18B70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6A348ABB">
                  <w:pPr>
                    <w:pStyle w:val="42"/>
                  </w:pPr>
                </w:p>
              </w:tc>
              <w:tc>
                <w:tcPr>
                  <w:tcW w:w="2913" w:type="dxa"/>
                  <w:vMerge w:val="restart"/>
                  <w:shd w:val="clear" w:color="000000" w:fill="FFFFFF"/>
                  <w:vAlign w:val="center"/>
                </w:tcPr>
                <w:p w14:paraId="7CBB1CBE">
                  <w:pPr>
                    <w:pStyle w:val="42"/>
                  </w:pPr>
                  <w:r>
                    <w:t>短丝蜉科Siphlonuridae</w:t>
                  </w:r>
                </w:p>
              </w:tc>
              <w:tc>
                <w:tcPr>
                  <w:tcW w:w="3728" w:type="dxa"/>
                  <w:shd w:val="clear" w:color="000000" w:fill="FFFFFF"/>
                  <w:noWrap/>
                  <w:vAlign w:val="center"/>
                </w:tcPr>
                <w:p w14:paraId="314AAC0C">
                  <w:pPr>
                    <w:pStyle w:val="42"/>
                    <w:rPr>
                      <w:i/>
                      <w:iCs/>
                    </w:rPr>
                  </w:pPr>
                  <w:r>
                    <w:rPr>
                      <w:i/>
                      <w:iCs/>
                    </w:rPr>
                    <w:t>Isonychia japonica</w:t>
                  </w:r>
                </w:p>
              </w:tc>
            </w:tr>
            <w:tr w14:paraId="21D4F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40BF7D34">
                  <w:pPr>
                    <w:pStyle w:val="42"/>
                  </w:pPr>
                </w:p>
              </w:tc>
              <w:tc>
                <w:tcPr>
                  <w:tcW w:w="2913" w:type="dxa"/>
                  <w:vMerge w:val="continue"/>
                  <w:vAlign w:val="center"/>
                </w:tcPr>
                <w:p w14:paraId="0D331BF8">
                  <w:pPr>
                    <w:pStyle w:val="42"/>
                  </w:pPr>
                </w:p>
              </w:tc>
              <w:tc>
                <w:tcPr>
                  <w:tcW w:w="3728" w:type="dxa"/>
                  <w:shd w:val="clear" w:color="000000" w:fill="FFFFFF"/>
                  <w:noWrap/>
                  <w:vAlign w:val="center"/>
                </w:tcPr>
                <w:p w14:paraId="7CC4B808">
                  <w:pPr>
                    <w:pStyle w:val="42"/>
                    <w:rPr>
                      <w:i/>
                      <w:iCs/>
                    </w:rPr>
                  </w:pPr>
                  <w:r>
                    <w:rPr>
                      <w:i/>
                      <w:iCs/>
                    </w:rPr>
                    <w:t>Siphlonurus sp.</w:t>
                  </w:r>
                </w:p>
              </w:tc>
            </w:tr>
            <w:tr w14:paraId="73D15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02AB1EDB">
                  <w:pPr>
                    <w:pStyle w:val="42"/>
                  </w:pPr>
                </w:p>
              </w:tc>
              <w:tc>
                <w:tcPr>
                  <w:tcW w:w="2913" w:type="dxa"/>
                  <w:vMerge w:val="continue"/>
                  <w:vAlign w:val="center"/>
                </w:tcPr>
                <w:p w14:paraId="79CB7958">
                  <w:pPr>
                    <w:pStyle w:val="42"/>
                  </w:pPr>
                </w:p>
              </w:tc>
              <w:tc>
                <w:tcPr>
                  <w:tcW w:w="3728" w:type="dxa"/>
                  <w:shd w:val="clear" w:color="000000" w:fill="FFFFFF"/>
                  <w:noWrap/>
                  <w:vAlign w:val="center"/>
                </w:tcPr>
                <w:p w14:paraId="0DFB113F">
                  <w:pPr>
                    <w:pStyle w:val="42"/>
                    <w:rPr>
                      <w:i/>
                      <w:iCs/>
                    </w:rPr>
                  </w:pPr>
                  <w:r>
                    <w:rPr>
                      <w:i/>
                      <w:iCs/>
                    </w:rPr>
                    <w:t>Ameletus sp.</w:t>
                  </w:r>
                </w:p>
              </w:tc>
            </w:tr>
            <w:tr w14:paraId="433F4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4092A9CD">
                  <w:pPr>
                    <w:pStyle w:val="42"/>
                  </w:pPr>
                </w:p>
              </w:tc>
              <w:tc>
                <w:tcPr>
                  <w:tcW w:w="2913" w:type="dxa"/>
                  <w:vMerge w:val="continue"/>
                  <w:vAlign w:val="center"/>
                </w:tcPr>
                <w:p w14:paraId="5588FC1B">
                  <w:pPr>
                    <w:pStyle w:val="42"/>
                  </w:pPr>
                </w:p>
              </w:tc>
              <w:tc>
                <w:tcPr>
                  <w:tcW w:w="3728" w:type="dxa"/>
                  <w:shd w:val="clear" w:color="000000" w:fill="FFFFFF"/>
                  <w:noWrap/>
                  <w:vAlign w:val="center"/>
                </w:tcPr>
                <w:p w14:paraId="033C8176">
                  <w:pPr>
                    <w:pStyle w:val="42"/>
                    <w:rPr>
                      <w:i/>
                      <w:iCs/>
                    </w:rPr>
                  </w:pPr>
                  <w:r>
                    <w:rPr>
                      <w:i/>
                      <w:iCs/>
                    </w:rPr>
                    <w:t>Dpteromimus sp.</w:t>
                  </w:r>
                </w:p>
              </w:tc>
            </w:tr>
            <w:tr w14:paraId="0F5AF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6D149D24">
                  <w:pPr>
                    <w:pStyle w:val="42"/>
                  </w:pPr>
                </w:p>
              </w:tc>
              <w:tc>
                <w:tcPr>
                  <w:tcW w:w="2913" w:type="dxa"/>
                  <w:vMerge w:val="restart"/>
                  <w:shd w:val="clear" w:color="000000" w:fill="FFFFFF"/>
                  <w:noWrap/>
                  <w:vAlign w:val="center"/>
                </w:tcPr>
                <w:p w14:paraId="4ADD55A1">
                  <w:pPr>
                    <w:pStyle w:val="42"/>
                  </w:pPr>
                  <w:r>
                    <w:t>扁蜉科 Heptageniidae</w:t>
                  </w:r>
                </w:p>
              </w:tc>
              <w:tc>
                <w:tcPr>
                  <w:tcW w:w="3728" w:type="dxa"/>
                  <w:shd w:val="clear" w:color="000000" w:fill="FFFFFF"/>
                  <w:noWrap/>
                  <w:vAlign w:val="center"/>
                </w:tcPr>
                <w:p w14:paraId="282ADC87">
                  <w:pPr>
                    <w:pStyle w:val="42"/>
                    <w:rPr>
                      <w:i/>
                      <w:iCs/>
                    </w:rPr>
                  </w:pPr>
                  <w:r>
                    <w:rPr>
                      <w:i/>
                      <w:iCs/>
                    </w:rPr>
                    <w:t xml:space="preserve">高翔蜉Epeorus sp. </w:t>
                  </w:r>
                </w:p>
              </w:tc>
            </w:tr>
            <w:tr w14:paraId="7396E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F7A6414">
                  <w:pPr>
                    <w:pStyle w:val="42"/>
                  </w:pPr>
                </w:p>
              </w:tc>
              <w:tc>
                <w:tcPr>
                  <w:tcW w:w="2913" w:type="dxa"/>
                  <w:vMerge w:val="continue"/>
                  <w:vAlign w:val="center"/>
                </w:tcPr>
                <w:p w14:paraId="055E277D">
                  <w:pPr>
                    <w:pStyle w:val="42"/>
                  </w:pPr>
                </w:p>
              </w:tc>
              <w:tc>
                <w:tcPr>
                  <w:tcW w:w="3728" w:type="dxa"/>
                  <w:shd w:val="clear" w:color="000000" w:fill="FFFFFF"/>
                  <w:noWrap/>
                  <w:vAlign w:val="center"/>
                </w:tcPr>
                <w:p w14:paraId="081DA02F">
                  <w:pPr>
                    <w:pStyle w:val="42"/>
                    <w:rPr>
                      <w:i/>
                      <w:iCs/>
                    </w:rPr>
                  </w:pPr>
                  <w:r>
                    <w:rPr>
                      <w:i/>
                      <w:iCs/>
                    </w:rPr>
                    <w:t>Ecdyonurus sp.EC</w:t>
                  </w:r>
                </w:p>
              </w:tc>
            </w:tr>
            <w:tr w14:paraId="08E75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7E26B5EB">
                  <w:pPr>
                    <w:pStyle w:val="42"/>
                  </w:pPr>
                </w:p>
              </w:tc>
              <w:tc>
                <w:tcPr>
                  <w:tcW w:w="2913" w:type="dxa"/>
                  <w:vMerge w:val="continue"/>
                  <w:vAlign w:val="center"/>
                </w:tcPr>
                <w:p w14:paraId="2E1DE624">
                  <w:pPr>
                    <w:pStyle w:val="42"/>
                  </w:pPr>
                </w:p>
              </w:tc>
              <w:tc>
                <w:tcPr>
                  <w:tcW w:w="3728" w:type="dxa"/>
                  <w:shd w:val="clear" w:color="000000" w:fill="FFFFFF"/>
                  <w:noWrap/>
                  <w:vAlign w:val="center"/>
                </w:tcPr>
                <w:p w14:paraId="4C12D0F6">
                  <w:pPr>
                    <w:pStyle w:val="42"/>
                    <w:rPr>
                      <w:i/>
                      <w:iCs/>
                    </w:rPr>
                  </w:pPr>
                  <w:r>
                    <w:rPr>
                      <w:i/>
                      <w:iCs/>
                    </w:rPr>
                    <w:t>Ecdyonurus sp.EB</w:t>
                  </w:r>
                </w:p>
              </w:tc>
            </w:tr>
            <w:tr w14:paraId="518C5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F10467C">
                  <w:pPr>
                    <w:pStyle w:val="42"/>
                  </w:pPr>
                </w:p>
              </w:tc>
              <w:tc>
                <w:tcPr>
                  <w:tcW w:w="2913" w:type="dxa"/>
                  <w:vMerge w:val="continue"/>
                  <w:vAlign w:val="center"/>
                </w:tcPr>
                <w:p w14:paraId="1E6CBF24">
                  <w:pPr>
                    <w:pStyle w:val="42"/>
                  </w:pPr>
                </w:p>
              </w:tc>
              <w:tc>
                <w:tcPr>
                  <w:tcW w:w="3728" w:type="dxa"/>
                  <w:shd w:val="clear" w:color="000000" w:fill="FFFFFF"/>
                  <w:noWrap/>
                  <w:vAlign w:val="center"/>
                </w:tcPr>
                <w:p w14:paraId="4CED957B">
                  <w:pPr>
                    <w:pStyle w:val="42"/>
                    <w:rPr>
                      <w:i/>
                      <w:iCs/>
                    </w:rPr>
                  </w:pPr>
                  <w:r>
                    <w:rPr>
                      <w:i/>
                      <w:iCs/>
                    </w:rPr>
                    <w:t>Ecdyonurus sp.</w:t>
                  </w:r>
                </w:p>
              </w:tc>
            </w:tr>
            <w:tr w14:paraId="5EAE0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109F838A">
                  <w:pPr>
                    <w:pStyle w:val="42"/>
                  </w:pPr>
                </w:p>
              </w:tc>
              <w:tc>
                <w:tcPr>
                  <w:tcW w:w="2913" w:type="dxa"/>
                  <w:vMerge w:val="restart"/>
                  <w:shd w:val="clear" w:color="000000" w:fill="FFFFFF"/>
                  <w:noWrap/>
                  <w:vAlign w:val="center"/>
                </w:tcPr>
                <w:p w14:paraId="5285FB88">
                  <w:pPr>
                    <w:pStyle w:val="42"/>
                  </w:pPr>
                  <w:r>
                    <w:t>小蜉科Ephemerellidae</w:t>
                  </w:r>
                </w:p>
              </w:tc>
              <w:tc>
                <w:tcPr>
                  <w:tcW w:w="3728" w:type="dxa"/>
                  <w:shd w:val="clear" w:color="000000" w:fill="FFFFFF"/>
                  <w:noWrap/>
                  <w:vAlign w:val="center"/>
                </w:tcPr>
                <w:p w14:paraId="790F654C">
                  <w:pPr>
                    <w:pStyle w:val="42"/>
                    <w:rPr>
                      <w:i/>
                      <w:iCs/>
                    </w:rPr>
                  </w:pPr>
                  <w:r>
                    <w:rPr>
                      <w:i/>
                      <w:iCs/>
                    </w:rPr>
                    <w:t>Ephemerella sp.Nf</w:t>
                  </w:r>
                </w:p>
              </w:tc>
            </w:tr>
            <w:tr w14:paraId="4E1C5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56392E8E">
                  <w:pPr>
                    <w:pStyle w:val="42"/>
                  </w:pPr>
                </w:p>
              </w:tc>
              <w:tc>
                <w:tcPr>
                  <w:tcW w:w="2913" w:type="dxa"/>
                  <w:vMerge w:val="continue"/>
                  <w:vAlign w:val="center"/>
                </w:tcPr>
                <w:p w14:paraId="6ABBD972">
                  <w:pPr>
                    <w:pStyle w:val="42"/>
                  </w:pPr>
                </w:p>
              </w:tc>
              <w:tc>
                <w:tcPr>
                  <w:tcW w:w="3728" w:type="dxa"/>
                  <w:shd w:val="clear" w:color="000000" w:fill="FFFFFF"/>
                  <w:noWrap/>
                  <w:vAlign w:val="center"/>
                </w:tcPr>
                <w:p w14:paraId="4391DEC7">
                  <w:pPr>
                    <w:pStyle w:val="42"/>
                    <w:rPr>
                      <w:i/>
                      <w:iCs/>
                    </w:rPr>
                  </w:pPr>
                  <w:r>
                    <w:rPr>
                      <w:i/>
                      <w:iCs/>
                    </w:rPr>
                    <w:t>Ephemerella sp.EA</w:t>
                  </w:r>
                </w:p>
              </w:tc>
            </w:tr>
            <w:tr w14:paraId="7A04E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30090E34">
                  <w:pPr>
                    <w:pStyle w:val="42"/>
                  </w:pPr>
                </w:p>
              </w:tc>
              <w:tc>
                <w:tcPr>
                  <w:tcW w:w="2913" w:type="dxa"/>
                  <w:vMerge w:val="continue"/>
                  <w:vAlign w:val="center"/>
                </w:tcPr>
                <w:p w14:paraId="6672C0A6">
                  <w:pPr>
                    <w:pStyle w:val="42"/>
                  </w:pPr>
                </w:p>
              </w:tc>
              <w:tc>
                <w:tcPr>
                  <w:tcW w:w="3728" w:type="dxa"/>
                  <w:shd w:val="clear" w:color="000000" w:fill="FFFFFF"/>
                  <w:noWrap/>
                  <w:vAlign w:val="center"/>
                </w:tcPr>
                <w:p w14:paraId="5B557F63">
                  <w:pPr>
                    <w:pStyle w:val="42"/>
                    <w:rPr>
                      <w:i/>
                      <w:iCs/>
                    </w:rPr>
                  </w:pPr>
                  <w:r>
                    <w:rPr>
                      <w:i/>
                      <w:iCs/>
                    </w:rPr>
                    <w:t>Ephemerella sp.ED</w:t>
                  </w:r>
                </w:p>
              </w:tc>
            </w:tr>
            <w:tr w14:paraId="5593E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8FAB946">
                  <w:pPr>
                    <w:pStyle w:val="42"/>
                  </w:pPr>
                </w:p>
              </w:tc>
              <w:tc>
                <w:tcPr>
                  <w:tcW w:w="2913" w:type="dxa"/>
                  <w:shd w:val="clear" w:color="000000" w:fill="FFFFFF"/>
                  <w:noWrap/>
                  <w:vAlign w:val="center"/>
                </w:tcPr>
                <w:p w14:paraId="35A27498">
                  <w:pPr>
                    <w:pStyle w:val="42"/>
                  </w:pPr>
                  <w:r>
                    <w:t>蜉蝣科 Ephemeridae</w:t>
                  </w:r>
                </w:p>
              </w:tc>
              <w:tc>
                <w:tcPr>
                  <w:tcW w:w="3728" w:type="dxa"/>
                  <w:shd w:val="clear" w:color="000000" w:fill="FFFFFF"/>
                  <w:noWrap/>
                  <w:vAlign w:val="center"/>
                </w:tcPr>
                <w:p w14:paraId="345FAD9B">
                  <w:pPr>
                    <w:pStyle w:val="42"/>
                    <w:rPr>
                      <w:i/>
                      <w:iCs/>
                    </w:rPr>
                  </w:pPr>
                  <w:r>
                    <w:rPr>
                      <w:i/>
                      <w:iCs/>
                    </w:rPr>
                    <w:t>生米蜉Ephemera sp.</w:t>
                  </w:r>
                </w:p>
              </w:tc>
            </w:tr>
            <w:tr w14:paraId="68E69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69BE0E0">
                  <w:pPr>
                    <w:pStyle w:val="42"/>
                  </w:pPr>
                </w:p>
              </w:tc>
              <w:tc>
                <w:tcPr>
                  <w:tcW w:w="2913" w:type="dxa"/>
                  <w:vMerge w:val="restart"/>
                  <w:shd w:val="clear" w:color="000000" w:fill="FFFFFF"/>
                  <w:noWrap/>
                  <w:vAlign w:val="center"/>
                </w:tcPr>
                <w:p w14:paraId="450EBD6D">
                  <w:pPr>
                    <w:pStyle w:val="42"/>
                  </w:pPr>
                  <w:r>
                    <w:t>襀科 Perlidae</w:t>
                  </w:r>
                </w:p>
              </w:tc>
              <w:tc>
                <w:tcPr>
                  <w:tcW w:w="3728" w:type="dxa"/>
                  <w:shd w:val="clear" w:color="000000" w:fill="FFFFFF"/>
                  <w:noWrap/>
                  <w:vAlign w:val="center"/>
                </w:tcPr>
                <w:p w14:paraId="6185E672">
                  <w:pPr>
                    <w:pStyle w:val="42"/>
                    <w:rPr>
                      <w:i/>
                      <w:iCs/>
                    </w:rPr>
                  </w:pPr>
                  <w:r>
                    <w:rPr>
                      <w:i/>
                      <w:iCs/>
                    </w:rPr>
                    <w:t>Caroperla padfica</w:t>
                  </w:r>
                </w:p>
              </w:tc>
            </w:tr>
            <w:tr w14:paraId="600D5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71B5865D">
                  <w:pPr>
                    <w:pStyle w:val="42"/>
                  </w:pPr>
                </w:p>
              </w:tc>
              <w:tc>
                <w:tcPr>
                  <w:tcW w:w="2913" w:type="dxa"/>
                  <w:vMerge w:val="continue"/>
                  <w:vAlign w:val="center"/>
                </w:tcPr>
                <w:p w14:paraId="5BF08BB4">
                  <w:pPr>
                    <w:pStyle w:val="42"/>
                  </w:pPr>
                </w:p>
              </w:tc>
              <w:tc>
                <w:tcPr>
                  <w:tcW w:w="3728" w:type="dxa"/>
                  <w:shd w:val="clear" w:color="000000" w:fill="FFFFFF"/>
                  <w:noWrap/>
                  <w:vAlign w:val="center"/>
                </w:tcPr>
                <w:p w14:paraId="362C6437">
                  <w:pPr>
                    <w:pStyle w:val="42"/>
                    <w:rPr>
                      <w:i/>
                      <w:iCs/>
                    </w:rPr>
                  </w:pPr>
                  <w:r>
                    <w:rPr>
                      <w:i/>
                      <w:iCs/>
                    </w:rPr>
                    <w:t>Perla tibialis</w:t>
                  </w:r>
                </w:p>
              </w:tc>
            </w:tr>
            <w:tr w14:paraId="4FC02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7A5EF1F4">
                  <w:pPr>
                    <w:pStyle w:val="42"/>
                  </w:pPr>
                </w:p>
              </w:tc>
              <w:tc>
                <w:tcPr>
                  <w:tcW w:w="2913" w:type="dxa"/>
                  <w:vMerge w:val="restart"/>
                  <w:shd w:val="clear" w:color="000000" w:fill="FFFFFF"/>
                  <w:noWrap/>
                  <w:vAlign w:val="center"/>
                </w:tcPr>
                <w:p w14:paraId="27751F6B">
                  <w:pPr>
                    <w:pStyle w:val="42"/>
                  </w:pPr>
                  <w:r>
                    <w:t>细裳蜉科 Leptophlebiidae</w:t>
                  </w:r>
                </w:p>
              </w:tc>
              <w:tc>
                <w:tcPr>
                  <w:tcW w:w="3728" w:type="dxa"/>
                  <w:shd w:val="clear" w:color="000000" w:fill="FFFFFF"/>
                  <w:noWrap/>
                  <w:vAlign w:val="center"/>
                </w:tcPr>
                <w:p w14:paraId="5343166D">
                  <w:pPr>
                    <w:pStyle w:val="42"/>
                    <w:rPr>
                      <w:i/>
                      <w:iCs/>
                    </w:rPr>
                  </w:pPr>
                  <w:r>
                    <w:rPr>
                      <w:i/>
                      <w:iCs/>
                    </w:rPr>
                    <w:t>Setodes sp.SB</w:t>
                  </w:r>
                </w:p>
              </w:tc>
            </w:tr>
            <w:tr w14:paraId="686E3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19122514">
                  <w:pPr>
                    <w:pStyle w:val="42"/>
                  </w:pPr>
                </w:p>
              </w:tc>
              <w:tc>
                <w:tcPr>
                  <w:tcW w:w="2913" w:type="dxa"/>
                  <w:vMerge w:val="continue"/>
                  <w:vAlign w:val="center"/>
                </w:tcPr>
                <w:p w14:paraId="68253ECA">
                  <w:pPr>
                    <w:pStyle w:val="42"/>
                  </w:pPr>
                </w:p>
              </w:tc>
              <w:tc>
                <w:tcPr>
                  <w:tcW w:w="3728" w:type="dxa"/>
                  <w:shd w:val="clear" w:color="000000" w:fill="FFFFFF"/>
                  <w:noWrap/>
                  <w:vAlign w:val="center"/>
                </w:tcPr>
                <w:p w14:paraId="77E6B301">
                  <w:pPr>
                    <w:pStyle w:val="42"/>
                    <w:rPr>
                      <w:i/>
                      <w:iCs/>
                    </w:rPr>
                  </w:pPr>
                  <w:r>
                    <w:rPr>
                      <w:i/>
                      <w:iCs/>
                    </w:rPr>
                    <w:t>Athripsodes sp.LC</w:t>
                  </w:r>
                </w:p>
              </w:tc>
            </w:tr>
            <w:tr w14:paraId="150F7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670A77A8">
                  <w:pPr>
                    <w:pStyle w:val="42"/>
                  </w:pPr>
                </w:p>
              </w:tc>
              <w:tc>
                <w:tcPr>
                  <w:tcW w:w="2913" w:type="dxa"/>
                  <w:vMerge w:val="continue"/>
                  <w:vAlign w:val="center"/>
                </w:tcPr>
                <w:p w14:paraId="179D62C4">
                  <w:pPr>
                    <w:pStyle w:val="42"/>
                  </w:pPr>
                </w:p>
              </w:tc>
              <w:tc>
                <w:tcPr>
                  <w:tcW w:w="3728" w:type="dxa"/>
                  <w:shd w:val="clear" w:color="000000" w:fill="FFFFFF"/>
                  <w:noWrap/>
                  <w:vAlign w:val="center"/>
                </w:tcPr>
                <w:p w14:paraId="0BE2C0EA">
                  <w:pPr>
                    <w:pStyle w:val="42"/>
                    <w:rPr>
                      <w:i/>
                      <w:iCs/>
                    </w:rPr>
                  </w:pPr>
                  <w:r>
                    <w:rPr>
                      <w:i/>
                      <w:iCs/>
                    </w:rPr>
                    <w:t>Mystacides sp.</w:t>
                  </w:r>
                </w:p>
              </w:tc>
            </w:tr>
            <w:tr w14:paraId="3D242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0E6045F9">
                  <w:pPr>
                    <w:pStyle w:val="42"/>
                  </w:pPr>
                </w:p>
              </w:tc>
              <w:tc>
                <w:tcPr>
                  <w:tcW w:w="2913" w:type="dxa"/>
                  <w:vMerge w:val="restart"/>
                  <w:shd w:val="clear" w:color="000000" w:fill="FFFFFF"/>
                  <w:noWrap/>
                  <w:vAlign w:val="center"/>
                </w:tcPr>
                <w:p w14:paraId="1E6921BF">
                  <w:pPr>
                    <w:pStyle w:val="42"/>
                  </w:pPr>
                  <w:r>
                    <w:t>毛石蛾科Sericostomatidae</w:t>
                  </w:r>
                </w:p>
              </w:tc>
              <w:tc>
                <w:tcPr>
                  <w:tcW w:w="3728" w:type="dxa"/>
                  <w:shd w:val="clear" w:color="000000" w:fill="FFFFFF"/>
                  <w:noWrap/>
                  <w:vAlign w:val="center"/>
                </w:tcPr>
                <w:p w14:paraId="42407062">
                  <w:pPr>
                    <w:pStyle w:val="42"/>
                    <w:rPr>
                      <w:i/>
                      <w:iCs/>
                    </w:rPr>
                  </w:pPr>
                  <w:r>
                    <w:rPr>
                      <w:i/>
                      <w:iCs/>
                    </w:rPr>
                    <w:t>Brachycentrus sp.</w:t>
                  </w:r>
                </w:p>
              </w:tc>
            </w:tr>
            <w:tr w14:paraId="101F9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F8BEEF1">
                  <w:pPr>
                    <w:pStyle w:val="42"/>
                  </w:pPr>
                </w:p>
              </w:tc>
              <w:tc>
                <w:tcPr>
                  <w:tcW w:w="2913" w:type="dxa"/>
                  <w:vMerge w:val="continue"/>
                  <w:vAlign w:val="center"/>
                </w:tcPr>
                <w:p w14:paraId="265A6AEB">
                  <w:pPr>
                    <w:pStyle w:val="42"/>
                  </w:pPr>
                </w:p>
              </w:tc>
              <w:tc>
                <w:tcPr>
                  <w:tcW w:w="3728" w:type="dxa"/>
                  <w:shd w:val="clear" w:color="000000" w:fill="FFFFFF"/>
                  <w:noWrap/>
                  <w:vAlign w:val="center"/>
                </w:tcPr>
                <w:p w14:paraId="75C48B44">
                  <w:pPr>
                    <w:pStyle w:val="42"/>
                    <w:rPr>
                      <w:i/>
                      <w:iCs/>
                    </w:rPr>
                  </w:pPr>
                  <w:r>
                    <w:rPr>
                      <w:i/>
                      <w:iCs/>
                    </w:rPr>
                    <w:t>Goera japonica</w:t>
                  </w:r>
                </w:p>
              </w:tc>
            </w:tr>
            <w:tr w14:paraId="0AD03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7FD27DD">
                  <w:pPr>
                    <w:pStyle w:val="42"/>
                  </w:pPr>
                </w:p>
              </w:tc>
              <w:tc>
                <w:tcPr>
                  <w:tcW w:w="2913" w:type="dxa"/>
                  <w:vMerge w:val="continue"/>
                  <w:vAlign w:val="center"/>
                </w:tcPr>
                <w:p w14:paraId="35EF162A">
                  <w:pPr>
                    <w:pStyle w:val="42"/>
                  </w:pPr>
                </w:p>
              </w:tc>
              <w:tc>
                <w:tcPr>
                  <w:tcW w:w="3728" w:type="dxa"/>
                  <w:shd w:val="clear" w:color="000000" w:fill="FFFFFF"/>
                  <w:noWrap/>
                  <w:vAlign w:val="center"/>
                </w:tcPr>
                <w:p w14:paraId="30320AAC">
                  <w:pPr>
                    <w:pStyle w:val="42"/>
                    <w:rPr>
                      <w:i/>
                      <w:iCs/>
                    </w:rPr>
                  </w:pPr>
                  <w:r>
                    <w:rPr>
                      <w:i/>
                      <w:iCs/>
                    </w:rPr>
                    <w:t>Goera sp.</w:t>
                  </w:r>
                </w:p>
              </w:tc>
            </w:tr>
            <w:tr w14:paraId="4F575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7017B825">
                  <w:pPr>
                    <w:pStyle w:val="42"/>
                  </w:pPr>
                </w:p>
              </w:tc>
              <w:tc>
                <w:tcPr>
                  <w:tcW w:w="2913" w:type="dxa"/>
                  <w:vMerge w:val="continue"/>
                  <w:vAlign w:val="center"/>
                </w:tcPr>
                <w:p w14:paraId="590050FC">
                  <w:pPr>
                    <w:pStyle w:val="42"/>
                  </w:pPr>
                </w:p>
              </w:tc>
              <w:tc>
                <w:tcPr>
                  <w:tcW w:w="3728" w:type="dxa"/>
                  <w:shd w:val="clear" w:color="000000" w:fill="FFFFFF"/>
                  <w:noWrap/>
                  <w:vAlign w:val="center"/>
                </w:tcPr>
                <w:p w14:paraId="7C2FC2F6">
                  <w:pPr>
                    <w:pStyle w:val="42"/>
                    <w:rPr>
                      <w:i/>
                      <w:iCs/>
                    </w:rPr>
                  </w:pPr>
                  <w:r>
                    <w:rPr>
                      <w:i/>
                      <w:iCs/>
                    </w:rPr>
                    <w:t>Micrasema sp.</w:t>
                  </w:r>
                </w:p>
              </w:tc>
            </w:tr>
            <w:tr w14:paraId="4EC21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6559E743">
                  <w:pPr>
                    <w:pStyle w:val="42"/>
                  </w:pPr>
                </w:p>
              </w:tc>
              <w:tc>
                <w:tcPr>
                  <w:tcW w:w="2913" w:type="dxa"/>
                  <w:vMerge w:val="restart"/>
                  <w:shd w:val="clear" w:color="000000" w:fill="FFFFFF"/>
                  <w:noWrap/>
                  <w:vAlign w:val="center"/>
                </w:tcPr>
                <w:p w14:paraId="4509F0AC">
                  <w:pPr>
                    <w:pStyle w:val="42"/>
                  </w:pPr>
                  <w:r>
                    <w:t>纹石蛾科 Hydropsychidae</w:t>
                  </w:r>
                </w:p>
              </w:tc>
              <w:tc>
                <w:tcPr>
                  <w:tcW w:w="3728" w:type="dxa"/>
                  <w:shd w:val="clear" w:color="000000" w:fill="FFFFFF"/>
                  <w:noWrap/>
                  <w:vAlign w:val="center"/>
                </w:tcPr>
                <w:p w14:paraId="2962CF93">
                  <w:pPr>
                    <w:pStyle w:val="42"/>
                    <w:rPr>
                      <w:i/>
                      <w:iCs/>
                    </w:rPr>
                  </w:pPr>
                  <w:r>
                    <w:rPr>
                      <w:i/>
                      <w:iCs/>
                    </w:rPr>
                    <w:t>灰纹石蛾Hydropsyche ulmeri</w:t>
                  </w:r>
                </w:p>
              </w:tc>
            </w:tr>
            <w:tr w14:paraId="163F2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06644224">
                  <w:pPr>
                    <w:pStyle w:val="42"/>
                  </w:pPr>
                </w:p>
              </w:tc>
              <w:tc>
                <w:tcPr>
                  <w:tcW w:w="2913" w:type="dxa"/>
                  <w:vMerge w:val="continue"/>
                  <w:vAlign w:val="center"/>
                </w:tcPr>
                <w:p w14:paraId="4F4A0331">
                  <w:pPr>
                    <w:pStyle w:val="42"/>
                  </w:pPr>
                </w:p>
              </w:tc>
              <w:tc>
                <w:tcPr>
                  <w:tcW w:w="3728" w:type="dxa"/>
                  <w:shd w:val="clear" w:color="000000" w:fill="FFFFFF"/>
                  <w:noWrap/>
                  <w:vAlign w:val="center"/>
                </w:tcPr>
                <w:p w14:paraId="65695DC5">
                  <w:pPr>
                    <w:pStyle w:val="42"/>
                    <w:rPr>
                      <w:i/>
                      <w:iCs/>
                    </w:rPr>
                  </w:pPr>
                  <w:r>
                    <w:rPr>
                      <w:i/>
                      <w:iCs/>
                    </w:rPr>
                    <w:t>Diplectrona  sp.</w:t>
                  </w:r>
                </w:p>
              </w:tc>
            </w:tr>
            <w:tr w14:paraId="554A5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100C4ECF">
                  <w:pPr>
                    <w:pStyle w:val="42"/>
                  </w:pPr>
                </w:p>
              </w:tc>
              <w:tc>
                <w:tcPr>
                  <w:tcW w:w="2913" w:type="dxa"/>
                  <w:vMerge w:val="restart"/>
                  <w:shd w:val="clear" w:color="000000" w:fill="FFFFFF"/>
                  <w:noWrap/>
                  <w:vAlign w:val="center"/>
                </w:tcPr>
                <w:p w14:paraId="43381FFC">
                  <w:pPr>
                    <w:pStyle w:val="42"/>
                  </w:pPr>
                  <w:r>
                    <w:t>多距石蛾科 Polycentropidae</w:t>
                  </w:r>
                </w:p>
              </w:tc>
              <w:tc>
                <w:tcPr>
                  <w:tcW w:w="3728" w:type="dxa"/>
                  <w:shd w:val="clear" w:color="000000" w:fill="FFFFFF"/>
                  <w:noWrap/>
                  <w:vAlign w:val="center"/>
                </w:tcPr>
                <w:p w14:paraId="5B2FD6A5">
                  <w:pPr>
                    <w:pStyle w:val="42"/>
                    <w:rPr>
                      <w:i/>
                      <w:iCs/>
                    </w:rPr>
                  </w:pPr>
                  <w:r>
                    <w:rPr>
                      <w:i/>
                      <w:iCs/>
                    </w:rPr>
                    <w:t>Psychomyia sp.MA</w:t>
                  </w:r>
                </w:p>
              </w:tc>
            </w:tr>
            <w:tr w14:paraId="53D36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0300BD2">
                  <w:pPr>
                    <w:pStyle w:val="42"/>
                  </w:pPr>
                </w:p>
              </w:tc>
              <w:tc>
                <w:tcPr>
                  <w:tcW w:w="2913" w:type="dxa"/>
                  <w:vMerge w:val="continue"/>
                  <w:vAlign w:val="center"/>
                </w:tcPr>
                <w:p w14:paraId="6E423B2C">
                  <w:pPr>
                    <w:pStyle w:val="42"/>
                  </w:pPr>
                </w:p>
              </w:tc>
              <w:tc>
                <w:tcPr>
                  <w:tcW w:w="3728" w:type="dxa"/>
                  <w:shd w:val="clear" w:color="000000" w:fill="FFFFFF"/>
                  <w:noWrap/>
                  <w:vAlign w:val="center"/>
                </w:tcPr>
                <w:p w14:paraId="7DE4F68D">
                  <w:pPr>
                    <w:pStyle w:val="42"/>
                    <w:rPr>
                      <w:i/>
                      <w:iCs/>
                    </w:rPr>
                  </w:pPr>
                  <w:r>
                    <w:rPr>
                      <w:i/>
                      <w:iCs/>
                    </w:rPr>
                    <w:t>低头石蚕Neureclipsis sp.</w:t>
                  </w:r>
                </w:p>
              </w:tc>
            </w:tr>
            <w:tr w14:paraId="6F89F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70B8ADC7">
                  <w:pPr>
                    <w:pStyle w:val="42"/>
                  </w:pPr>
                </w:p>
              </w:tc>
              <w:tc>
                <w:tcPr>
                  <w:tcW w:w="2913" w:type="dxa"/>
                  <w:shd w:val="clear" w:color="000000" w:fill="FFFFFF"/>
                  <w:noWrap/>
                  <w:vAlign w:val="center"/>
                </w:tcPr>
                <w:p w14:paraId="77EF9C48">
                  <w:pPr>
                    <w:pStyle w:val="42"/>
                  </w:pPr>
                  <w:r>
                    <w:t>角石蛾科 Stenopsychidae</w:t>
                  </w:r>
                </w:p>
              </w:tc>
              <w:tc>
                <w:tcPr>
                  <w:tcW w:w="3728" w:type="dxa"/>
                  <w:shd w:val="clear" w:color="000000" w:fill="FFFFFF"/>
                  <w:noWrap/>
                  <w:vAlign w:val="center"/>
                </w:tcPr>
                <w:p w14:paraId="3E4B7310">
                  <w:pPr>
                    <w:pStyle w:val="42"/>
                    <w:rPr>
                      <w:i/>
                      <w:iCs/>
                    </w:rPr>
                  </w:pPr>
                  <w:r>
                    <w:rPr>
                      <w:i/>
                      <w:iCs/>
                    </w:rPr>
                    <w:t>Parastenopsyche sp.</w:t>
                  </w:r>
                </w:p>
              </w:tc>
            </w:tr>
            <w:tr w14:paraId="34464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1C0313CB">
                  <w:pPr>
                    <w:pStyle w:val="42"/>
                  </w:pPr>
                </w:p>
              </w:tc>
              <w:tc>
                <w:tcPr>
                  <w:tcW w:w="2913" w:type="dxa"/>
                  <w:vMerge w:val="restart"/>
                  <w:shd w:val="clear" w:color="000000" w:fill="FFFFFF"/>
                  <w:noWrap/>
                  <w:vAlign w:val="center"/>
                </w:tcPr>
                <w:p w14:paraId="3D1B0C84">
                  <w:pPr>
                    <w:pStyle w:val="42"/>
                  </w:pPr>
                  <w:r>
                    <w:t>摇蚊科Chironomidae</w:t>
                  </w:r>
                </w:p>
              </w:tc>
              <w:tc>
                <w:tcPr>
                  <w:tcW w:w="3728" w:type="dxa"/>
                  <w:shd w:val="clear" w:color="000000" w:fill="FFFFFF"/>
                  <w:vAlign w:val="center"/>
                </w:tcPr>
                <w:p w14:paraId="51BBFF84">
                  <w:pPr>
                    <w:pStyle w:val="42"/>
                    <w:rPr>
                      <w:i/>
                      <w:iCs/>
                    </w:rPr>
                  </w:pPr>
                  <w:r>
                    <w:rPr>
                      <w:i/>
                      <w:iCs/>
                    </w:rPr>
                    <w:t>羽摇蚊幼虫Chironomus plumosus</w:t>
                  </w:r>
                </w:p>
              </w:tc>
            </w:tr>
            <w:tr w14:paraId="22F10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069633C0">
                  <w:pPr>
                    <w:pStyle w:val="42"/>
                  </w:pPr>
                </w:p>
              </w:tc>
              <w:tc>
                <w:tcPr>
                  <w:tcW w:w="2913" w:type="dxa"/>
                  <w:vMerge w:val="continue"/>
                  <w:vAlign w:val="center"/>
                </w:tcPr>
                <w:p w14:paraId="4B4BFD3A">
                  <w:pPr>
                    <w:pStyle w:val="42"/>
                  </w:pPr>
                </w:p>
              </w:tc>
              <w:tc>
                <w:tcPr>
                  <w:tcW w:w="3728" w:type="dxa"/>
                  <w:shd w:val="clear" w:color="000000" w:fill="FFFFFF"/>
                  <w:noWrap/>
                  <w:vAlign w:val="center"/>
                </w:tcPr>
                <w:p w14:paraId="3D3E87EA">
                  <w:pPr>
                    <w:pStyle w:val="42"/>
                    <w:rPr>
                      <w:i/>
                      <w:iCs/>
                    </w:rPr>
                  </w:pPr>
                  <w:r>
                    <w:rPr>
                      <w:i/>
                      <w:iCs/>
                    </w:rPr>
                    <w:t>黄色多足摇蚊Polypedilum flavum</w:t>
                  </w:r>
                </w:p>
              </w:tc>
            </w:tr>
            <w:tr w14:paraId="61522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12B804A0">
                  <w:pPr>
                    <w:pStyle w:val="42"/>
                  </w:pPr>
                </w:p>
              </w:tc>
              <w:tc>
                <w:tcPr>
                  <w:tcW w:w="2913" w:type="dxa"/>
                  <w:shd w:val="clear" w:color="000000" w:fill="FFFFFF"/>
                  <w:noWrap/>
                  <w:vAlign w:val="center"/>
                </w:tcPr>
                <w:p w14:paraId="38962D4A">
                  <w:pPr>
                    <w:pStyle w:val="42"/>
                  </w:pPr>
                  <w:r>
                    <w:t>蠓科Ceratopogonidae</w:t>
                  </w:r>
                </w:p>
              </w:tc>
              <w:tc>
                <w:tcPr>
                  <w:tcW w:w="3728" w:type="dxa"/>
                  <w:shd w:val="clear" w:color="000000" w:fill="FFFFFF"/>
                  <w:noWrap/>
                  <w:vAlign w:val="center"/>
                </w:tcPr>
                <w:p w14:paraId="74544E70">
                  <w:pPr>
                    <w:pStyle w:val="42"/>
                    <w:rPr>
                      <w:i/>
                      <w:iCs/>
                    </w:rPr>
                  </w:pPr>
                  <w:r>
                    <w:rPr>
                      <w:i/>
                      <w:iCs/>
                    </w:rPr>
                    <w:t>蠓科一种Ceratopogonidae sp.</w:t>
                  </w:r>
                </w:p>
              </w:tc>
            </w:tr>
            <w:tr w14:paraId="5EBCD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27CB1351">
                  <w:pPr>
                    <w:pStyle w:val="42"/>
                  </w:pPr>
                </w:p>
              </w:tc>
              <w:tc>
                <w:tcPr>
                  <w:tcW w:w="2913" w:type="dxa"/>
                  <w:vMerge w:val="restart"/>
                  <w:shd w:val="clear" w:color="000000" w:fill="FFFFFF"/>
                  <w:noWrap/>
                  <w:vAlign w:val="center"/>
                </w:tcPr>
                <w:p w14:paraId="34B0D0DC">
                  <w:pPr>
                    <w:pStyle w:val="42"/>
                  </w:pPr>
                  <w:r>
                    <w:t>大蚊科Tipulidae</w:t>
                  </w:r>
                </w:p>
              </w:tc>
              <w:tc>
                <w:tcPr>
                  <w:tcW w:w="3728" w:type="dxa"/>
                  <w:shd w:val="clear" w:color="000000" w:fill="FFFFFF"/>
                  <w:noWrap/>
                  <w:vAlign w:val="center"/>
                </w:tcPr>
                <w:p w14:paraId="7E4957DE">
                  <w:pPr>
                    <w:pStyle w:val="42"/>
                    <w:rPr>
                      <w:i/>
                      <w:iCs/>
                    </w:rPr>
                  </w:pPr>
                  <w:r>
                    <w:rPr>
                      <w:i/>
                      <w:iCs/>
                    </w:rPr>
                    <w:t>Podicia sp.PA</w:t>
                  </w:r>
                </w:p>
              </w:tc>
            </w:tr>
            <w:tr w14:paraId="527EC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0DCDAC91">
                  <w:pPr>
                    <w:pStyle w:val="42"/>
                  </w:pPr>
                </w:p>
              </w:tc>
              <w:tc>
                <w:tcPr>
                  <w:tcW w:w="2913" w:type="dxa"/>
                  <w:vMerge w:val="continue"/>
                  <w:vAlign w:val="center"/>
                </w:tcPr>
                <w:p w14:paraId="2661E163">
                  <w:pPr>
                    <w:pStyle w:val="42"/>
                  </w:pPr>
                </w:p>
              </w:tc>
              <w:tc>
                <w:tcPr>
                  <w:tcW w:w="3728" w:type="dxa"/>
                  <w:shd w:val="clear" w:color="000000" w:fill="FFFFFF"/>
                  <w:noWrap/>
                  <w:vAlign w:val="center"/>
                </w:tcPr>
                <w:p w14:paraId="14105AF9">
                  <w:pPr>
                    <w:pStyle w:val="42"/>
                    <w:rPr>
                      <w:i/>
                      <w:iCs/>
                    </w:rPr>
                  </w:pPr>
                  <w:r>
                    <w:rPr>
                      <w:i/>
                      <w:iCs/>
                    </w:rPr>
                    <w:t>Erioptera sp.</w:t>
                  </w:r>
                </w:p>
              </w:tc>
            </w:tr>
            <w:tr w14:paraId="7369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65499EA3">
                  <w:pPr>
                    <w:pStyle w:val="42"/>
                  </w:pPr>
                </w:p>
              </w:tc>
              <w:tc>
                <w:tcPr>
                  <w:tcW w:w="2913" w:type="dxa"/>
                  <w:shd w:val="clear" w:color="000000" w:fill="FFFFFF"/>
                  <w:noWrap/>
                  <w:vAlign w:val="center"/>
                </w:tcPr>
                <w:p w14:paraId="5457BB5D">
                  <w:pPr>
                    <w:pStyle w:val="42"/>
                  </w:pPr>
                  <w:r>
                    <w:t>水虻科 Stratiomyidae</w:t>
                  </w:r>
                </w:p>
              </w:tc>
              <w:tc>
                <w:tcPr>
                  <w:tcW w:w="3728" w:type="dxa"/>
                  <w:shd w:val="clear" w:color="000000" w:fill="FFFFFF"/>
                  <w:noWrap/>
                  <w:vAlign w:val="center"/>
                </w:tcPr>
                <w:p w14:paraId="44BBCB0E">
                  <w:pPr>
                    <w:pStyle w:val="42"/>
                    <w:rPr>
                      <w:i/>
                      <w:iCs/>
                    </w:rPr>
                  </w:pPr>
                  <w:r>
                    <w:rPr>
                      <w:i/>
                      <w:iCs/>
                    </w:rPr>
                    <w:t>水虻Stratiomyia sp.</w:t>
                  </w:r>
                </w:p>
              </w:tc>
            </w:tr>
            <w:tr w14:paraId="78061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3B90639A">
                  <w:pPr>
                    <w:pStyle w:val="42"/>
                  </w:pPr>
                </w:p>
              </w:tc>
              <w:tc>
                <w:tcPr>
                  <w:tcW w:w="2913" w:type="dxa"/>
                  <w:vMerge w:val="restart"/>
                  <w:shd w:val="clear" w:color="000000" w:fill="FFFFFF"/>
                  <w:noWrap/>
                  <w:vAlign w:val="center"/>
                </w:tcPr>
                <w:p w14:paraId="2D49E8AF">
                  <w:pPr>
                    <w:pStyle w:val="42"/>
                  </w:pPr>
                  <w:r>
                    <w:t>箭蜓科 Gomphidae</w:t>
                  </w:r>
                </w:p>
              </w:tc>
              <w:tc>
                <w:tcPr>
                  <w:tcW w:w="3728" w:type="dxa"/>
                  <w:shd w:val="clear" w:color="000000" w:fill="FFFFFF"/>
                  <w:noWrap/>
                  <w:vAlign w:val="center"/>
                </w:tcPr>
                <w:p w14:paraId="07703DF8">
                  <w:pPr>
                    <w:pStyle w:val="42"/>
                    <w:rPr>
                      <w:i/>
                      <w:iCs/>
                    </w:rPr>
                  </w:pPr>
                  <w:r>
                    <w:rPr>
                      <w:i/>
                      <w:iCs/>
                    </w:rPr>
                    <w:t>Daridius nanus</w:t>
                  </w:r>
                </w:p>
              </w:tc>
            </w:tr>
            <w:tr w14:paraId="2A91B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1C870612">
                  <w:pPr>
                    <w:pStyle w:val="42"/>
                  </w:pPr>
                </w:p>
              </w:tc>
              <w:tc>
                <w:tcPr>
                  <w:tcW w:w="2913" w:type="dxa"/>
                  <w:vMerge w:val="continue"/>
                  <w:vAlign w:val="center"/>
                </w:tcPr>
                <w:p w14:paraId="0300B4FD">
                  <w:pPr>
                    <w:pStyle w:val="42"/>
                  </w:pPr>
                </w:p>
              </w:tc>
              <w:tc>
                <w:tcPr>
                  <w:tcW w:w="3728" w:type="dxa"/>
                  <w:shd w:val="clear" w:color="000000" w:fill="FFFFFF"/>
                  <w:noWrap/>
                  <w:vAlign w:val="center"/>
                </w:tcPr>
                <w:p w14:paraId="4D2BF639">
                  <w:pPr>
                    <w:pStyle w:val="42"/>
                    <w:rPr>
                      <w:i/>
                      <w:iCs/>
                    </w:rPr>
                  </w:pPr>
                  <w:r>
                    <w:rPr>
                      <w:i/>
                      <w:iCs/>
                    </w:rPr>
                    <w:t>马奇异春蜓Anisogomphus maacki</w:t>
                  </w:r>
                </w:p>
              </w:tc>
            </w:tr>
            <w:tr w14:paraId="05672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restart"/>
                  <w:shd w:val="clear" w:color="000000" w:fill="FFFFFF"/>
                  <w:noWrap/>
                  <w:vAlign w:val="center"/>
                </w:tcPr>
                <w:p w14:paraId="33492FE6">
                  <w:pPr>
                    <w:pStyle w:val="42"/>
                  </w:pPr>
                  <w:r>
                    <w:t>甲壳动物Crustacean　</w:t>
                  </w:r>
                </w:p>
              </w:tc>
              <w:tc>
                <w:tcPr>
                  <w:tcW w:w="2913" w:type="dxa"/>
                  <w:shd w:val="clear" w:color="000000" w:fill="FFFFFF"/>
                  <w:noWrap/>
                  <w:vAlign w:val="center"/>
                </w:tcPr>
                <w:p w14:paraId="19BF649F">
                  <w:pPr>
                    <w:pStyle w:val="42"/>
                  </w:pPr>
                  <w:r>
                    <w:t>钩虾科 Gammaridae</w:t>
                  </w:r>
                </w:p>
              </w:tc>
              <w:tc>
                <w:tcPr>
                  <w:tcW w:w="3728" w:type="dxa"/>
                  <w:shd w:val="clear" w:color="000000" w:fill="FFFFFF"/>
                  <w:noWrap/>
                  <w:vAlign w:val="center"/>
                </w:tcPr>
                <w:p w14:paraId="5E83E7F9">
                  <w:pPr>
                    <w:pStyle w:val="42"/>
                    <w:rPr>
                      <w:i/>
                      <w:iCs/>
                    </w:rPr>
                  </w:pPr>
                  <w:r>
                    <w:rPr>
                      <w:i/>
                      <w:iCs/>
                    </w:rPr>
                    <w:t>钩虾Gammarus sp.</w:t>
                  </w:r>
                </w:p>
              </w:tc>
            </w:tr>
            <w:tr w14:paraId="46CD2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vMerge w:val="continue"/>
                  <w:vAlign w:val="center"/>
                </w:tcPr>
                <w:p w14:paraId="627D0A2E">
                  <w:pPr>
                    <w:pStyle w:val="42"/>
                  </w:pPr>
                </w:p>
              </w:tc>
              <w:tc>
                <w:tcPr>
                  <w:tcW w:w="2913" w:type="dxa"/>
                  <w:shd w:val="clear" w:color="000000" w:fill="FFFFFF"/>
                  <w:noWrap/>
                  <w:vAlign w:val="center"/>
                </w:tcPr>
                <w:p w14:paraId="71FC6E42">
                  <w:pPr>
                    <w:pStyle w:val="42"/>
                  </w:pPr>
                  <w:r>
                    <w:t>长臂虾科Palaemonidae</w:t>
                  </w:r>
                </w:p>
              </w:tc>
              <w:tc>
                <w:tcPr>
                  <w:tcW w:w="3728" w:type="dxa"/>
                  <w:shd w:val="clear" w:color="000000" w:fill="FFFFFF"/>
                  <w:noWrap/>
                  <w:vAlign w:val="center"/>
                </w:tcPr>
                <w:p w14:paraId="7C1EDB39">
                  <w:pPr>
                    <w:pStyle w:val="42"/>
                    <w:rPr>
                      <w:i/>
                      <w:iCs/>
                    </w:rPr>
                  </w:pPr>
                  <w:r>
                    <w:rPr>
                      <w:i/>
                      <w:iCs/>
                    </w:rPr>
                    <w:t>秀丽白虾Palaemon modestus</w:t>
                  </w:r>
                </w:p>
              </w:tc>
            </w:tr>
            <w:tr w14:paraId="66EE8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1" w:type="dxa"/>
                  <w:shd w:val="clear" w:color="000000" w:fill="FFFFFF"/>
                  <w:noWrap/>
                  <w:vAlign w:val="center"/>
                </w:tcPr>
                <w:p w14:paraId="47507B68">
                  <w:pPr>
                    <w:pStyle w:val="42"/>
                  </w:pPr>
                  <w:r>
                    <w:t>其他Other</w:t>
                  </w:r>
                </w:p>
              </w:tc>
              <w:tc>
                <w:tcPr>
                  <w:tcW w:w="2913" w:type="dxa"/>
                  <w:shd w:val="clear" w:color="000000" w:fill="FFFFFF"/>
                  <w:noWrap/>
                  <w:vAlign w:val="center"/>
                </w:tcPr>
                <w:p w14:paraId="759B1B18">
                  <w:pPr>
                    <w:pStyle w:val="42"/>
                  </w:pPr>
                  <w:r>
                    <w:t>蛭科Planariidae</w:t>
                  </w:r>
                </w:p>
              </w:tc>
              <w:tc>
                <w:tcPr>
                  <w:tcW w:w="3728" w:type="dxa"/>
                  <w:shd w:val="clear" w:color="000000" w:fill="FFFFFF"/>
                  <w:noWrap/>
                  <w:vAlign w:val="center"/>
                </w:tcPr>
                <w:p w14:paraId="5A6B7183">
                  <w:pPr>
                    <w:pStyle w:val="42"/>
                    <w:rPr>
                      <w:i/>
                      <w:iCs/>
                    </w:rPr>
                  </w:pPr>
                  <w:r>
                    <w:rPr>
                      <w:i/>
                      <w:iCs/>
                    </w:rPr>
                    <w:t>涡虫Stenostomum sp.</w:t>
                  </w:r>
                </w:p>
              </w:tc>
            </w:tr>
          </w:tbl>
          <w:p w14:paraId="60167070">
            <w:pPr>
              <w:spacing w:line="360" w:lineRule="auto"/>
              <w:ind w:firstLine="480" w:firstLineChars="200"/>
            </w:pPr>
            <w:r>
              <w:rPr>
                <w:rFonts w:hint="eastAsia"/>
              </w:rPr>
              <w:t>②优势种类</w:t>
            </w:r>
          </w:p>
          <w:p w14:paraId="6E24CC5E">
            <w:pPr>
              <w:spacing w:line="360" w:lineRule="auto"/>
              <w:ind w:firstLine="480" w:firstLineChars="200"/>
              <w:rPr>
                <w:rFonts w:cs="Times New Roman"/>
              </w:rPr>
            </w:pPr>
            <w:r>
              <w:rPr>
                <w:rFonts w:cs="Times New Roman"/>
              </w:rPr>
              <w:t>评价区江段底栖动物优势种主要有宽身舌蛭、Ephemerella sp.EA、Parastenopsyche sp.、灰纹石蛾Hydropsyche ulmeri和涡虫Stenostomum sp.等。</w:t>
            </w:r>
          </w:p>
          <w:p w14:paraId="4F3A6088">
            <w:pPr>
              <w:spacing w:line="360" w:lineRule="auto"/>
              <w:ind w:firstLine="480" w:firstLineChars="200"/>
            </w:pPr>
            <w:r>
              <w:rPr>
                <w:rFonts w:hint="eastAsia"/>
              </w:rPr>
              <w:t>（5）水生维管束植物</w:t>
            </w:r>
          </w:p>
          <w:p w14:paraId="5554D264">
            <w:pPr>
              <w:spacing w:line="360" w:lineRule="auto"/>
              <w:ind w:firstLine="480" w:firstLineChars="200"/>
            </w:pPr>
            <w:r>
              <w:rPr>
                <w:rFonts w:hint="eastAsia"/>
              </w:rPr>
              <w:t>①种类组成</w:t>
            </w:r>
          </w:p>
          <w:p w14:paraId="63297CB2">
            <w:pPr>
              <w:spacing w:line="360" w:lineRule="auto"/>
              <w:ind w:firstLine="480" w:firstLineChars="200"/>
            </w:pPr>
            <w:r>
              <w:rPr>
                <w:rFonts w:hint="eastAsia"/>
              </w:rPr>
              <w:t>根据调查及资料记载，鸭绿江湿地水生维管束植物2大类别（被子植物、单子叶植物）共计17科19种，共有浮叶植物、漂浮植物、挺水植物、滨水植物和沉水植物5种生态类群。其中莎草科和禾本科为2种，其他各科均为1种，详见下表：</w:t>
            </w:r>
          </w:p>
          <w:p w14:paraId="1DC514F2">
            <w:pPr>
              <w:spacing w:line="360" w:lineRule="auto"/>
              <w:ind w:firstLine="480" w:firstLineChars="200"/>
            </w:pPr>
          </w:p>
          <w:p w14:paraId="004DD0A9">
            <w:pPr>
              <w:spacing w:line="360" w:lineRule="auto"/>
              <w:jc w:val="center"/>
              <w:rPr>
                <w:b/>
                <w:bCs/>
              </w:rPr>
            </w:pPr>
            <w:r>
              <w:rPr>
                <w:rFonts w:hint="eastAsia"/>
                <w:b/>
                <w:bCs/>
              </w:rPr>
              <w:t>表32     评价区江段水生维管束植物一览表</w:t>
            </w:r>
          </w:p>
          <w:tbl>
            <w:tblPr>
              <w:tblStyle w:val="17"/>
              <w:tblpPr w:leftFromText="180" w:rightFromText="180" w:vertAnchor="text" w:horzAnchor="page" w:tblpX="118" w:tblpY="273"/>
              <w:tblOverlap w:val="never"/>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2512"/>
              <w:gridCol w:w="3469"/>
            </w:tblGrid>
            <w:tr w14:paraId="7C80B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959" w:type="dxa"/>
                  <w:vAlign w:val="center"/>
                </w:tcPr>
                <w:p w14:paraId="4E2786FB">
                  <w:pPr>
                    <w:pStyle w:val="42"/>
                    <w:rPr>
                      <w:b/>
                      <w:bCs/>
                    </w:rPr>
                  </w:pPr>
                  <w:r>
                    <w:rPr>
                      <w:b/>
                      <w:bCs/>
                    </w:rPr>
                    <w:t>类</w:t>
                  </w:r>
                </w:p>
              </w:tc>
              <w:tc>
                <w:tcPr>
                  <w:tcW w:w="3076" w:type="dxa"/>
                  <w:vAlign w:val="center"/>
                </w:tcPr>
                <w:p w14:paraId="5D721849">
                  <w:pPr>
                    <w:pStyle w:val="42"/>
                    <w:rPr>
                      <w:b/>
                      <w:bCs/>
                    </w:rPr>
                  </w:pPr>
                  <w:r>
                    <w:rPr>
                      <w:b/>
                      <w:bCs/>
                    </w:rPr>
                    <w:t>科</w:t>
                  </w:r>
                </w:p>
              </w:tc>
              <w:tc>
                <w:tcPr>
                  <w:tcW w:w="4207" w:type="dxa"/>
                  <w:vAlign w:val="center"/>
                </w:tcPr>
                <w:p w14:paraId="7D1A7ED5">
                  <w:pPr>
                    <w:pStyle w:val="42"/>
                    <w:rPr>
                      <w:b/>
                      <w:bCs/>
                      <w:i/>
                      <w:iCs/>
                    </w:rPr>
                  </w:pPr>
                  <w:r>
                    <w:rPr>
                      <w:b/>
                      <w:bCs/>
                    </w:rPr>
                    <w:t>种</w:t>
                  </w:r>
                </w:p>
              </w:tc>
            </w:tr>
            <w:tr w14:paraId="43F98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59" w:type="dxa"/>
                  <w:vMerge w:val="restart"/>
                  <w:vAlign w:val="center"/>
                </w:tcPr>
                <w:p w14:paraId="71996252">
                  <w:pPr>
                    <w:pStyle w:val="42"/>
                  </w:pPr>
                  <w:bookmarkStart w:id="16" w:name="_Hlk301290680"/>
                  <w:r>
                    <w:t>被子植物Angiospermae</w:t>
                  </w:r>
                </w:p>
              </w:tc>
              <w:tc>
                <w:tcPr>
                  <w:tcW w:w="3076" w:type="dxa"/>
                  <w:vAlign w:val="center"/>
                </w:tcPr>
                <w:p w14:paraId="245DCDD1">
                  <w:pPr>
                    <w:pStyle w:val="42"/>
                  </w:pPr>
                  <w:r>
                    <w:t>蓼科Polygonaceae</w:t>
                  </w:r>
                </w:p>
              </w:tc>
              <w:tc>
                <w:tcPr>
                  <w:tcW w:w="4207" w:type="dxa"/>
                  <w:vAlign w:val="center"/>
                </w:tcPr>
                <w:p w14:paraId="3DAD7F4D">
                  <w:pPr>
                    <w:pStyle w:val="42"/>
                    <w:rPr>
                      <w:i/>
                      <w:iCs/>
                    </w:rPr>
                  </w:pPr>
                  <w:r>
                    <w:rPr>
                      <w:i/>
                      <w:iCs/>
                    </w:rPr>
                    <w:t>水蓼Polygonum hydropiper</w:t>
                  </w:r>
                </w:p>
              </w:tc>
            </w:tr>
            <w:tr w14:paraId="559AC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5684CD6F">
                  <w:pPr>
                    <w:pStyle w:val="42"/>
                  </w:pPr>
                </w:p>
              </w:tc>
              <w:tc>
                <w:tcPr>
                  <w:tcW w:w="3076" w:type="dxa"/>
                  <w:vAlign w:val="center"/>
                </w:tcPr>
                <w:p w14:paraId="3FC9EE0C">
                  <w:pPr>
                    <w:pStyle w:val="42"/>
                  </w:pPr>
                  <w:r>
                    <w:rPr>
                      <w:rFonts w:hint="eastAsia"/>
                    </w:rPr>
                    <w:t>小二仙草科</w:t>
                  </w:r>
                  <w:r>
                    <w:t xml:space="preserve"> Halorrhagidaceae</w:t>
                  </w:r>
                </w:p>
              </w:tc>
              <w:tc>
                <w:tcPr>
                  <w:tcW w:w="4207" w:type="dxa"/>
                  <w:vAlign w:val="center"/>
                </w:tcPr>
                <w:p w14:paraId="40BE0A37">
                  <w:pPr>
                    <w:pStyle w:val="42"/>
                    <w:rPr>
                      <w:i/>
                      <w:iCs/>
                    </w:rPr>
                  </w:pPr>
                  <w:r>
                    <w:rPr>
                      <w:rFonts w:hint="eastAsia"/>
                      <w:i/>
                      <w:iCs/>
                    </w:rPr>
                    <w:t>轮叶狐尾科</w:t>
                  </w:r>
                  <w:r>
                    <w:rPr>
                      <w:i/>
                      <w:iCs/>
                    </w:rPr>
                    <w:t xml:space="preserve"> Myriophyllum verticillutum</w:t>
                  </w:r>
                </w:p>
              </w:tc>
            </w:tr>
            <w:tr w14:paraId="27DCC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59" w:type="dxa"/>
                  <w:vMerge w:val="continue"/>
                  <w:vAlign w:val="center"/>
                </w:tcPr>
                <w:p w14:paraId="2CF41229">
                  <w:pPr>
                    <w:pStyle w:val="42"/>
                  </w:pPr>
                </w:p>
              </w:tc>
              <w:tc>
                <w:tcPr>
                  <w:tcW w:w="3076" w:type="dxa"/>
                  <w:vAlign w:val="center"/>
                </w:tcPr>
                <w:p w14:paraId="2A696FEF">
                  <w:pPr>
                    <w:pStyle w:val="42"/>
                  </w:pPr>
                  <w:r>
                    <w:rPr>
                      <w:rFonts w:hint="eastAsia"/>
                    </w:rPr>
                    <w:t>杉叶藻科</w:t>
                  </w:r>
                  <w:r>
                    <w:t xml:space="preserve"> Hippuridaceae</w:t>
                  </w:r>
                </w:p>
              </w:tc>
              <w:tc>
                <w:tcPr>
                  <w:tcW w:w="4207" w:type="dxa"/>
                  <w:vAlign w:val="center"/>
                </w:tcPr>
                <w:p w14:paraId="29F7F0C7">
                  <w:pPr>
                    <w:pStyle w:val="42"/>
                    <w:rPr>
                      <w:i/>
                      <w:iCs/>
                    </w:rPr>
                  </w:pPr>
                  <w:r>
                    <w:rPr>
                      <w:rFonts w:hint="eastAsia"/>
                      <w:i/>
                      <w:iCs/>
                    </w:rPr>
                    <w:t>杉叶藻</w:t>
                  </w:r>
                  <w:r>
                    <w:rPr>
                      <w:i/>
                      <w:iCs/>
                    </w:rPr>
                    <w:t>Hippuris vulgaris</w:t>
                  </w:r>
                </w:p>
              </w:tc>
            </w:tr>
            <w:tr w14:paraId="4511A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959" w:type="dxa"/>
                  <w:vMerge w:val="continue"/>
                  <w:vAlign w:val="center"/>
                </w:tcPr>
                <w:p w14:paraId="5C581428">
                  <w:pPr>
                    <w:pStyle w:val="42"/>
                  </w:pPr>
                </w:p>
              </w:tc>
              <w:tc>
                <w:tcPr>
                  <w:tcW w:w="3076" w:type="dxa"/>
                  <w:vAlign w:val="center"/>
                </w:tcPr>
                <w:p w14:paraId="3A0A1D0C">
                  <w:pPr>
                    <w:pStyle w:val="42"/>
                  </w:pPr>
                  <w:r>
                    <w:rPr>
                      <w:rFonts w:hint="eastAsia"/>
                    </w:rPr>
                    <w:t>龙胆科</w:t>
                  </w:r>
                  <w:r>
                    <w:t>Gentianaceae</w:t>
                  </w:r>
                </w:p>
              </w:tc>
              <w:tc>
                <w:tcPr>
                  <w:tcW w:w="4207" w:type="dxa"/>
                  <w:vAlign w:val="center"/>
                </w:tcPr>
                <w:p w14:paraId="31091905">
                  <w:pPr>
                    <w:pStyle w:val="42"/>
                    <w:rPr>
                      <w:i/>
                      <w:iCs/>
                    </w:rPr>
                  </w:pPr>
                  <w:r>
                    <w:rPr>
                      <w:rFonts w:hint="eastAsia"/>
                      <w:i/>
                      <w:iCs/>
                    </w:rPr>
                    <w:t>荇菜</w:t>
                  </w:r>
                  <w:r>
                    <w:rPr>
                      <w:i/>
                      <w:iCs/>
                    </w:rPr>
                    <w:t xml:space="preserve">  Nymphoides peltatum</w:t>
                  </w:r>
                </w:p>
              </w:tc>
            </w:tr>
            <w:tr w14:paraId="52F2B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5285D348">
                  <w:pPr>
                    <w:pStyle w:val="42"/>
                  </w:pPr>
                </w:p>
              </w:tc>
              <w:tc>
                <w:tcPr>
                  <w:tcW w:w="3076" w:type="dxa"/>
                  <w:vAlign w:val="center"/>
                </w:tcPr>
                <w:p w14:paraId="73074393">
                  <w:pPr>
                    <w:pStyle w:val="42"/>
                  </w:pPr>
                  <w:r>
                    <w:rPr>
                      <w:rFonts w:hint="eastAsia"/>
                    </w:rPr>
                    <w:t>唇形科</w:t>
                  </w:r>
                  <w:r>
                    <w:t xml:space="preserve"> Labiatae</w:t>
                  </w:r>
                </w:p>
              </w:tc>
              <w:tc>
                <w:tcPr>
                  <w:tcW w:w="4207" w:type="dxa"/>
                  <w:vAlign w:val="center"/>
                </w:tcPr>
                <w:p w14:paraId="78B8571C">
                  <w:pPr>
                    <w:pStyle w:val="42"/>
                    <w:rPr>
                      <w:i/>
                      <w:iCs/>
                    </w:rPr>
                  </w:pPr>
                  <w:r>
                    <w:rPr>
                      <w:rFonts w:hint="eastAsia"/>
                      <w:i/>
                      <w:iCs/>
                    </w:rPr>
                    <w:t>狭叶黄芩</w:t>
                  </w:r>
                  <w:r>
                    <w:rPr>
                      <w:i/>
                      <w:iCs/>
                    </w:rPr>
                    <w:t xml:space="preserve">  Scutellaria regeliana</w:t>
                  </w:r>
                </w:p>
              </w:tc>
            </w:tr>
            <w:tr w14:paraId="6FDA6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4595C674">
                  <w:pPr>
                    <w:pStyle w:val="42"/>
                  </w:pPr>
                </w:p>
              </w:tc>
              <w:tc>
                <w:tcPr>
                  <w:tcW w:w="3076" w:type="dxa"/>
                  <w:vAlign w:val="center"/>
                </w:tcPr>
                <w:p w14:paraId="1DEB221D">
                  <w:pPr>
                    <w:pStyle w:val="42"/>
                  </w:pPr>
                  <w:r>
                    <w:rPr>
                      <w:rFonts w:hint="eastAsia"/>
                    </w:rPr>
                    <w:t>菱科</w:t>
                  </w:r>
                  <w:r>
                    <w:t>Trapaceae</w:t>
                  </w:r>
                </w:p>
              </w:tc>
              <w:tc>
                <w:tcPr>
                  <w:tcW w:w="4207" w:type="dxa"/>
                  <w:vAlign w:val="center"/>
                </w:tcPr>
                <w:p w14:paraId="6088816F">
                  <w:pPr>
                    <w:pStyle w:val="42"/>
                    <w:rPr>
                      <w:i/>
                      <w:iCs/>
                    </w:rPr>
                  </w:pPr>
                  <w:r>
                    <w:rPr>
                      <w:rFonts w:hint="eastAsia"/>
                      <w:i/>
                      <w:iCs/>
                    </w:rPr>
                    <w:t>菱</w:t>
                  </w:r>
                  <w:r>
                    <w:rPr>
                      <w:i/>
                      <w:iCs/>
                    </w:rPr>
                    <w:t>Trapa korshinskyi (V.)</w:t>
                  </w:r>
                </w:p>
              </w:tc>
            </w:tr>
            <w:tr w14:paraId="7010A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28254037">
                  <w:pPr>
                    <w:pStyle w:val="42"/>
                  </w:pPr>
                </w:p>
              </w:tc>
              <w:tc>
                <w:tcPr>
                  <w:tcW w:w="3076" w:type="dxa"/>
                  <w:vAlign w:val="center"/>
                </w:tcPr>
                <w:p w14:paraId="381D3BF2">
                  <w:pPr>
                    <w:pStyle w:val="42"/>
                  </w:pPr>
                  <w:r>
                    <w:rPr>
                      <w:rFonts w:hint="eastAsia"/>
                    </w:rPr>
                    <w:t>金鱼藻科</w:t>
                  </w:r>
                  <w:r>
                    <w:t>Ceratophyllaceae</w:t>
                  </w:r>
                </w:p>
              </w:tc>
              <w:tc>
                <w:tcPr>
                  <w:tcW w:w="4207" w:type="dxa"/>
                  <w:vAlign w:val="center"/>
                </w:tcPr>
                <w:p w14:paraId="54919512">
                  <w:pPr>
                    <w:pStyle w:val="42"/>
                    <w:rPr>
                      <w:i/>
                      <w:iCs/>
                    </w:rPr>
                  </w:pPr>
                  <w:r>
                    <w:rPr>
                      <w:rFonts w:hint="eastAsia"/>
                      <w:i/>
                      <w:iCs/>
                    </w:rPr>
                    <w:t>金鱼藻</w:t>
                  </w:r>
                  <w:r>
                    <w:rPr>
                      <w:i/>
                      <w:iCs/>
                    </w:rPr>
                    <w:t>Ceratophyllum demersum (L.)</w:t>
                  </w:r>
                </w:p>
              </w:tc>
            </w:tr>
            <w:tr w14:paraId="1BFE0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restart"/>
                  <w:vAlign w:val="center"/>
                </w:tcPr>
                <w:p w14:paraId="4A8D7746">
                  <w:pPr>
                    <w:pStyle w:val="42"/>
                  </w:pPr>
                  <w:r>
                    <w:t>单子叶植物Monocotyledoneae</w:t>
                  </w:r>
                </w:p>
              </w:tc>
              <w:tc>
                <w:tcPr>
                  <w:tcW w:w="3076" w:type="dxa"/>
                  <w:vAlign w:val="center"/>
                </w:tcPr>
                <w:p w14:paraId="302589E1">
                  <w:pPr>
                    <w:pStyle w:val="42"/>
                  </w:pPr>
                  <w:r>
                    <w:t>香蒲科Typhaceae</w:t>
                  </w:r>
                </w:p>
              </w:tc>
              <w:tc>
                <w:tcPr>
                  <w:tcW w:w="4207" w:type="dxa"/>
                  <w:vAlign w:val="center"/>
                </w:tcPr>
                <w:p w14:paraId="2B274139">
                  <w:pPr>
                    <w:pStyle w:val="42"/>
                    <w:rPr>
                      <w:i/>
                      <w:iCs/>
                    </w:rPr>
                  </w:pPr>
                  <w:r>
                    <w:rPr>
                      <w:i/>
                      <w:iCs/>
                    </w:rPr>
                    <w:t>达香蒲 Typha davidiana</w:t>
                  </w:r>
                </w:p>
              </w:tc>
            </w:tr>
            <w:tr w14:paraId="071E2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7AAAE83C">
                  <w:pPr>
                    <w:pStyle w:val="42"/>
                  </w:pPr>
                </w:p>
              </w:tc>
              <w:tc>
                <w:tcPr>
                  <w:tcW w:w="3076" w:type="dxa"/>
                  <w:vAlign w:val="center"/>
                </w:tcPr>
                <w:p w14:paraId="099C42B5">
                  <w:pPr>
                    <w:pStyle w:val="42"/>
                  </w:pPr>
                  <w:r>
                    <w:rPr>
                      <w:rFonts w:hint="eastAsia"/>
                    </w:rPr>
                    <w:t>泽泻科</w:t>
                  </w:r>
                  <w:r>
                    <w:t>Alismaceae</w:t>
                  </w:r>
                </w:p>
              </w:tc>
              <w:tc>
                <w:tcPr>
                  <w:tcW w:w="4207" w:type="dxa"/>
                  <w:vAlign w:val="center"/>
                </w:tcPr>
                <w:p w14:paraId="4AB7C570">
                  <w:pPr>
                    <w:pStyle w:val="42"/>
                    <w:rPr>
                      <w:i/>
                      <w:iCs/>
                    </w:rPr>
                  </w:pPr>
                  <w:r>
                    <w:rPr>
                      <w:rFonts w:hint="eastAsia"/>
                      <w:i/>
                      <w:iCs/>
                    </w:rPr>
                    <w:t>泽泻</w:t>
                  </w:r>
                  <w:r>
                    <w:rPr>
                      <w:i/>
                      <w:iCs/>
                    </w:rPr>
                    <w:t>Alisma orientale (G.Sam. Juz)</w:t>
                  </w:r>
                </w:p>
              </w:tc>
            </w:tr>
            <w:tr w14:paraId="13CB1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2C133A92">
                  <w:pPr>
                    <w:pStyle w:val="42"/>
                  </w:pPr>
                </w:p>
              </w:tc>
              <w:tc>
                <w:tcPr>
                  <w:tcW w:w="3076" w:type="dxa"/>
                  <w:vAlign w:val="center"/>
                </w:tcPr>
                <w:p w14:paraId="78BAC0A9">
                  <w:pPr>
                    <w:pStyle w:val="42"/>
                  </w:pPr>
                  <w:r>
                    <w:rPr>
                      <w:rFonts w:hint="eastAsia"/>
                    </w:rPr>
                    <w:t>水龞科</w:t>
                  </w:r>
                  <w:r>
                    <w:t>Hydrocharitaceae</w:t>
                  </w:r>
                </w:p>
              </w:tc>
              <w:tc>
                <w:tcPr>
                  <w:tcW w:w="4207" w:type="dxa"/>
                  <w:vAlign w:val="center"/>
                </w:tcPr>
                <w:p w14:paraId="2F7E1A7E">
                  <w:pPr>
                    <w:pStyle w:val="42"/>
                    <w:rPr>
                      <w:i/>
                      <w:iCs/>
                    </w:rPr>
                  </w:pPr>
                  <w:r>
                    <w:rPr>
                      <w:rFonts w:hint="eastAsia"/>
                      <w:i/>
                      <w:iCs/>
                    </w:rPr>
                    <w:t>黑藻</w:t>
                  </w:r>
                  <w:r>
                    <w:rPr>
                      <w:i/>
                      <w:iCs/>
                    </w:rPr>
                    <w:t>Hydrilla verticillata (L. fil.)</w:t>
                  </w:r>
                </w:p>
              </w:tc>
            </w:tr>
            <w:tr w14:paraId="21DA3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71C1D2D0">
                  <w:pPr>
                    <w:pStyle w:val="42"/>
                  </w:pPr>
                </w:p>
              </w:tc>
              <w:tc>
                <w:tcPr>
                  <w:tcW w:w="3076" w:type="dxa"/>
                  <w:vAlign w:val="center"/>
                </w:tcPr>
                <w:p w14:paraId="33C16222">
                  <w:pPr>
                    <w:pStyle w:val="42"/>
                  </w:pPr>
                  <w:r>
                    <w:rPr>
                      <w:rFonts w:hint="eastAsia"/>
                    </w:rPr>
                    <w:t>黑三棱科</w:t>
                  </w:r>
                  <w:r>
                    <w:t xml:space="preserve"> Sparganiaceae</w:t>
                  </w:r>
                </w:p>
              </w:tc>
              <w:tc>
                <w:tcPr>
                  <w:tcW w:w="4207" w:type="dxa"/>
                  <w:vAlign w:val="center"/>
                </w:tcPr>
                <w:p w14:paraId="1CDE93D6">
                  <w:pPr>
                    <w:pStyle w:val="42"/>
                    <w:rPr>
                      <w:i/>
                      <w:iCs/>
                      <w:lang w:val="de-DE"/>
                    </w:rPr>
                  </w:pPr>
                  <w:r>
                    <w:rPr>
                      <w:rFonts w:hint="eastAsia"/>
                      <w:i/>
                      <w:iCs/>
                    </w:rPr>
                    <w:t>小黑三棱</w:t>
                  </w:r>
                  <w:r>
                    <w:rPr>
                      <w:i/>
                      <w:iCs/>
                    </w:rPr>
                    <w:t>Sparganium simplex</w:t>
                  </w:r>
                </w:p>
              </w:tc>
            </w:tr>
            <w:tr w14:paraId="19646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4BADFD32">
                  <w:pPr>
                    <w:pStyle w:val="42"/>
                  </w:pPr>
                </w:p>
              </w:tc>
              <w:tc>
                <w:tcPr>
                  <w:tcW w:w="3076" w:type="dxa"/>
                  <w:vAlign w:val="center"/>
                </w:tcPr>
                <w:p w14:paraId="6CD7353D">
                  <w:pPr>
                    <w:pStyle w:val="42"/>
                  </w:pPr>
                  <w:r>
                    <w:rPr>
                      <w:rFonts w:hint="eastAsia"/>
                    </w:rPr>
                    <w:t>眼子菜科</w:t>
                  </w:r>
                  <w:r>
                    <w:t>Potamogetonacea</w:t>
                  </w:r>
                </w:p>
              </w:tc>
              <w:tc>
                <w:tcPr>
                  <w:tcW w:w="4207" w:type="dxa"/>
                  <w:vAlign w:val="center"/>
                </w:tcPr>
                <w:p w14:paraId="17224958">
                  <w:pPr>
                    <w:pStyle w:val="42"/>
                    <w:rPr>
                      <w:i/>
                      <w:iCs/>
                    </w:rPr>
                  </w:pPr>
                  <w:r>
                    <w:rPr>
                      <w:rFonts w:hint="eastAsia"/>
                      <w:i/>
                      <w:iCs/>
                    </w:rPr>
                    <w:t>眼子菜</w:t>
                  </w:r>
                  <w:r>
                    <w:rPr>
                      <w:i/>
                      <w:iCs/>
                    </w:rPr>
                    <w:t>Potamogeton cristatus</w:t>
                  </w:r>
                </w:p>
              </w:tc>
            </w:tr>
            <w:tr w14:paraId="4E153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3B32F8A8">
                  <w:pPr>
                    <w:pStyle w:val="42"/>
                  </w:pPr>
                </w:p>
              </w:tc>
              <w:tc>
                <w:tcPr>
                  <w:tcW w:w="3076" w:type="dxa"/>
                  <w:vAlign w:val="center"/>
                </w:tcPr>
                <w:p w14:paraId="2D7A1C79">
                  <w:pPr>
                    <w:pStyle w:val="42"/>
                  </w:pPr>
                  <w:r>
                    <w:rPr>
                      <w:rFonts w:hint="eastAsia"/>
                    </w:rPr>
                    <w:t>泽泻科</w:t>
                  </w:r>
                  <w:r>
                    <w:t xml:space="preserve"> Alismataceae</w:t>
                  </w:r>
                </w:p>
              </w:tc>
              <w:tc>
                <w:tcPr>
                  <w:tcW w:w="4207" w:type="dxa"/>
                  <w:vAlign w:val="center"/>
                </w:tcPr>
                <w:p w14:paraId="40A326D3">
                  <w:pPr>
                    <w:pStyle w:val="42"/>
                    <w:rPr>
                      <w:i/>
                      <w:iCs/>
                    </w:rPr>
                  </w:pPr>
                  <w:r>
                    <w:rPr>
                      <w:rFonts w:hint="eastAsia"/>
                      <w:i/>
                      <w:iCs/>
                    </w:rPr>
                    <w:t>泽泻</w:t>
                  </w:r>
                  <w:r>
                    <w:rPr>
                      <w:i/>
                      <w:iCs/>
                    </w:rPr>
                    <w:t xml:space="preserve"> Alisma.plantago-aquatica</w:t>
                  </w:r>
                </w:p>
              </w:tc>
            </w:tr>
            <w:tr w14:paraId="31183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1DF10778">
                  <w:pPr>
                    <w:pStyle w:val="42"/>
                  </w:pPr>
                </w:p>
              </w:tc>
              <w:tc>
                <w:tcPr>
                  <w:tcW w:w="3076" w:type="dxa"/>
                  <w:vMerge w:val="restart"/>
                  <w:vAlign w:val="center"/>
                </w:tcPr>
                <w:p w14:paraId="42B84FF3">
                  <w:pPr>
                    <w:pStyle w:val="42"/>
                  </w:pPr>
                  <w:r>
                    <w:rPr>
                      <w:rFonts w:hint="eastAsia"/>
                    </w:rPr>
                    <w:t>禾本科</w:t>
                  </w:r>
                  <w:r>
                    <w:t>Gramineae</w:t>
                  </w:r>
                </w:p>
              </w:tc>
              <w:tc>
                <w:tcPr>
                  <w:tcW w:w="4207" w:type="dxa"/>
                  <w:vAlign w:val="center"/>
                </w:tcPr>
                <w:p w14:paraId="33DFF073">
                  <w:pPr>
                    <w:pStyle w:val="42"/>
                    <w:rPr>
                      <w:i/>
                      <w:iCs/>
                    </w:rPr>
                  </w:pPr>
                  <w:r>
                    <w:rPr>
                      <w:rFonts w:hint="eastAsia"/>
                      <w:i/>
                      <w:iCs/>
                    </w:rPr>
                    <w:t>芦苇</w:t>
                  </w:r>
                  <w:r>
                    <w:rPr>
                      <w:i/>
                      <w:iCs/>
                    </w:rPr>
                    <w:t>Phragmites communis</w:t>
                  </w:r>
                </w:p>
              </w:tc>
            </w:tr>
            <w:tr w14:paraId="46048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0905E92A">
                  <w:pPr>
                    <w:pStyle w:val="42"/>
                  </w:pPr>
                </w:p>
              </w:tc>
              <w:tc>
                <w:tcPr>
                  <w:tcW w:w="3076" w:type="dxa"/>
                  <w:vMerge w:val="continue"/>
                  <w:vAlign w:val="center"/>
                </w:tcPr>
                <w:p w14:paraId="42CE9D24">
                  <w:pPr>
                    <w:pStyle w:val="42"/>
                  </w:pPr>
                </w:p>
              </w:tc>
              <w:tc>
                <w:tcPr>
                  <w:tcW w:w="4207" w:type="dxa"/>
                  <w:vAlign w:val="center"/>
                </w:tcPr>
                <w:p w14:paraId="0B6F405A">
                  <w:pPr>
                    <w:pStyle w:val="42"/>
                    <w:rPr>
                      <w:i/>
                      <w:iCs/>
                    </w:rPr>
                  </w:pPr>
                  <w:r>
                    <w:rPr>
                      <w:rFonts w:hint="eastAsia"/>
                      <w:i/>
                      <w:iCs/>
                    </w:rPr>
                    <w:t>野稗</w:t>
                  </w:r>
                  <w:r>
                    <w:rPr>
                      <w:i/>
                      <w:iCs/>
                    </w:rPr>
                    <w:t>Echinochloa crusgalli</w:t>
                  </w:r>
                </w:p>
              </w:tc>
            </w:tr>
            <w:tr w14:paraId="2893B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35D9BC6E">
                  <w:pPr>
                    <w:pStyle w:val="42"/>
                  </w:pPr>
                </w:p>
              </w:tc>
              <w:tc>
                <w:tcPr>
                  <w:tcW w:w="3076" w:type="dxa"/>
                  <w:vMerge w:val="restart"/>
                  <w:vAlign w:val="center"/>
                </w:tcPr>
                <w:p w14:paraId="7D1E96B5">
                  <w:pPr>
                    <w:pStyle w:val="42"/>
                  </w:pPr>
                  <w:r>
                    <w:rPr>
                      <w:rFonts w:hint="eastAsia"/>
                    </w:rPr>
                    <w:t>莎草科</w:t>
                  </w:r>
                  <w:r>
                    <w:t>Cyperaceae</w:t>
                  </w:r>
                </w:p>
              </w:tc>
              <w:tc>
                <w:tcPr>
                  <w:tcW w:w="4207" w:type="dxa"/>
                  <w:vAlign w:val="center"/>
                </w:tcPr>
                <w:p w14:paraId="19889A4A">
                  <w:pPr>
                    <w:pStyle w:val="42"/>
                    <w:rPr>
                      <w:i/>
                      <w:iCs/>
                    </w:rPr>
                  </w:pPr>
                  <w:r>
                    <w:rPr>
                      <w:rFonts w:hint="eastAsia"/>
                      <w:i/>
                      <w:iCs/>
                    </w:rPr>
                    <w:t>水葱</w:t>
                  </w:r>
                  <w:r>
                    <w:rPr>
                      <w:i/>
                      <w:iCs/>
                    </w:rPr>
                    <w:t>Scirpus tabernaemontani</w:t>
                  </w:r>
                </w:p>
              </w:tc>
            </w:tr>
            <w:tr w14:paraId="180AF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460CEE56">
                  <w:pPr>
                    <w:pStyle w:val="42"/>
                  </w:pPr>
                </w:p>
              </w:tc>
              <w:tc>
                <w:tcPr>
                  <w:tcW w:w="3076" w:type="dxa"/>
                  <w:vMerge w:val="continue"/>
                  <w:vAlign w:val="center"/>
                </w:tcPr>
                <w:p w14:paraId="7920333A">
                  <w:pPr>
                    <w:pStyle w:val="42"/>
                  </w:pPr>
                </w:p>
              </w:tc>
              <w:tc>
                <w:tcPr>
                  <w:tcW w:w="4207" w:type="dxa"/>
                  <w:vAlign w:val="center"/>
                </w:tcPr>
                <w:p w14:paraId="635A3E0A">
                  <w:pPr>
                    <w:pStyle w:val="42"/>
                    <w:rPr>
                      <w:i/>
                      <w:iCs/>
                    </w:rPr>
                  </w:pPr>
                  <w:r>
                    <w:rPr>
                      <w:rFonts w:hint="eastAsia"/>
                      <w:i/>
                      <w:iCs/>
                    </w:rPr>
                    <w:t>球穗苔草</w:t>
                  </w:r>
                  <w:r>
                    <w:rPr>
                      <w:i/>
                      <w:iCs/>
                    </w:rPr>
                    <w:t>Carex.globularis</w:t>
                  </w:r>
                </w:p>
              </w:tc>
            </w:tr>
            <w:tr w14:paraId="658E7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789E436A">
                  <w:pPr>
                    <w:pStyle w:val="42"/>
                  </w:pPr>
                </w:p>
              </w:tc>
              <w:tc>
                <w:tcPr>
                  <w:tcW w:w="3076" w:type="dxa"/>
                  <w:vAlign w:val="center"/>
                </w:tcPr>
                <w:p w14:paraId="6A8D2494">
                  <w:pPr>
                    <w:pStyle w:val="42"/>
                  </w:pPr>
                  <w:r>
                    <w:rPr>
                      <w:rFonts w:hint="eastAsia"/>
                    </w:rPr>
                    <w:t>灯心草科</w:t>
                  </w:r>
                  <w:r>
                    <w:t>Juncaceae</w:t>
                  </w:r>
                </w:p>
              </w:tc>
              <w:tc>
                <w:tcPr>
                  <w:tcW w:w="4207" w:type="dxa"/>
                  <w:vAlign w:val="center"/>
                </w:tcPr>
                <w:p w14:paraId="43C13155">
                  <w:pPr>
                    <w:pStyle w:val="42"/>
                    <w:rPr>
                      <w:i/>
                      <w:iCs/>
                    </w:rPr>
                  </w:pPr>
                  <w:r>
                    <w:rPr>
                      <w:rFonts w:hint="eastAsia"/>
                      <w:i/>
                      <w:iCs/>
                    </w:rPr>
                    <w:t>细灯心草</w:t>
                  </w:r>
                  <w:r>
                    <w:rPr>
                      <w:i/>
                      <w:iCs/>
                    </w:rPr>
                    <w:t>Juncus gracillimus</w:t>
                  </w:r>
                </w:p>
              </w:tc>
            </w:tr>
            <w:tr w14:paraId="099A2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4" w:hRule="atLeast"/>
              </w:trPr>
              <w:tc>
                <w:tcPr>
                  <w:tcW w:w="1959" w:type="dxa"/>
                  <w:vMerge w:val="continue"/>
                  <w:vAlign w:val="center"/>
                </w:tcPr>
                <w:p w14:paraId="253D9CDE">
                  <w:pPr>
                    <w:pStyle w:val="42"/>
                  </w:pPr>
                </w:p>
              </w:tc>
              <w:tc>
                <w:tcPr>
                  <w:tcW w:w="3076" w:type="dxa"/>
                  <w:vAlign w:val="center"/>
                </w:tcPr>
                <w:p w14:paraId="47B7B86E">
                  <w:pPr>
                    <w:pStyle w:val="42"/>
                  </w:pPr>
                  <w:r>
                    <w:rPr>
                      <w:rFonts w:hint="eastAsia"/>
                    </w:rPr>
                    <w:t>花蔺科</w:t>
                  </w:r>
                  <w:r>
                    <w:t>Butomaceae</w:t>
                  </w:r>
                </w:p>
              </w:tc>
              <w:tc>
                <w:tcPr>
                  <w:tcW w:w="4207" w:type="dxa"/>
                  <w:vAlign w:val="center"/>
                </w:tcPr>
                <w:p w14:paraId="6E2B2E3F">
                  <w:pPr>
                    <w:pStyle w:val="42"/>
                    <w:rPr>
                      <w:i/>
                      <w:iCs/>
                    </w:rPr>
                  </w:pPr>
                  <w:r>
                    <w:rPr>
                      <w:rFonts w:hint="eastAsia"/>
                      <w:i/>
                      <w:iCs/>
                    </w:rPr>
                    <w:t>花蔺</w:t>
                  </w:r>
                  <w:r>
                    <w:rPr>
                      <w:i/>
                      <w:iCs/>
                    </w:rPr>
                    <w:t>Butomus umbellatus (L.)</w:t>
                  </w:r>
                </w:p>
              </w:tc>
            </w:tr>
            <w:bookmarkEnd w:id="16"/>
          </w:tbl>
          <w:p w14:paraId="5D64F61D">
            <w:pPr>
              <w:spacing w:line="360" w:lineRule="auto"/>
              <w:ind w:firstLine="480" w:firstLineChars="200"/>
            </w:pPr>
          </w:p>
          <w:p w14:paraId="544D02A7">
            <w:pPr>
              <w:spacing w:line="360" w:lineRule="auto"/>
              <w:ind w:firstLine="480" w:firstLineChars="200"/>
            </w:pPr>
            <w:r>
              <w:rPr>
                <w:rFonts w:hint="eastAsia"/>
              </w:rPr>
              <w:t>②分布特点</w:t>
            </w:r>
          </w:p>
          <w:p w14:paraId="1EDFACBD">
            <w:pPr>
              <w:spacing w:line="360" w:lineRule="auto"/>
              <w:ind w:firstLine="480" w:firstLineChars="200"/>
            </w:pPr>
            <w:r>
              <w:rPr>
                <w:rFonts w:hint="eastAsia"/>
              </w:rPr>
              <w:t>调查范围内江段水生维管束植物类型是以温带性质的种为主，其次是热带性质的成分，亚寒带-寒带性质的成分种类较少。评价区江段以草本植物居优势地位，以水生、沼生和湿生为主，形成芦苇群落、香蒲群落、莎草群落、眼子菜群落等，多生长在河滩湿地和沼泽环境中，反映了湿地植物特别是水生植物所生长的水域环境其温度较为稳定的地理分布共性。芦苇作为建群种形成单优势群落，为本区面积最大的、典型的植被类型，也为迁徙的候鸟涉禽提供了天然的隐蔽栖息地。</w:t>
            </w:r>
          </w:p>
          <w:p w14:paraId="463D4A71">
            <w:pPr>
              <w:spacing w:line="360" w:lineRule="auto"/>
              <w:ind w:firstLine="480" w:firstLineChars="200"/>
            </w:pPr>
            <w:r>
              <w:rPr>
                <w:rFonts w:hint="eastAsia"/>
              </w:rPr>
              <w:t>③现状评价</w:t>
            </w:r>
          </w:p>
          <w:p w14:paraId="7F0F805D">
            <w:pPr>
              <w:spacing w:line="360" w:lineRule="auto"/>
              <w:ind w:firstLine="480" w:firstLineChars="200"/>
            </w:pPr>
            <w:r>
              <w:rPr>
                <w:rFonts w:hint="eastAsia"/>
              </w:rPr>
              <w:t>水生维管束植物对评价区江段的生物多样性和生态网的构建有其自己的作用。一些经济鱼类，如鲫、鲤等产粘性卵的鱼类，均将卵产于水生维管束植物上，因此在一些水体中当原有水生维管束植物大量消亡时，鱼类的产卵场就遭到了破坏，影响了土著鱼类的产卵、繁殖。此外，水体中的水生维管束植物也是鱼类良好的索饵、逃避敌害的场所。</w:t>
            </w:r>
            <w:bookmarkEnd w:id="6"/>
          </w:p>
          <w:p w14:paraId="3704A4CF">
            <w:pPr>
              <w:spacing w:line="360" w:lineRule="auto"/>
              <w:ind w:firstLine="482" w:firstLineChars="200"/>
              <w:rPr>
                <w:b/>
                <w:bCs/>
                <w:u w:val="single"/>
              </w:rPr>
            </w:pPr>
            <w:r>
              <w:rPr>
                <w:rFonts w:hint="eastAsia"/>
                <w:b/>
                <w:bCs/>
                <w:u w:val="single"/>
              </w:rPr>
              <w:t>7、工程地质及河流底质现状</w:t>
            </w:r>
          </w:p>
          <w:p w14:paraId="18F2E1AC">
            <w:pPr>
              <w:spacing w:line="360" w:lineRule="auto"/>
              <w:ind w:firstLine="482" w:firstLineChars="200"/>
              <w:rPr>
                <w:b/>
                <w:bCs/>
                <w:u w:val="single"/>
              </w:rPr>
            </w:pPr>
            <w:r>
              <w:rPr>
                <w:rFonts w:hint="eastAsia"/>
                <w:b/>
                <w:bCs/>
                <w:u w:val="single"/>
              </w:rPr>
              <w:t>根据天津水运工程勘察设计院编制的《鸭绿江临江船舶临时停靠基地专项养护工程岩土工程勘察报告》，以及天津华兴勘察设计有限公司编制的《鸭绿江临江航道码头建设工程补充勘察岩土工程勘察报告》中的相关内容，明确工程场地岩土层分为2 个工程地质层（第四系全新统冲洪积层（Q</w:t>
            </w:r>
            <w:r>
              <w:rPr>
                <w:rFonts w:hint="eastAsia"/>
                <w:b/>
                <w:bCs/>
                <w:u w:val="single"/>
                <w:vertAlign w:val="subscript"/>
              </w:rPr>
              <w:t>4</w:t>
            </w:r>
            <w:r>
              <w:rPr>
                <w:rFonts w:hint="eastAsia"/>
                <w:b/>
                <w:bCs/>
                <w:u w:val="single"/>
                <w:vertAlign w:val="superscript"/>
              </w:rPr>
              <w:t>al+pl</w:t>
            </w:r>
            <w:r>
              <w:rPr>
                <w:rFonts w:hint="eastAsia"/>
                <w:b/>
                <w:bCs/>
                <w:u w:val="single"/>
              </w:rPr>
              <w:t>）及下远古界石英砂岩（P</w:t>
            </w:r>
            <w:r>
              <w:rPr>
                <w:rFonts w:hint="eastAsia"/>
                <w:b/>
                <w:bCs/>
                <w:u w:val="single"/>
                <w:vertAlign w:val="subscript"/>
              </w:rPr>
              <w:t>t1</w:t>
            </w:r>
            <w:r>
              <w:rPr>
                <w:rFonts w:hint="eastAsia"/>
                <w:b/>
                <w:bCs/>
                <w:u w:val="single"/>
              </w:rPr>
              <w:t>）），进一步划分为5个工程地质亚层，现自上而下分述之：</w:t>
            </w:r>
          </w:p>
          <w:p w14:paraId="12A9D626">
            <w:pPr>
              <w:spacing w:line="360" w:lineRule="auto"/>
              <w:ind w:firstLine="482" w:firstLineChars="200"/>
              <w:rPr>
                <w:b/>
                <w:bCs/>
                <w:u w:val="single"/>
              </w:rPr>
            </w:pPr>
            <w:r>
              <w:rPr>
                <w:rFonts w:hint="eastAsia"/>
                <w:b/>
                <w:bCs/>
                <w:u w:val="single"/>
              </w:rPr>
              <w:t>（1）第四系全新统冲洪积层（Q</w:t>
            </w:r>
            <w:r>
              <w:rPr>
                <w:rFonts w:hint="eastAsia"/>
                <w:b/>
                <w:bCs/>
                <w:u w:val="single"/>
                <w:vertAlign w:val="subscript"/>
              </w:rPr>
              <w:t>4</w:t>
            </w:r>
            <w:r>
              <w:rPr>
                <w:rFonts w:hint="eastAsia"/>
                <w:b/>
                <w:bCs/>
                <w:u w:val="single"/>
                <w:vertAlign w:val="superscript"/>
              </w:rPr>
              <w:t>al+pl</w:t>
            </w:r>
            <w:r>
              <w:rPr>
                <w:rFonts w:hint="eastAsia"/>
                <w:b/>
                <w:bCs/>
                <w:u w:val="single"/>
              </w:rPr>
              <w:t>）</w:t>
            </w:r>
          </w:p>
          <w:p w14:paraId="604C30A1">
            <w:pPr>
              <w:spacing w:line="360" w:lineRule="auto"/>
              <w:ind w:firstLine="482" w:firstLineChars="200"/>
              <w:rPr>
                <w:b/>
                <w:bCs/>
                <w:u w:val="single"/>
              </w:rPr>
            </w:pPr>
            <w:r>
              <w:rPr>
                <w:rFonts w:hint="eastAsia"/>
                <w:b/>
                <w:bCs/>
                <w:u w:val="single"/>
              </w:rPr>
              <w:t>层厚2.00～7.80m，层顶标高318.43～316.75m，该层从上而下可分为2 个亚层。</w:t>
            </w:r>
          </w:p>
          <w:p w14:paraId="708F3FD4">
            <w:pPr>
              <w:spacing w:line="360" w:lineRule="auto"/>
              <w:ind w:firstLine="482" w:firstLineChars="200"/>
              <w:rPr>
                <w:b/>
                <w:bCs/>
                <w:u w:val="single"/>
              </w:rPr>
            </w:pPr>
            <w:r>
              <w:rPr>
                <w:rFonts w:hint="eastAsia"/>
                <w:b/>
                <w:bCs/>
                <w:u w:val="single"/>
              </w:rPr>
              <w:t>第一亚层，漂石（地层编号①</w:t>
            </w:r>
            <w:r>
              <w:rPr>
                <w:rFonts w:hint="eastAsia"/>
                <w:b/>
                <w:bCs/>
                <w:u w:val="single"/>
                <w:vertAlign w:val="subscript"/>
              </w:rPr>
              <w:t>1</w:t>
            </w:r>
            <w:r>
              <w:rPr>
                <w:rFonts w:hint="eastAsia"/>
                <w:b/>
                <w:bCs/>
                <w:u w:val="single"/>
              </w:rPr>
              <w:t>）：层顶标高318.99m，层底标高312.99m，厚度一般为5.20m左右，呈杂色，密实状态，母岩成分以石英砂岩为主，形状以圆形及亚圆形为主，磨圆较好，粒径大于20cm，中粗砂充填约占40%。仅在K9号孔附近分布。</w:t>
            </w:r>
          </w:p>
          <w:p w14:paraId="38801BAD">
            <w:pPr>
              <w:spacing w:line="360" w:lineRule="auto"/>
              <w:ind w:firstLine="482" w:firstLineChars="200"/>
              <w:rPr>
                <w:b/>
                <w:bCs/>
                <w:u w:val="single"/>
              </w:rPr>
            </w:pPr>
            <w:r>
              <w:rPr>
                <w:rFonts w:hint="eastAsia"/>
                <w:b/>
                <w:bCs/>
                <w:u w:val="single"/>
              </w:rPr>
              <w:t>第二亚层，卵石（地层编号①</w:t>
            </w:r>
            <w:r>
              <w:rPr>
                <w:rFonts w:hint="eastAsia"/>
                <w:b/>
                <w:bCs/>
                <w:u w:val="single"/>
                <w:vertAlign w:val="subscript"/>
              </w:rPr>
              <w:t>2</w:t>
            </w:r>
            <w:r>
              <w:rPr>
                <w:rFonts w:hint="eastAsia"/>
                <w:b/>
                <w:bCs/>
                <w:u w:val="single"/>
              </w:rPr>
              <w:t>）：层顶标高318.43～312.99m，层底标高316.43～309.64m，厚度一般为1.60～7.80m，呈杂色，密实状态，夹漂石，局部夹圆砾。母岩成分主要以花岗岩、石英砂岩为主，形状以椭圆形为主、圆形次之，磨圆较好，一般粒径约为2～8cm，最大粒径11cm，骨架颗粒含量约80%～90%，充填物为中粗砂。本层土在钻孔揭露深度范围内普遍存在。</w:t>
            </w:r>
          </w:p>
          <w:p w14:paraId="219AF9A9">
            <w:pPr>
              <w:spacing w:line="360" w:lineRule="auto"/>
              <w:ind w:firstLine="482" w:firstLineChars="200"/>
              <w:rPr>
                <w:b/>
                <w:bCs/>
                <w:u w:val="single"/>
              </w:rPr>
            </w:pPr>
            <w:r>
              <w:rPr>
                <w:rFonts w:hint="eastAsia"/>
                <w:b/>
                <w:bCs/>
                <w:u w:val="single"/>
              </w:rPr>
              <w:t>（2）下远古界石英砂岩（Pt1）</w:t>
            </w:r>
          </w:p>
          <w:p w14:paraId="339826D4">
            <w:pPr>
              <w:spacing w:line="360" w:lineRule="auto"/>
              <w:ind w:firstLine="482" w:firstLineChars="200"/>
              <w:rPr>
                <w:b/>
                <w:bCs/>
                <w:u w:val="single"/>
              </w:rPr>
            </w:pPr>
            <w:r>
              <w:rPr>
                <w:rFonts w:hint="eastAsia"/>
                <w:b/>
                <w:bCs/>
                <w:u w:val="single"/>
              </w:rPr>
              <w:t>本次勘察钻至最低标高305.16m，未穿透此层，揭露最大厚度7.80m，顶板标高为318.20～309.64m，该层从上而下可分为3个亚层。</w:t>
            </w:r>
          </w:p>
          <w:p w14:paraId="4CD80D1F">
            <w:pPr>
              <w:spacing w:line="360" w:lineRule="auto"/>
              <w:ind w:firstLine="482" w:firstLineChars="200"/>
              <w:rPr>
                <w:b/>
                <w:bCs/>
                <w:u w:val="single"/>
              </w:rPr>
            </w:pPr>
            <w:r>
              <w:rPr>
                <w:rFonts w:hint="eastAsia"/>
                <w:b/>
                <w:bCs/>
                <w:u w:val="single"/>
              </w:rPr>
              <w:t>第一亚层，全风化石英砂岩（地层编号②</w:t>
            </w:r>
            <w:r>
              <w:rPr>
                <w:rFonts w:hint="eastAsia"/>
                <w:b/>
                <w:bCs/>
                <w:u w:val="single"/>
                <w:vertAlign w:val="subscript"/>
              </w:rPr>
              <w:t>1</w:t>
            </w:r>
            <w:r>
              <w:rPr>
                <w:rFonts w:hint="eastAsia"/>
                <w:b/>
                <w:bCs/>
                <w:u w:val="single"/>
              </w:rPr>
              <w:t>）：层顶标高312.96～311.13m，层底标高312.16～310.53m，厚度一般为0.60～1.10m，呈黄褐色，结构基本破坏，但尚可辨认，呈散体状结构，风化成砂状，有微弱的残余结构强度。仅在K1、K2、K3 号孔附近分布。</w:t>
            </w:r>
          </w:p>
          <w:p w14:paraId="4F0F71B5">
            <w:pPr>
              <w:spacing w:line="360" w:lineRule="auto"/>
              <w:ind w:firstLine="482" w:firstLineChars="200"/>
              <w:rPr>
                <w:b/>
                <w:bCs/>
                <w:u w:val="single"/>
              </w:rPr>
            </w:pPr>
            <w:r>
              <w:rPr>
                <w:rFonts w:hint="eastAsia"/>
                <w:b/>
                <w:bCs/>
                <w:u w:val="single"/>
              </w:rPr>
              <w:t>第二亚层，强风化石英砂岩（地层编号②</w:t>
            </w:r>
            <w:r>
              <w:rPr>
                <w:rFonts w:hint="eastAsia"/>
                <w:b/>
                <w:bCs/>
                <w:u w:val="single"/>
                <w:vertAlign w:val="subscript"/>
              </w:rPr>
              <w:t>2</w:t>
            </w:r>
            <w:r>
              <w:rPr>
                <w:rFonts w:hint="eastAsia"/>
                <w:b/>
                <w:bCs/>
                <w:u w:val="single"/>
              </w:rPr>
              <w:t>）：层顶标高312.16～309.64m，层底标高309.55～305.66m，厚度一般为0.90～6.50m，呈青灰色。其中在K5、K8号孔附近缺失该层。主要为石英、长石碎屑，碎裂状结构，岩芯为碎裂状或碎屑状，含少量风化碎块，碎块易碎，RQD分类为极差，属较软岩，岩体破碎～极破碎，岩体基本质量指标属Ⅴ级。</w:t>
            </w:r>
          </w:p>
          <w:p w14:paraId="322E4FBE">
            <w:pPr>
              <w:spacing w:line="360" w:lineRule="auto"/>
              <w:ind w:firstLine="482" w:firstLineChars="200"/>
              <w:rPr>
                <w:b/>
                <w:bCs/>
                <w:u w:val="single"/>
              </w:rPr>
            </w:pPr>
            <w:r>
              <w:rPr>
                <w:rFonts w:hint="eastAsia"/>
                <w:b/>
                <w:bCs/>
                <w:u w:val="single"/>
              </w:rPr>
              <w:t>第三亚层，中风化石英砂岩（地层编号②</w:t>
            </w:r>
            <w:r>
              <w:rPr>
                <w:rFonts w:hint="eastAsia"/>
                <w:b/>
                <w:bCs/>
                <w:u w:val="single"/>
                <w:vertAlign w:val="subscript"/>
              </w:rPr>
              <w:t>3</w:t>
            </w:r>
            <w:r>
              <w:rPr>
                <w:rFonts w:hint="eastAsia"/>
                <w:b/>
                <w:bCs/>
                <w:u w:val="single"/>
              </w:rPr>
              <w:t>）：层顶标高315.20～305.66m，勘察时未钻透该层，揭露最大厚度3.00m，呈青灰色～肉红色，中粗粒砂状构造，块状结构，含石英、长石，硅质胶结，岩芯为块状及短柱状，为较硬岩，岩体较破碎，岩体基本质量指标属Ⅳ级，一般柱长约5～8cm，最大柱长12cm。</w:t>
            </w:r>
          </w:p>
          <w:p w14:paraId="21AA30DE">
            <w:pPr>
              <w:spacing w:line="360" w:lineRule="auto"/>
              <w:ind w:firstLine="482" w:firstLineChars="200"/>
              <w:rPr>
                <w:b/>
                <w:bCs/>
                <w:u w:val="single"/>
              </w:rPr>
            </w:pPr>
            <w:r>
              <w:rPr>
                <w:rFonts w:hint="eastAsia"/>
                <w:b/>
                <w:bCs/>
                <w:u w:val="single"/>
              </w:rPr>
              <w:t>根据《疏浚与吹填土工程设计规范》（JTS 181-5-2012），场区内各地基土层的疏浚岩土分级如下表所示：</w:t>
            </w:r>
          </w:p>
          <w:p w14:paraId="2E840ED1">
            <w:pPr>
              <w:spacing w:line="360" w:lineRule="auto"/>
              <w:ind w:firstLine="480" w:firstLineChars="200"/>
            </w:pPr>
          </w:p>
          <w:p w14:paraId="7A63FE80">
            <w:pPr>
              <w:spacing w:line="360" w:lineRule="auto"/>
              <w:jc w:val="center"/>
              <w:rPr>
                <w:b/>
                <w:bCs/>
                <w:u w:val="single"/>
              </w:rPr>
            </w:pPr>
            <w:r>
              <w:rPr>
                <w:rFonts w:hint="eastAsia"/>
                <w:b/>
                <w:bCs/>
                <w:u w:val="single"/>
              </w:rPr>
              <w:t>表33     各地基土层的疏浚岩土分级一览表</w:t>
            </w:r>
          </w:p>
          <w:tbl>
            <w:tblPr>
              <w:tblStyle w:val="5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7"/>
              <w:gridCol w:w="2627"/>
              <w:gridCol w:w="2631"/>
            </w:tblGrid>
            <w:tr w14:paraId="6D85B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676574A8">
                  <w:pPr>
                    <w:jc w:val="center"/>
                    <w:rPr>
                      <w:rFonts w:cs="Times New Roman"/>
                      <w:i/>
                      <w:iCs/>
                      <w:kern w:val="0"/>
                      <w:sz w:val="21"/>
                      <w:szCs w:val="16"/>
                      <w:u w:val="single"/>
                    </w:rPr>
                  </w:pPr>
                  <w:r>
                    <w:rPr>
                      <w:rFonts w:hint="eastAsia" w:cs="Times New Roman"/>
                      <w:i/>
                      <w:iCs/>
                      <w:kern w:val="0"/>
                      <w:sz w:val="21"/>
                      <w:szCs w:val="16"/>
                      <w:u w:val="single"/>
                    </w:rPr>
                    <w:t>力学分层号</w:t>
                  </w:r>
                </w:p>
              </w:tc>
              <w:tc>
                <w:tcPr>
                  <w:tcW w:w="1666" w:type="pct"/>
                  <w:vAlign w:val="center"/>
                </w:tcPr>
                <w:p w14:paraId="3A392CF8">
                  <w:pPr>
                    <w:jc w:val="center"/>
                    <w:rPr>
                      <w:rFonts w:cs="Times New Roman"/>
                      <w:i/>
                      <w:iCs/>
                      <w:kern w:val="0"/>
                      <w:sz w:val="21"/>
                      <w:szCs w:val="16"/>
                      <w:u w:val="single"/>
                    </w:rPr>
                  </w:pPr>
                  <w:r>
                    <w:rPr>
                      <w:rFonts w:hint="eastAsia" w:cs="Times New Roman"/>
                      <w:i/>
                      <w:iCs/>
                      <w:kern w:val="0"/>
                      <w:sz w:val="21"/>
                      <w:szCs w:val="16"/>
                      <w:u w:val="single"/>
                    </w:rPr>
                    <w:t>土层名称</w:t>
                  </w:r>
                </w:p>
              </w:tc>
              <w:tc>
                <w:tcPr>
                  <w:tcW w:w="1668" w:type="pct"/>
                  <w:vAlign w:val="center"/>
                </w:tcPr>
                <w:p w14:paraId="3E7EFB10">
                  <w:pPr>
                    <w:jc w:val="center"/>
                    <w:rPr>
                      <w:rFonts w:cs="Times New Roman"/>
                      <w:i/>
                      <w:iCs/>
                      <w:kern w:val="0"/>
                      <w:sz w:val="21"/>
                      <w:szCs w:val="16"/>
                      <w:u w:val="single"/>
                    </w:rPr>
                  </w:pPr>
                  <w:r>
                    <w:rPr>
                      <w:rFonts w:hint="eastAsia" w:cs="Times New Roman"/>
                      <w:i/>
                      <w:iCs/>
                      <w:kern w:val="0"/>
                      <w:sz w:val="21"/>
                      <w:szCs w:val="16"/>
                      <w:u w:val="single"/>
                    </w:rPr>
                    <w:t>各土层疏浚级别</w:t>
                  </w:r>
                </w:p>
              </w:tc>
            </w:tr>
            <w:tr w14:paraId="6727F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E5D6C59">
                  <w:pPr>
                    <w:jc w:val="center"/>
                    <w:rPr>
                      <w:rFonts w:cs="Times New Roman"/>
                      <w:i/>
                      <w:iCs/>
                      <w:kern w:val="0"/>
                      <w:sz w:val="21"/>
                      <w:szCs w:val="16"/>
                      <w:u w:val="single"/>
                    </w:rPr>
                  </w:pPr>
                  <w:r>
                    <w:rPr>
                      <w:rFonts w:hint="eastAsia" w:cs="Times New Roman"/>
                      <w:i/>
                      <w:iCs/>
                      <w:kern w:val="0"/>
                      <w:sz w:val="21"/>
                      <w:szCs w:val="16"/>
                      <w:u w:val="single"/>
                    </w:rPr>
                    <w:t>①</w:t>
                  </w:r>
                  <w:r>
                    <w:rPr>
                      <w:rFonts w:hint="eastAsia" w:cs="Times New Roman"/>
                      <w:i/>
                      <w:iCs/>
                      <w:kern w:val="0"/>
                      <w:sz w:val="21"/>
                      <w:szCs w:val="16"/>
                      <w:u w:val="single"/>
                      <w:vertAlign w:val="subscript"/>
                    </w:rPr>
                    <w:t>1</w:t>
                  </w:r>
                </w:p>
              </w:tc>
              <w:tc>
                <w:tcPr>
                  <w:tcW w:w="1666" w:type="pct"/>
                  <w:vAlign w:val="center"/>
                </w:tcPr>
                <w:p w14:paraId="21126C9F">
                  <w:pPr>
                    <w:jc w:val="center"/>
                    <w:rPr>
                      <w:rFonts w:cs="Times New Roman"/>
                      <w:i/>
                      <w:iCs/>
                      <w:kern w:val="0"/>
                      <w:sz w:val="21"/>
                      <w:szCs w:val="16"/>
                      <w:u w:val="single"/>
                    </w:rPr>
                  </w:pPr>
                  <w:r>
                    <w:rPr>
                      <w:rFonts w:hint="eastAsia" w:cs="Times New Roman"/>
                      <w:i/>
                      <w:iCs/>
                      <w:kern w:val="0"/>
                      <w:sz w:val="21"/>
                      <w:szCs w:val="16"/>
                      <w:u w:val="single"/>
                    </w:rPr>
                    <w:t>漂石</w:t>
                  </w:r>
                </w:p>
              </w:tc>
              <w:tc>
                <w:tcPr>
                  <w:tcW w:w="1668" w:type="pct"/>
                  <w:vAlign w:val="center"/>
                </w:tcPr>
                <w:p w14:paraId="5ADDE4E1">
                  <w:pPr>
                    <w:jc w:val="center"/>
                    <w:rPr>
                      <w:rFonts w:cs="Times New Roman"/>
                      <w:i/>
                      <w:iCs/>
                      <w:kern w:val="0"/>
                      <w:sz w:val="21"/>
                      <w:szCs w:val="16"/>
                      <w:u w:val="single"/>
                    </w:rPr>
                  </w:pPr>
                  <w:r>
                    <w:rPr>
                      <w:rFonts w:hint="eastAsia" w:cs="Times New Roman"/>
                      <w:i/>
                      <w:iCs/>
                      <w:kern w:val="0"/>
                      <w:sz w:val="21"/>
                      <w:szCs w:val="16"/>
                      <w:u w:val="single"/>
                    </w:rPr>
                    <w:t>10</w:t>
                  </w:r>
                </w:p>
              </w:tc>
            </w:tr>
            <w:tr w14:paraId="2DD03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150640E">
                  <w:pPr>
                    <w:jc w:val="center"/>
                    <w:rPr>
                      <w:rFonts w:cs="Times New Roman"/>
                      <w:i/>
                      <w:iCs/>
                      <w:kern w:val="0"/>
                      <w:sz w:val="21"/>
                      <w:szCs w:val="16"/>
                      <w:u w:val="single"/>
                    </w:rPr>
                  </w:pPr>
                  <w:r>
                    <w:rPr>
                      <w:rFonts w:hint="eastAsia" w:cs="Times New Roman"/>
                      <w:i/>
                      <w:iCs/>
                      <w:kern w:val="0"/>
                      <w:sz w:val="21"/>
                      <w:szCs w:val="16"/>
                      <w:u w:val="single"/>
                    </w:rPr>
                    <w:t>①</w:t>
                  </w:r>
                  <w:r>
                    <w:rPr>
                      <w:rFonts w:hint="eastAsia" w:cs="Times New Roman"/>
                      <w:i/>
                      <w:iCs/>
                      <w:kern w:val="0"/>
                      <w:sz w:val="21"/>
                      <w:szCs w:val="16"/>
                      <w:u w:val="single"/>
                      <w:vertAlign w:val="subscript"/>
                    </w:rPr>
                    <w:t>2</w:t>
                  </w:r>
                </w:p>
              </w:tc>
              <w:tc>
                <w:tcPr>
                  <w:tcW w:w="1666" w:type="pct"/>
                  <w:vAlign w:val="center"/>
                </w:tcPr>
                <w:p w14:paraId="341B7396">
                  <w:pPr>
                    <w:jc w:val="center"/>
                    <w:rPr>
                      <w:rFonts w:cs="Times New Roman"/>
                      <w:i/>
                      <w:iCs/>
                      <w:kern w:val="0"/>
                      <w:sz w:val="21"/>
                      <w:szCs w:val="16"/>
                      <w:u w:val="single"/>
                    </w:rPr>
                  </w:pPr>
                  <w:r>
                    <w:rPr>
                      <w:rFonts w:hint="eastAsia" w:cs="Times New Roman"/>
                      <w:i/>
                      <w:iCs/>
                      <w:kern w:val="0"/>
                      <w:sz w:val="21"/>
                      <w:szCs w:val="16"/>
                      <w:u w:val="single"/>
                    </w:rPr>
                    <w:t>卵石</w:t>
                  </w:r>
                </w:p>
              </w:tc>
              <w:tc>
                <w:tcPr>
                  <w:tcW w:w="1668" w:type="pct"/>
                  <w:vAlign w:val="center"/>
                </w:tcPr>
                <w:p w14:paraId="1C2E0DB2">
                  <w:pPr>
                    <w:jc w:val="center"/>
                    <w:rPr>
                      <w:rFonts w:cs="Times New Roman"/>
                      <w:i/>
                      <w:iCs/>
                      <w:kern w:val="0"/>
                      <w:sz w:val="21"/>
                      <w:szCs w:val="16"/>
                      <w:u w:val="single"/>
                    </w:rPr>
                  </w:pPr>
                  <w:r>
                    <w:rPr>
                      <w:rFonts w:hint="eastAsia" w:cs="Times New Roman"/>
                      <w:i/>
                      <w:iCs/>
                      <w:kern w:val="0"/>
                      <w:sz w:val="21"/>
                      <w:szCs w:val="16"/>
                      <w:u w:val="single"/>
                    </w:rPr>
                    <w:t>10</w:t>
                  </w:r>
                </w:p>
              </w:tc>
            </w:tr>
            <w:tr w14:paraId="079B5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0301DBA">
                  <w:pPr>
                    <w:jc w:val="center"/>
                    <w:rPr>
                      <w:rFonts w:cs="Times New Roman"/>
                      <w:i/>
                      <w:iCs/>
                      <w:kern w:val="0"/>
                      <w:sz w:val="21"/>
                      <w:szCs w:val="16"/>
                      <w:u w:val="single"/>
                    </w:rPr>
                  </w:pPr>
                  <w:r>
                    <w:rPr>
                      <w:rFonts w:hint="eastAsia" w:cs="Times New Roman"/>
                      <w:i/>
                      <w:iCs/>
                      <w:kern w:val="0"/>
                      <w:sz w:val="21"/>
                      <w:szCs w:val="16"/>
                      <w:u w:val="single"/>
                    </w:rPr>
                    <w:t>②</w:t>
                  </w:r>
                  <w:r>
                    <w:rPr>
                      <w:rFonts w:hint="eastAsia" w:cs="Times New Roman"/>
                      <w:i/>
                      <w:iCs/>
                      <w:kern w:val="0"/>
                      <w:sz w:val="21"/>
                      <w:szCs w:val="16"/>
                      <w:u w:val="single"/>
                      <w:vertAlign w:val="subscript"/>
                    </w:rPr>
                    <w:t>1</w:t>
                  </w:r>
                </w:p>
              </w:tc>
              <w:tc>
                <w:tcPr>
                  <w:tcW w:w="1666" w:type="pct"/>
                  <w:vAlign w:val="center"/>
                </w:tcPr>
                <w:p w14:paraId="50F1276F">
                  <w:pPr>
                    <w:jc w:val="center"/>
                    <w:rPr>
                      <w:rFonts w:cs="Times New Roman"/>
                      <w:i/>
                      <w:iCs/>
                      <w:kern w:val="0"/>
                      <w:sz w:val="21"/>
                      <w:szCs w:val="16"/>
                      <w:u w:val="single"/>
                    </w:rPr>
                  </w:pPr>
                  <w:r>
                    <w:rPr>
                      <w:rFonts w:hint="eastAsia" w:cs="Times New Roman"/>
                      <w:i/>
                      <w:iCs/>
                      <w:kern w:val="0"/>
                      <w:sz w:val="21"/>
                      <w:szCs w:val="16"/>
                      <w:u w:val="single"/>
                    </w:rPr>
                    <w:t>全风化石英砂岩</w:t>
                  </w:r>
                </w:p>
              </w:tc>
              <w:tc>
                <w:tcPr>
                  <w:tcW w:w="1668" w:type="pct"/>
                  <w:vAlign w:val="center"/>
                </w:tcPr>
                <w:p w14:paraId="4E82B660">
                  <w:pPr>
                    <w:jc w:val="center"/>
                    <w:rPr>
                      <w:rFonts w:cs="Times New Roman"/>
                      <w:i/>
                      <w:iCs/>
                      <w:kern w:val="0"/>
                      <w:sz w:val="21"/>
                      <w:szCs w:val="16"/>
                      <w:u w:val="single"/>
                    </w:rPr>
                  </w:pPr>
                  <w:r>
                    <w:rPr>
                      <w:rFonts w:hint="eastAsia" w:cs="Times New Roman"/>
                      <w:i/>
                      <w:iCs/>
                      <w:kern w:val="0"/>
                      <w:sz w:val="21"/>
                      <w:szCs w:val="16"/>
                      <w:u w:val="single"/>
                    </w:rPr>
                    <w:t>12</w:t>
                  </w:r>
                </w:p>
              </w:tc>
            </w:tr>
            <w:tr w14:paraId="29D7A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3DBD979">
                  <w:pPr>
                    <w:jc w:val="center"/>
                    <w:rPr>
                      <w:rFonts w:cs="Times New Roman"/>
                      <w:i/>
                      <w:iCs/>
                      <w:kern w:val="0"/>
                      <w:sz w:val="21"/>
                      <w:szCs w:val="16"/>
                      <w:u w:val="single"/>
                    </w:rPr>
                  </w:pPr>
                  <w:r>
                    <w:rPr>
                      <w:rFonts w:hint="eastAsia" w:cs="Times New Roman"/>
                      <w:i/>
                      <w:iCs/>
                      <w:kern w:val="0"/>
                      <w:sz w:val="21"/>
                      <w:szCs w:val="16"/>
                      <w:u w:val="single"/>
                    </w:rPr>
                    <w:t>②</w:t>
                  </w:r>
                  <w:r>
                    <w:rPr>
                      <w:rFonts w:hint="eastAsia" w:cs="Times New Roman"/>
                      <w:i/>
                      <w:iCs/>
                      <w:kern w:val="0"/>
                      <w:sz w:val="21"/>
                      <w:szCs w:val="16"/>
                      <w:u w:val="single"/>
                      <w:vertAlign w:val="subscript"/>
                    </w:rPr>
                    <w:t>2</w:t>
                  </w:r>
                </w:p>
              </w:tc>
              <w:tc>
                <w:tcPr>
                  <w:tcW w:w="1666" w:type="pct"/>
                  <w:vAlign w:val="center"/>
                </w:tcPr>
                <w:p w14:paraId="2432AE8E">
                  <w:pPr>
                    <w:jc w:val="center"/>
                    <w:rPr>
                      <w:rFonts w:cs="Times New Roman"/>
                      <w:i/>
                      <w:iCs/>
                      <w:kern w:val="0"/>
                      <w:sz w:val="21"/>
                      <w:szCs w:val="16"/>
                      <w:u w:val="single"/>
                    </w:rPr>
                  </w:pPr>
                  <w:r>
                    <w:rPr>
                      <w:rFonts w:hint="eastAsia" w:cs="Times New Roman"/>
                      <w:i/>
                      <w:iCs/>
                      <w:kern w:val="0"/>
                      <w:sz w:val="21"/>
                      <w:szCs w:val="16"/>
                      <w:u w:val="single"/>
                    </w:rPr>
                    <w:t>强风化石英砂岩</w:t>
                  </w:r>
                </w:p>
              </w:tc>
              <w:tc>
                <w:tcPr>
                  <w:tcW w:w="1668" w:type="pct"/>
                  <w:vAlign w:val="center"/>
                </w:tcPr>
                <w:p w14:paraId="475F4EE2">
                  <w:pPr>
                    <w:jc w:val="center"/>
                    <w:rPr>
                      <w:rFonts w:cs="Times New Roman"/>
                      <w:i/>
                      <w:iCs/>
                      <w:kern w:val="0"/>
                      <w:sz w:val="21"/>
                      <w:szCs w:val="16"/>
                      <w:u w:val="single"/>
                    </w:rPr>
                  </w:pPr>
                  <w:r>
                    <w:rPr>
                      <w:rFonts w:hint="eastAsia" w:cs="Times New Roman"/>
                      <w:i/>
                      <w:iCs/>
                      <w:kern w:val="0"/>
                      <w:sz w:val="21"/>
                      <w:szCs w:val="16"/>
                      <w:u w:val="single"/>
                    </w:rPr>
                    <w:t>13</w:t>
                  </w:r>
                </w:p>
              </w:tc>
            </w:tr>
          </w:tbl>
          <w:p w14:paraId="41338DDE">
            <w:pPr>
              <w:spacing w:line="360" w:lineRule="auto"/>
              <w:ind w:firstLine="480" w:firstLineChars="200"/>
            </w:pPr>
          </w:p>
          <w:p w14:paraId="760B928C">
            <w:pPr>
              <w:spacing w:line="360" w:lineRule="auto"/>
              <w:ind w:firstLine="482" w:firstLineChars="200"/>
              <w:rPr>
                <w:b/>
                <w:bCs/>
                <w:u w:val="single"/>
              </w:rPr>
            </w:pPr>
            <w:r>
              <w:rPr>
                <w:rFonts w:hint="eastAsia"/>
                <w:b/>
                <w:bCs/>
                <w:u w:val="single"/>
              </w:rPr>
              <w:t>鸭绿江本工程所在河段为砂石底质，自上而下第一层为第四系全新统冲洪积层（Q</w:t>
            </w:r>
            <w:r>
              <w:rPr>
                <w:rFonts w:hint="eastAsia"/>
                <w:b/>
                <w:bCs/>
                <w:u w:val="single"/>
                <w:vertAlign w:val="subscript"/>
              </w:rPr>
              <w:t>4</w:t>
            </w:r>
            <w:r>
              <w:rPr>
                <w:rFonts w:hint="eastAsia"/>
                <w:b/>
                <w:bCs/>
                <w:u w:val="single"/>
              </w:rPr>
              <w:t xml:space="preserve"> </w:t>
            </w:r>
            <w:r>
              <w:rPr>
                <w:rFonts w:hint="eastAsia"/>
                <w:b/>
                <w:bCs/>
                <w:u w:val="single"/>
                <w:vertAlign w:val="superscript"/>
              </w:rPr>
              <w:t>(al+pl)</w:t>
            </w:r>
            <w:r>
              <w:rPr>
                <w:rFonts w:hint="eastAsia"/>
                <w:b/>
                <w:bCs/>
                <w:u w:val="single"/>
              </w:rPr>
              <w:t>），层厚2.00～7.80m，主要亚层为卵石，粒径一般约2-8cm，骨架颗粒含量约80—90%，填充物为中粗砂。</w:t>
            </w:r>
          </w:p>
          <w:p w14:paraId="1BB45833">
            <w:pPr>
              <w:spacing w:line="360" w:lineRule="auto"/>
              <w:ind w:firstLine="480" w:firstLineChars="200"/>
            </w:pPr>
            <w:r>
              <w:rPr>
                <w:rFonts w:hint="eastAsia"/>
              </w:rPr>
              <w:t>8、水土流失现状</w:t>
            </w:r>
          </w:p>
          <w:p w14:paraId="70A85C5D">
            <w:pPr>
              <w:spacing w:line="360" w:lineRule="auto"/>
              <w:ind w:firstLine="480" w:firstLineChars="200"/>
              <w:rPr>
                <w:highlight w:val="yellow"/>
              </w:rPr>
            </w:pPr>
            <w:r>
              <w:rPr>
                <w:rFonts w:cs="Times New Roman"/>
                <w:szCs w:val="24"/>
              </w:rPr>
              <w:t>根据</w:t>
            </w:r>
            <w:r>
              <w:rPr>
                <w:rFonts w:hint="eastAsia" w:cs="Times New Roman"/>
                <w:szCs w:val="24"/>
              </w:rPr>
              <w:t>《2023年</w:t>
            </w:r>
            <w:r>
              <w:rPr>
                <w:rFonts w:cs="Times New Roman"/>
                <w:szCs w:val="24"/>
              </w:rPr>
              <w:t>吉林省</w:t>
            </w:r>
            <w:r>
              <w:rPr>
                <w:rFonts w:hint="eastAsia" w:cs="Times New Roman"/>
                <w:szCs w:val="24"/>
              </w:rPr>
              <w:t>水土保持公报》</w:t>
            </w:r>
            <w:r>
              <w:rPr>
                <w:rFonts w:cs="Times New Roman"/>
                <w:szCs w:val="24"/>
              </w:rPr>
              <w:t>及《吉林省水土保持规划》（2016-2030），项目区土壤侵蚀类型</w:t>
            </w:r>
            <w:r>
              <w:rPr>
                <w:rFonts w:hint="eastAsia" w:cs="Times New Roman"/>
                <w:szCs w:val="24"/>
              </w:rPr>
              <w:t>主要</w:t>
            </w:r>
            <w:r>
              <w:rPr>
                <w:rFonts w:cs="Times New Roman"/>
                <w:szCs w:val="24"/>
              </w:rPr>
              <w:t>为</w:t>
            </w:r>
            <w:r>
              <w:rPr>
                <w:rFonts w:hint="eastAsia" w:cs="Times New Roman"/>
                <w:szCs w:val="24"/>
              </w:rPr>
              <w:t>水</w:t>
            </w:r>
            <w:r>
              <w:rPr>
                <w:rFonts w:cs="Times New Roman"/>
                <w:szCs w:val="24"/>
              </w:rPr>
              <w:t>力侵蚀，该项目所在区域土壤侵蚀状况为</w:t>
            </w:r>
            <w:r>
              <w:rPr>
                <w:rFonts w:hint="eastAsia" w:cs="Times New Roman"/>
                <w:szCs w:val="24"/>
              </w:rPr>
              <w:t>轻</w:t>
            </w:r>
            <w:r>
              <w:rPr>
                <w:rFonts w:cs="Times New Roman"/>
                <w:szCs w:val="24"/>
              </w:rPr>
              <w:t>度。该区域土壤容许流失量为</w:t>
            </w:r>
            <w:r>
              <w:rPr>
                <w:rFonts w:hint="eastAsia" w:cs="Times New Roman"/>
                <w:szCs w:val="24"/>
              </w:rPr>
              <w:t>10</w:t>
            </w:r>
            <w:r>
              <w:rPr>
                <w:rFonts w:cs="Times New Roman"/>
                <w:szCs w:val="24"/>
              </w:rPr>
              <w:t>00t/（km</w:t>
            </w:r>
            <w:r>
              <w:rPr>
                <w:rFonts w:cs="Times New Roman"/>
                <w:szCs w:val="24"/>
                <w:vertAlign w:val="superscript"/>
              </w:rPr>
              <w:t>2</w:t>
            </w:r>
            <w:r>
              <w:rPr>
                <w:rFonts w:cs="Times New Roman"/>
                <w:szCs w:val="24"/>
              </w:rPr>
              <w:t>·a），根据水利部办公厅关于印发《全国水土保持规划国家级水土流失重点预防区和重点治理区复核划分成果的通知》（办水保[2013]188号）、《吉林省人民政府关于划分水土流失重点防治区的公告》和《吉林省水土保持规划》（2016-2030），项目区属于</w:t>
            </w:r>
            <w:r>
              <w:rPr>
                <w:rFonts w:hint="eastAsia" w:cs="Times New Roman"/>
                <w:szCs w:val="24"/>
              </w:rPr>
              <w:t>长白山国家级水土流失重点预防区</w:t>
            </w:r>
            <w:r>
              <w:rPr>
                <w:rFonts w:cs="Times New Roman"/>
                <w:szCs w:val="24"/>
              </w:rPr>
              <w:t>。按《开发建设项目水土流失防治标准》（GB</w:t>
            </w:r>
            <w:r>
              <w:rPr>
                <w:rFonts w:hint="eastAsia" w:cs="Times New Roman"/>
                <w:szCs w:val="24"/>
              </w:rPr>
              <w:t xml:space="preserve"> </w:t>
            </w:r>
            <w:r>
              <w:rPr>
                <w:rFonts w:cs="Times New Roman"/>
                <w:szCs w:val="24"/>
              </w:rPr>
              <w:t>50434-2008）的规定，确定项目区的水土流失防治标准执行建设类项目一级标准</w:t>
            </w:r>
            <w:r>
              <w:rPr>
                <w:rFonts w:hint="eastAsia" w:cs="Times New Roman"/>
                <w:szCs w:val="24"/>
              </w:rPr>
              <w:t>。</w:t>
            </w:r>
          </w:p>
          <w:p w14:paraId="05EC52B3">
            <w:pPr>
              <w:spacing w:line="360" w:lineRule="auto"/>
              <w:ind w:firstLine="480" w:firstLineChars="200"/>
            </w:pPr>
            <w:r>
              <w:rPr>
                <w:rFonts w:hint="eastAsia"/>
              </w:rPr>
              <w:t>本项目所在区域土壤侵蚀状况为轻度，背景侵蚀模数为1200t/km</w:t>
            </w:r>
            <w:r>
              <w:rPr>
                <w:rFonts w:hint="eastAsia"/>
                <w:vertAlign w:val="superscript"/>
              </w:rPr>
              <w:t>2</w:t>
            </w:r>
            <w:r>
              <w:rPr>
                <w:rFonts w:hint="eastAsia"/>
              </w:rPr>
              <w:t>·a。</w:t>
            </w:r>
          </w:p>
          <w:p w14:paraId="562D5AB1">
            <w:pPr>
              <w:spacing w:line="360" w:lineRule="auto"/>
              <w:ind w:firstLine="480" w:firstLineChars="200"/>
            </w:pPr>
            <w:r>
              <w:rPr>
                <w:rFonts w:hint="eastAsia"/>
              </w:rPr>
              <w:t>本项目所在区域水土保持规划分区详见图10，水土流失现状详见图11。</w:t>
            </w:r>
          </w:p>
          <w:p w14:paraId="24FD24F3">
            <w:pPr>
              <w:spacing w:line="360" w:lineRule="auto"/>
              <w:ind w:firstLine="480" w:firstLineChars="200"/>
              <w:rPr>
                <w:rFonts w:cs="Times New Roman"/>
                <w:szCs w:val="24"/>
              </w:rPr>
            </w:pPr>
            <w:r>
              <w:rPr>
                <w:rFonts w:hint="eastAsia"/>
              </w:rPr>
              <w:t>根据</w:t>
            </w:r>
            <w:r>
              <w:rPr>
                <w:rFonts w:hint="eastAsia" w:cs="Times New Roman"/>
                <w:szCs w:val="24"/>
              </w:rPr>
              <w:t>《2024年</w:t>
            </w:r>
            <w:r>
              <w:rPr>
                <w:rFonts w:cs="Times New Roman"/>
                <w:szCs w:val="24"/>
              </w:rPr>
              <w:t>吉林省</w:t>
            </w:r>
            <w:r>
              <w:rPr>
                <w:rFonts w:hint="eastAsia" w:cs="Times New Roman"/>
                <w:szCs w:val="24"/>
              </w:rPr>
              <w:t>水土保持公报》本项目所在区域水土流失现状如下表所示：</w:t>
            </w:r>
          </w:p>
          <w:p w14:paraId="1E7F404B">
            <w:pPr>
              <w:spacing w:line="360" w:lineRule="auto"/>
              <w:ind w:firstLine="480" w:firstLineChars="200"/>
              <w:rPr>
                <w:rFonts w:cs="Times New Roman"/>
                <w:szCs w:val="24"/>
              </w:rPr>
            </w:pPr>
          </w:p>
          <w:p w14:paraId="12D231B3">
            <w:pPr>
              <w:spacing w:line="360" w:lineRule="auto"/>
              <w:jc w:val="right"/>
              <w:rPr>
                <w:rFonts w:cs="Times New Roman"/>
                <w:b/>
                <w:bCs/>
                <w:szCs w:val="24"/>
              </w:rPr>
            </w:pPr>
            <w:r>
              <w:rPr>
                <w:rFonts w:hint="eastAsia" w:cs="Times New Roman"/>
                <w:b/>
                <w:bCs/>
                <w:szCs w:val="24"/>
              </w:rPr>
              <w:t>表34     2024年区域水土流失现状一览表      单位</w:t>
            </w:r>
            <w:r>
              <w:rPr>
                <w:rFonts w:cs="Times New Roman"/>
                <w:b/>
                <w:bCs/>
                <w:szCs w:val="24"/>
              </w:rPr>
              <w:t>km</w:t>
            </w:r>
            <w:r>
              <w:rPr>
                <w:rFonts w:cs="Times New Roman"/>
                <w:b/>
                <w:bCs/>
                <w:szCs w:val="24"/>
                <w:vertAlign w:val="superscript"/>
              </w:rPr>
              <w:t>2</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28"/>
              <w:gridCol w:w="899"/>
              <w:gridCol w:w="799"/>
              <w:gridCol w:w="899"/>
              <w:gridCol w:w="826"/>
              <w:gridCol w:w="826"/>
              <w:gridCol w:w="819"/>
              <w:gridCol w:w="937"/>
              <w:gridCol w:w="759"/>
            </w:tblGrid>
            <w:tr w14:paraId="438C66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28" w:type="dxa"/>
                  <w:vAlign w:val="center"/>
                </w:tcPr>
                <w:p w14:paraId="24C95933">
                  <w:pPr>
                    <w:jc w:val="center"/>
                    <w:rPr>
                      <w:rFonts w:cs="Times New Roman"/>
                      <w:b/>
                      <w:bCs/>
                      <w:kern w:val="0"/>
                      <w:sz w:val="21"/>
                      <w:szCs w:val="16"/>
                    </w:rPr>
                  </w:pPr>
                  <w:r>
                    <w:rPr>
                      <w:rFonts w:hint="eastAsia" w:cs="Times New Roman"/>
                      <w:b/>
                      <w:bCs/>
                      <w:kern w:val="0"/>
                      <w:sz w:val="21"/>
                      <w:szCs w:val="16"/>
                    </w:rPr>
                    <w:t>行政区</w:t>
                  </w:r>
                </w:p>
              </w:tc>
              <w:tc>
                <w:tcPr>
                  <w:tcW w:w="899" w:type="dxa"/>
                  <w:vAlign w:val="center"/>
                </w:tcPr>
                <w:p w14:paraId="5B6FC3B4">
                  <w:pPr>
                    <w:jc w:val="center"/>
                    <w:rPr>
                      <w:rFonts w:cs="Times New Roman"/>
                      <w:b/>
                      <w:bCs/>
                      <w:kern w:val="0"/>
                      <w:sz w:val="21"/>
                      <w:szCs w:val="16"/>
                    </w:rPr>
                  </w:pPr>
                  <w:r>
                    <w:rPr>
                      <w:rFonts w:hint="eastAsia" w:cs="Times New Roman"/>
                      <w:b/>
                      <w:bCs/>
                      <w:kern w:val="0"/>
                      <w:sz w:val="21"/>
                      <w:szCs w:val="16"/>
                    </w:rPr>
                    <w:t>水土流失面积</w:t>
                  </w:r>
                </w:p>
              </w:tc>
              <w:tc>
                <w:tcPr>
                  <w:tcW w:w="799" w:type="dxa"/>
                  <w:vAlign w:val="center"/>
                </w:tcPr>
                <w:p w14:paraId="69B3C9D9">
                  <w:pPr>
                    <w:jc w:val="center"/>
                    <w:rPr>
                      <w:rFonts w:cs="Times New Roman"/>
                      <w:b/>
                      <w:bCs/>
                      <w:kern w:val="0"/>
                      <w:sz w:val="21"/>
                      <w:szCs w:val="16"/>
                    </w:rPr>
                  </w:pPr>
                  <w:r>
                    <w:rPr>
                      <w:rFonts w:hint="eastAsia" w:cs="Times New Roman"/>
                      <w:b/>
                      <w:bCs/>
                      <w:kern w:val="0"/>
                      <w:sz w:val="21"/>
                      <w:szCs w:val="16"/>
                    </w:rPr>
                    <w:t>侵蚀类型</w:t>
                  </w:r>
                </w:p>
              </w:tc>
              <w:tc>
                <w:tcPr>
                  <w:tcW w:w="899" w:type="dxa"/>
                  <w:vAlign w:val="center"/>
                </w:tcPr>
                <w:p w14:paraId="31537488">
                  <w:pPr>
                    <w:jc w:val="center"/>
                    <w:rPr>
                      <w:rFonts w:cs="Times New Roman"/>
                      <w:b/>
                      <w:bCs/>
                      <w:kern w:val="0"/>
                      <w:sz w:val="21"/>
                      <w:szCs w:val="16"/>
                    </w:rPr>
                  </w:pPr>
                  <w:r>
                    <w:rPr>
                      <w:rFonts w:hint="eastAsia" w:cs="Times New Roman"/>
                      <w:b/>
                      <w:bCs/>
                      <w:kern w:val="0"/>
                      <w:sz w:val="21"/>
                      <w:szCs w:val="16"/>
                    </w:rPr>
                    <w:t>合计</w:t>
                  </w:r>
                </w:p>
              </w:tc>
              <w:tc>
                <w:tcPr>
                  <w:tcW w:w="826" w:type="dxa"/>
                  <w:vAlign w:val="center"/>
                </w:tcPr>
                <w:p w14:paraId="69AA520E">
                  <w:pPr>
                    <w:jc w:val="center"/>
                    <w:rPr>
                      <w:rFonts w:cs="Times New Roman"/>
                      <w:b/>
                      <w:bCs/>
                      <w:kern w:val="0"/>
                      <w:sz w:val="21"/>
                      <w:szCs w:val="16"/>
                    </w:rPr>
                  </w:pPr>
                  <w:r>
                    <w:rPr>
                      <w:rFonts w:hint="eastAsia" w:cs="Times New Roman"/>
                      <w:b/>
                      <w:bCs/>
                      <w:kern w:val="0"/>
                      <w:sz w:val="21"/>
                      <w:szCs w:val="16"/>
                    </w:rPr>
                    <w:t>轻度</w:t>
                  </w:r>
                </w:p>
              </w:tc>
              <w:tc>
                <w:tcPr>
                  <w:tcW w:w="826" w:type="dxa"/>
                  <w:vAlign w:val="center"/>
                </w:tcPr>
                <w:p w14:paraId="461ADC52">
                  <w:pPr>
                    <w:jc w:val="center"/>
                    <w:rPr>
                      <w:rFonts w:cs="Times New Roman"/>
                      <w:b/>
                      <w:bCs/>
                      <w:kern w:val="0"/>
                      <w:sz w:val="21"/>
                      <w:szCs w:val="16"/>
                    </w:rPr>
                  </w:pPr>
                  <w:r>
                    <w:rPr>
                      <w:rFonts w:hint="eastAsia" w:cs="Times New Roman"/>
                      <w:b/>
                      <w:bCs/>
                      <w:kern w:val="0"/>
                      <w:sz w:val="21"/>
                      <w:szCs w:val="16"/>
                    </w:rPr>
                    <w:t>中度</w:t>
                  </w:r>
                </w:p>
              </w:tc>
              <w:tc>
                <w:tcPr>
                  <w:tcW w:w="819" w:type="dxa"/>
                  <w:vAlign w:val="center"/>
                </w:tcPr>
                <w:p w14:paraId="0F830B96">
                  <w:pPr>
                    <w:jc w:val="center"/>
                    <w:rPr>
                      <w:rFonts w:cs="Times New Roman"/>
                      <w:b/>
                      <w:bCs/>
                      <w:kern w:val="0"/>
                      <w:sz w:val="21"/>
                      <w:szCs w:val="16"/>
                    </w:rPr>
                  </w:pPr>
                  <w:r>
                    <w:rPr>
                      <w:rFonts w:hint="eastAsia" w:cs="Times New Roman"/>
                      <w:b/>
                      <w:bCs/>
                      <w:kern w:val="0"/>
                      <w:sz w:val="21"/>
                      <w:szCs w:val="16"/>
                    </w:rPr>
                    <w:t>强烈</w:t>
                  </w:r>
                </w:p>
              </w:tc>
              <w:tc>
                <w:tcPr>
                  <w:tcW w:w="937" w:type="dxa"/>
                  <w:vAlign w:val="center"/>
                </w:tcPr>
                <w:p w14:paraId="31602C25">
                  <w:pPr>
                    <w:jc w:val="center"/>
                    <w:rPr>
                      <w:rFonts w:cs="Times New Roman"/>
                      <w:b/>
                      <w:bCs/>
                      <w:kern w:val="0"/>
                      <w:sz w:val="21"/>
                      <w:szCs w:val="16"/>
                    </w:rPr>
                  </w:pPr>
                  <w:r>
                    <w:rPr>
                      <w:rFonts w:hint="eastAsia" w:cs="Times New Roman"/>
                      <w:b/>
                      <w:bCs/>
                      <w:kern w:val="0"/>
                      <w:sz w:val="21"/>
                      <w:szCs w:val="16"/>
                    </w:rPr>
                    <w:t>极强烈</w:t>
                  </w:r>
                </w:p>
              </w:tc>
              <w:tc>
                <w:tcPr>
                  <w:tcW w:w="685" w:type="dxa"/>
                  <w:vAlign w:val="center"/>
                </w:tcPr>
                <w:p w14:paraId="518A5930">
                  <w:pPr>
                    <w:jc w:val="center"/>
                    <w:rPr>
                      <w:rFonts w:cs="Times New Roman"/>
                      <w:b/>
                      <w:bCs/>
                      <w:kern w:val="0"/>
                      <w:sz w:val="21"/>
                      <w:szCs w:val="16"/>
                    </w:rPr>
                  </w:pPr>
                  <w:r>
                    <w:rPr>
                      <w:rFonts w:hint="eastAsia" w:cs="Times New Roman"/>
                      <w:b/>
                      <w:bCs/>
                      <w:kern w:val="0"/>
                      <w:sz w:val="21"/>
                      <w:szCs w:val="16"/>
                    </w:rPr>
                    <w:t>剧烈</w:t>
                  </w:r>
                </w:p>
              </w:tc>
            </w:tr>
            <w:tr w14:paraId="0E356C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8" w:type="dxa"/>
                  <w:vMerge w:val="restart"/>
                  <w:vAlign w:val="center"/>
                </w:tcPr>
                <w:p w14:paraId="7C506A36">
                  <w:pPr>
                    <w:jc w:val="center"/>
                    <w:rPr>
                      <w:rFonts w:cs="Times New Roman"/>
                      <w:kern w:val="0"/>
                      <w:sz w:val="21"/>
                      <w:szCs w:val="16"/>
                    </w:rPr>
                  </w:pPr>
                  <w:r>
                    <w:rPr>
                      <w:rFonts w:hint="eastAsia" w:cs="Times New Roman"/>
                      <w:kern w:val="0"/>
                      <w:sz w:val="21"/>
                      <w:szCs w:val="16"/>
                    </w:rPr>
                    <w:t>临江市</w:t>
                  </w:r>
                </w:p>
              </w:tc>
              <w:tc>
                <w:tcPr>
                  <w:tcW w:w="899" w:type="dxa"/>
                  <w:vMerge w:val="restart"/>
                  <w:vAlign w:val="center"/>
                </w:tcPr>
                <w:p w14:paraId="34078C1C">
                  <w:pPr>
                    <w:jc w:val="center"/>
                    <w:rPr>
                      <w:rFonts w:cs="Times New Roman"/>
                      <w:kern w:val="0"/>
                      <w:sz w:val="21"/>
                      <w:szCs w:val="16"/>
                    </w:rPr>
                  </w:pPr>
                  <w:r>
                    <w:rPr>
                      <w:rFonts w:hint="eastAsia" w:cs="Times New Roman"/>
                      <w:kern w:val="0"/>
                      <w:sz w:val="21"/>
                      <w:szCs w:val="16"/>
                    </w:rPr>
                    <w:t>166.94</w:t>
                  </w:r>
                </w:p>
              </w:tc>
              <w:tc>
                <w:tcPr>
                  <w:tcW w:w="799" w:type="dxa"/>
                  <w:vAlign w:val="center"/>
                </w:tcPr>
                <w:p w14:paraId="2096D6A1">
                  <w:pPr>
                    <w:jc w:val="center"/>
                    <w:rPr>
                      <w:rFonts w:cs="Times New Roman"/>
                      <w:kern w:val="0"/>
                      <w:sz w:val="21"/>
                      <w:szCs w:val="16"/>
                    </w:rPr>
                  </w:pPr>
                  <w:r>
                    <w:rPr>
                      <w:rFonts w:hint="eastAsia" w:cs="Times New Roman"/>
                      <w:kern w:val="0"/>
                      <w:sz w:val="21"/>
                      <w:szCs w:val="16"/>
                    </w:rPr>
                    <w:t>水力</w:t>
                  </w:r>
                </w:p>
              </w:tc>
              <w:tc>
                <w:tcPr>
                  <w:tcW w:w="899" w:type="dxa"/>
                  <w:vAlign w:val="center"/>
                </w:tcPr>
                <w:p w14:paraId="55B4AAC4">
                  <w:pPr>
                    <w:jc w:val="center"/>
                    <w:rPr>
                      <w:rFonts w:cs="Times New Roman"/>
                      <w:kern w:val="0"/>
                      <w:sz w:val="21"/>
                      <w:szCs w:val="16"/>
                    </w:rPr>
                  </w:pPr>
                  <w:r>
                    <w:rPr>
                      <w:rFonts w:hint="eastAsia" w:cs="Times New Roman"/>
                      <w:kern w:val="0"/>
                      <w:sz w:val="21"/>
                      <w:szCs w:val="16"/>
                    </w:rPr>
                    <w:t>166.94</w:t>
                  </w:r>
                </w:p>
              </w:tc>
              <w:tc>
                <w:tcPr>
                  <w:tcW w:w="826" w:type="dxa"/>
                  <w:vAlign w:val="center"/>
                </w:tcPr>
                <w:p w14:paraId="0F07F799">
                  <w:pPr>
                    <w:jc w:val="center"/>
                    <w:rPr>
                      <w:rFonts w:cs="Times New Roman"/>
                      <w:kern w:val="0"/>
                      <w:sz w:val="21"/>
                      <w:szCs w:val="16"/>
                    </w:rPr>
                  </w:pPr>
                  <w:r>
                    <w:rPr>
                      <w:rFonts w:hint="eastAsia" w:cs="Times New Roman"/>
                      <w:kern w:val="0"/>
                      <w:sz w:val="21"/>
                      <w:szCs w:val="16"/>
                    </w:rPr>
                    <w:t>76.01</w:t>
                  </w:r>
                </w:p>
              </w:tc>
              <w:tc>
                <w:tcPr>
                  <w:tcW w:w="826" w:type="dxa"/>
                  <w:vAlign w:val="center"/>
                </w:tcPr>
                <w:p w14:paraId="3FB26C9E">
                  <w:pPr>
                    <w:jc w:val="center"/>
                    <w:rPr>
                      <w:rFonts w:cs="Times New Roman"/>
                      <w:kern w:val="0"/>
                      <w:sz w:val="21"/>
                      <w:szCs w:val="16"/>
                    </w:rPr>
                  </w:pPr>
                  <w:r>
                    <w:rPr>
                      <w:rFonts w:hint="eastAsia" w:cs="Times New Roman"/>
                      <w:kern w:val="0"/>
                      <w:sz w:val="21"/>
                      <w:szCs w:val="16"/>
                    </w:rPr>
                    <w:t>18.57</w:t>
                  </w:r>
                </w:p>
              </w:tc>
              <w:tc>
                <w:tcPr>
                  <w:tcW w:w="819" w:type="dxa"/>
                  <w:vAlign w:val="center"/>
                </w:tcPr>
                <w:p w14:paraId="3AFDC08A">
                  <w:pPr>
                    <w:jc w:val="center"/>
                    <w:rPr>
                      <w:rFonts w:cs="Times New Roman"/>
                      <w:kern w:val="0"/>
                      <w:sz w:val="21"/>
                      <w:szCs w:val="16"/>
                    </w:rPr>
                  </w:pPr>
                  <w:r>
                    <w:rPr>
                      <w:rFonts w:hint="eastAsia" w:cs="Times New Roman"/>
                      <w:kern w:val="0"/>
                      <w:sz w:val="21"/>
                      <w:szCs w:val="16"/>
                    </w:rPr>
                    <w:t>12.56</w:t>
                  </w:r>
                </w:p>
              </w:tc>
              <w:tc>
                <w:tcPr>
                  <w:tcW w:w="937" w:type="dxa"/>
                  <w:vAlign w:val="center"/>
                </w:tcPr>
                <w:p w14:paraId="33D0517D">
                  <w:pPr>
                    <w:jc w:val="center"/>
                    <w:rPr>
                      <w:rFonts w:cs="Times New Roman"/>
                      <w:kern w:val="0"/>
                      <w:sz w:val="21"/>
                      <w:szCs w:val="16"/>
                    </w:rPr>
                  </w:pPr>
                  <w:r>
                    <w:rPr>
                      <w:rFonts w:hint="eastAsia" w:cs="Times New Roman"/>
                      <w:kern w:val="0"/>
                      <w:sz w:val="21"/>
                      <w:szCs w:val="16"/>
                    </w:rPr>
                    <w:t>19.26</w:t>
                  </w:r>
                </w:p>
              </w:tc>
              <w:tc>
                <w:tcPr>
                  <w:tcW w:w="685" w:type="dxa"/>
                  <w:vAlign w:val="center"/>
                </w:tcPr>
                <w:p w14:paraId="59D2FCB4">
                  <w:pPr>
                    <w:jc w:val="center"/>
                    <w:rPr>
                      <w:rFonts w:cs="Times New Roman"/>
                      <w:kern w:val="0"/>
                      <w:sz w:val="21"/>
                      <w:szCs w:val="16"/>
                    </w:rPr>
                  </w:pPr>
                  <w:r>
                    <w:rPr>
                      <w:rFonts w:hint="eastAsia" w:cs="Times New Roman"/>
                      <w:kern w:val="0"/>
                      <w:sz w:val="21"/>
                      <w:szCs w:val="16"/>
                    </w:rPr>
                    <w:t>40.54</w:t>
                  </w:r>
                </w:p>
              </w:tc>
            </w:tr>
            <w:tr w14:paraId="331345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8" w:type="dxa"/>
                  <w:vMerge w:val="continue"/>
                  <w:vAlign w:val="center"/>
                </w:tcPr>
                <w:p w14:paraId="328FF537">
                  <w:pPr>
                    <w:jc w:val="center"/>
                    <w:rPr>
                      <w:rFonts w:cs="Times New Roman"/>
                      <w:kern w:val="0"/>
                      <w:sz w:val="21"/>
                      <w:szCs w:val="16"/>
                    </w:rPr>
                  </w:pPr>
                </w:p>
              </w:tc>
              <w:tc>
                <w:tcPr>
                  <w:tcW w:w="899" w:type="dxa"/>
                  <w:vMerge w:val="continue"/>
                  <w:vAlign w:val="center"/>
                </w:tcPr>
                <w:p w14:paraId="57BF17D8">
                  <w:pPr>
                    <w:jc w:val="center"/>
                    <w:rPr>
                      <w:rFonts w:cs="Times New Roman"/>
                      <w:kern w:val="0"/>
                      <w:sz w:val="21"/>
                      <w:szCs w:val="16"/>
                    </w:rPr>
                  </w:pPr>
                </w:p>
              </w:tc>
              <w:tc>
                <w:tcPr>
                  <w:tcW w:w="799" w:type="dxa"/>
                  <w:vAlign w:val="center"/>
                </w:tcPr>
                <w:p w14:paraId="5902A3A4">
                  <w:pPr>
                    <w:jc w:val="center"/>
                    <w:rPr>
                      <w:rFonts w:cs="Times New Roman"/>
                      <w:kern w:val="0"/>
                      <w:sz w:val="21"/>
                      <w:szCs w:val="16"/>
                    </w:rPr>
                  </w:pPr>
                  <w:r>
                    <w:rPr>
                      <w:rFonts w:hint="eastAsia" w:cs="Times New Roman"/>
                      <w:kern w:val="0"/>
                      <w:sz w:val="21"/>
                      <w:szCs w:val="16"/>
                    </w:rPr>
                    <w:t>风力</w:t>
                  </w:r>
                </w:p>
              </w:tc>
              <w:tc>
                <w:tcPr>
                  <w:tcW w:w="899" w:type="dxa"/>
                  <w:vAlign w:val="center"/>
                </w:tcPr>
                <w:p w14:paraId="554CB32D">
                  <w:pPr>
                    <w:jc w:val="center"/>
                    <w:rPr>
                      <w:rFonts w:cs="Times New Roman"/>
                      <w:kern w:val="0"/>
                      <w:sz w:val="21"/>
                      <w:szCs w:val="16"/>
                    </w:rPr>
                  </w:pPr>
                  <w:r>
                    <w:rPr>
                      <w:rFonts w:hint="eastAsia" w:cs="Times New Roman"/>
                      <w:kern w:val="0"/>
                      <w:sz w:val="21"/>
                      <w:szCs w:val="16"/>
                    </w:rPr>
                    <w:t>0</w:t>
                  </w:r>
                </w:p>
              </w:tc>
              <w:tc>
                <w:tcPr>
                  <w:tcW w:w="826" w:type="dxa"/>
                  <w:vAlign w:val="center"/>
                </w:tcPr>
                <w:p w14:paraId="7A82B510">
                  <w:pPr>
                    <w:jc w:val="center"/>
                    <w:rPr>
                      <w:rFonts w:cs="Times New Roman"/>
                      <w:kern w:val="0"/>
                      <w:sz w:val="21"/>
                      <w:szCs w:val="16"/>
                    </w:rPr>
                  </w:pPr>
                  <w:r>
                    <w:rPr>
                      <w:rFonts w:hint="eastAsia" w:cs="Times New Roman"/>
                      <w:kern w:val="0"/>
                      <w:sz w:val="21"/>
                      <w:szCs w:val="16"/>
                    </w:rPr>
                    <w:t>0</w:t>
                  </w:r>
                </w:p>
              </w:tc>
              <w:tc>
                <w:tcPr>
                  <w:tcW w:w="826" w:type="dxa"/>
                  <w:vAlign w:val="center"/>
                </w:tcPr>
                <w:p w14:paraId="0369205A">
                  <w:pPr>
                    <w:jc w:val="center"/>
                    <w:rPr>
                      <w:rFonts w:cs="Times New Roman"/>
                      <w:kern w:val="0"/>
                      <w:sz w:val="21"/>
                      <w:szCs w:val="16"/>
                    </w:rPr>
                  </w:pPr>
                  <w:r>
                    <w:rPr>
                      <w:rFonts w:hint="eastAsia" w:cs="Times New Roman"/>
                      <w:kern w:val="0"/>
                      <w:sz w:val="21"/>
                      <w:szCs w:val="16"/>
                    </w:rPr>
                    <w:t>0</w:t>
                  </w:r>
                </w:p>
              </w:tc>
              <w:tc>
                <w:tcPr>
                  <w:tcW w:w="819" w:type="dxa"/>
                  <w:vAlign w:val="center"/>
                </w:tcPr>
                <w:p w14:paraId="730AC1C8">
                  <w:pPr>
                    <w:jc w:val="center"/>
                    <w:rPr>
                      <w:rFonts w:cs="Times New Roman"/>
                      <w:kern w:val="0"/>
                      <w:sz w:val="21"/>
                      <w:szCs w:val="16"/>
                    </w:rPr>
                  </w:pPr>
                  <w:r>
                    <w:rPr>
                      <w:rFonts w:hint="eastAsia" w:cs="Times New Roman"/>
                      <w:kern w:val="0"/>
                      <w:sz w:val="21"/>
                      <w:szCs w:val="16"/>
                    </w:rPr>
                    <w:t>0</w:t>
                  </w:r>
                </w:p>
              </w:tc>
              <w:tc>
                <w:tcPr>
                  <w:tcW w:w="937" w:type="dxa"/>
                  <w:vAlign w:val="center"/>
                </w:tcPr>
                <w:p w14:paraId="7EB9127C">
                  <w:pPr>
                    <w:jc w:val="center"/>
                    <w:rPr>
                      <w:rFonts w:cs="Times New Roman"/>
                      <w:kern w:val="0"/>
                      <w:sz w:val="21"/>
                      <w:szCs w:val="16"/>
                    </w:rPr>
                  </w:pPr>
                  <w:r>
                    <w:rPr>
                      <w:rFonts w:hint="eastAsia" w:cs="Times New Roman"/>
                      <w:kern w:val="0"/>
                      <w:sz w:val="21"/>
                      <w:szCs w:val="16"/>
                    </w:rPr>
                    <w:t>0</w:t>
                  </w:r>
                </w:p>
              </w:tc>
              <w:tc>
                <w:tcPr>
                  <w:tcW w:w="685" w:type="dxa"/>
                  <w:vAlign w:val="center"/>
                </w:tcPr>
                <w:p w14:paraId="1D071091">
                  <w:pPr>
                    <w:jc w:val="center"/>
                    <w:rPr>
                      <w:rFonts w:cs="Times New Roman"/>
                      <w:kern w:val="0"/>
                      <w:sz w:val="21"/>
                      <w:szCs w:val="16"/>
                    </w:rPr>
                  </w:pPr>
                  <w:r>
                    <w:rPr>
                      <w:rFonts w:hint="eastAsia" w:cs="Times New Roman"/>
                      <w:kern w:val="0"/>
                      <w:sz w:val="21"/>
                      <w:szCs w:val="16"/>
                    </w:rPr>
                    <w:t>0</w:t>
                  </w:r>
                </w:p>
              </w:tc>
            </w:tr>
            <w:tr w14:paraId="75C483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8" w:type="dxa"/>
                  <w:vMerge w:val="continue"/>
                  <w:vAlign w:val="center"/>
                </w:tcPr>
                <w:p w14:paraId="0558236E">
                  <w:pPr>
                    <w:jc w:val="center"/>
                    <w:rPr>
                      <w:rFonts w:cs="Times New Roman"/>
                      <w:kern w:val="0"/>
                      <w:sz w:val="21"/>
                      <w:szCs w:val="16"/>
                    </w:rPr>
                  </w:pPr>
                </w:p>
              </w:tc>
              <w:tc>
                <w:tcPr>
                  <w:tcW w:w="1698" w:type="dxa"/>
                  <w:gridSpan w:val="2"/>
                  <w:vAlign w:val="center"/>
                </w:tcPr>
                <w:p w14:paraId="2153DA00">
                  <w:pPr>
                    <w:jc w:val="center"/>
                    <w:rPr>
                      <w:rFonts w:cs="Times New Roman"/>
                      <w:kern w:val="0"/>
                      <w:sz w:val="21"/>
                      <w:szCs w:val="16"/>
                    </w:rPr>
                  </w:pPr>
                  <w:r>
                    <w:rPr>
                      <w:rFonts w:hint="eastAsia" w:cs="Times New Roman"/>
                      <w:kern w:val="0"/>
                      <w:sz w:val="21"/>
                      <w:szCs w:val="16"/>
                    </w:rPr>
                    <w:t>据上年动态变化</w:t>
                  </w:r>
                </w:p>
              </w:tc>
              <w:tc>
                <w:tcPr>
                  <w:tcW w:w="899" w:type="dxa"/>
                  <w:vAlign w:val="center"/>
                </w:tcPr>
                <w:p w14:paraId="28DEFDD4">
                  <w:pPr>
                    <w:jc w:val="center"/>
                    <w:rPr>
                      <w:rFonts w:cs="Times New Roman"/>
                      <w:kern w:val="0"/>
                      <w:sz w:val="21"/>
                      <w:szCs w:val="16"/>
                    </w:rPr>
                  </w:pPr>
                  <w:r>
                    <w:rPr>
                      <w:rFonts w:hint="eastAsia" w:cs="Times New Roman"/>
                      <w:kern w:val="0"/>
                      <w:sz w:val="21"/>
                      <w:szCs w:val="16"/>
                    </w:rPr>
                    <w:t>-5.32</w:t>
                  </w:r>
                </w:p>
              </w:tc>
              <w:tc>
                <w:tcPr>
                  <w:tcW w:w="826" w:type="dxa"/>
                  <w:vAlign w:val="center"/>
                </w:tcPr>
                <w:p w14:paraId="0DBC80F7">
                  <w:pPr>
                    <w:jc w:val="center"/>
                    <w:rPr>
                      <w:rFonts w:cs="Times New Roman"/>
                      <w:kern w:val="0"/>
                      <w:sz w:val="21"/>
                      <w:szCs w:val="16"/>
                    </w:rPr>
                  </w:pPr>
                  <w:r>
                    <w:rPr>
                      <w:rFonts w:hint="eastAsia" w:cs="Times New Roman"/>
                      <w:kern w:val="0"/>
                      <w:sz w:val="21"/>
                      <w:szCs w:val="16"/>
                    </w:rPr>
                    <w:t>3.60</w:t>
                  </w:r>
                </w:p>
              </w:tc>
              <w:tc>
                <w:tcPr>
                  <w:tcW w:w="826" w:type="dxa"/>
                  <w:vAlign w:val="center"/>
                </w:tcPr>
                <w:p w14:paraId="13AC3A22">
                  <w:pPr>
                    <w:jc w:val="center"/>
                    <w:rPr>
                      <w:rFonts w:cs="Times New Roman"/>
                      <w:kern w:val="0"/>
                      <w:sz w:val="21"/>
                      <w:szCs w:val="16"/>
                    </w:rPr>
                  </w:pPr>
                  <w:r>
                    <w:rPr>
                      <w:rFonts w:hint="eastAsia" w:cs="Times New Roman"/>
                      <w:kern w:val="0"/>
                      <w:sz w:val="21"/>
                      <w:szCs w:val="16"/>
                    </w:rPr>
                    <w:t>0.14</w:t>
                  </w:r>
                </w:p>
              </w:tc>
              <w:tc>
                <w:tcPr>
                  <w:tcW w:w="819" w:type="dxa"/>
                  <w:vAlign w:val="center"/>
                </w:tcPr>
                <w:p w14:paraId="513ED8E2">
                  <w:pPr>
                    <w:jc w:val="center"/>
                    <w:rPr>
                      <w:rFonts w:cs="Times New Roman"/>
                      <w:kern w:val="0"/>
                      <w:sz w:val="21"/>
                      <w:szCs w:val="16"/>
                    </w:rPr>
                  </w:pPr>
                  <w:r>
                    <w:rPr>
                      <w:rFonts w:hint="eastAsia" w:cs="Times New Roman"/>
                      <w:kern w:val="0"/>
                      <w:sz w:val="21"/>
                      <w:szCs w:val="16"/>
                    </w:rPr>
                    <w:t>-0.99</w:t>
                  </w:r>
                </w:p>
              </w:tc>
              <w:tc>
                <w:tcPr>
                  <w:tcW w:w="937" w:type="dxa"/>
                  <w:vAlign w:val="center"/>
                </w:tcPr>
                <w:p w14:paraId="73132838">
                  <w:pPr>
                    <w:jc w:val="center"/>
                    <w:rPr>
                      <w:rFonts w:cs="Times New Roman"/>
                      <w:kern w:val="0"/>
                      <w:sz w:val="21"/>
                      <w:szCs w:val="16"/>
                    </w:rPr>
                  </w:pPr>
                  <w:r>
                    <w:rPr>
                      <w:rFonts w:hint="eastAsia" w:cs="Times New Roman"/>
                      <w:kern w:val="0"/>
                      <w:sz w:val="21"/>
                      <w:szCs w:val="16"/>
                    </w:rPr>
                    <w:t>-2.36</w:t>
                  </w:r>
                </w:p>
              </w:tc>
              <w:tc>
                <w:tcPr>
                  <w:tcW w:w="685" w:type="dxa"/>
                  <w:vAlign w:val="center"/>
                </w:tcPr>
                <w:p w14:paraId="40FAEF8B">
                  <w:pPr>
                    <w:jc w:val="center"/>
                    <w:rPr>
                      <w:rFonts w:cs="Times New Roman"/>
                      <w:kern w:val="0"/>
                      <w:sz w:val="21"/>
                      <w:szCs w:val="16"/>
                    </w:rPr>
                  </w:pPr>
                  <w:r>
                    <w:rPr>
                      <w:rFonts w:hint="eastAsia" w:cs="Times New Roman"/>
                      <w:kern w:val="0"/>
                      <w:sz w:val="21"/>
                      <w:szCs w:val="16"/>
                    </w:rPr>
                    <w:t>-5.71</w:t>
                  </w:r>
                </w:p>
              </w:tc>
            </w:tr>
            <w:tr w14:paraId="133842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8" w:type="dxa"/>
                  <w:vMerge w:val="continue"/>
                  <w:vAlign w:val="center"/>
                </w:tcPr>
                <w:p w14:paraId="0EF30E4C">
                  <w:pPr>
                    <w:jc w:val="center"/>
                    <w:rPr>
                      <w:rFonts w:cs="Times New Roman"/>
                      <w:kern w:val="0"/>
                      <w:sz w:val="21"/>
                      <w:szCs w:val="16"/>
                    </w:rPr>
                  </w:pPr>
                </w:p>
              </w:tc>
              <w:tc>
                <w:tcPr>
                  <w:tcW w:w="1698" w:type="dxa"/>
                  <w:gridSpan w:val="2"/>
                  <w:vAlign w:val="center"/>
                </w:tcPr>
                <w:p w14:paraId="1D782C7D">
                  <w:pPr>
                    <w:jc w:val="center"/>
                    <w:rPr>
                      <w:rFonts w:cs="Times New Roman"/>
                      <w:kern w:val="0"/>
                      <w:sz w:val="21"/>
                      <w:szCs w:val="16"/>
                    </w:rPr>
                  </w:pPr>
                  <w:r>
                    <w:rPr>
                      <w:rFonts w:hint="eastAsia" w:cs="Times New Roman"/>
                      <w:kern w:val="0"/>
                      <w:sz w:val="21"/>
                      <w:szCs w:val="16"/>
                    </w:rPr>
                    <w:t>变幅（%）</w:t>
                  </w:r>
                </w:p>
              </w:tc>
              <w:tc>
                <w:tcPr>
                  <w:tcW w:w="899" w:type="dxa"/>
                  <w:vAlign w:val="center"/>
                </w:tcPr>
                <w:p w14:paraId="264F77B3">
                  <w:pPr>
                    <w:jc w:val="center"/>
                    <w:rPr>
                      <w:rFonts w:cs="Times New Roman"/>
                      <w:kern w:val="0"/>
                      <w:sz w:val="21"/>
                      <w:szCs w:val="16"/>
                    </w:rPr>
                  </w:pPr>
                  <w:r>
                    <w:rPr>
                      <w:rFonts w:hint="eastAsia" w:cs="Times New Roman"/>
                      <w:kern w:val="0"/>
                      <w:sz w:val="21"/>
                      <w:szCs w:val="16"/>
                    </w:rPr>
                    <w:t>-3.09</w:t>
                  </w:r>
                </w:p>
              </w:tc>
              <w:tc>
                <w:tcPr>
                  <w:tcW w:w="826" w:type="dxa"/>
                  <w:vAlign w:val="center"/>
                </w:tcPr>
                <w:p w14:paraId="51AFE205">
                  <w:pPr>
                    <w:jc w:val="center"/>
                    <w:rPr>
                      <w:rFonts w:cs="Times New Roman"/>
                      <w:kern w:val="0"/>
                      <w:sz w:val="21"/>
                      <w:szCs w:val="16"/>
                    </w:rPr>
                  </w:pPr>
                  <w:r>
                    <w:rPr>
                      <w:rFonts w:hint="eastAsia" w:cs="Times New Roman"/>
                      <w:kern w:val="0"/>
                      <w:sz w:val="21"/>
                      <w:szCs w:val="16"/>
                    </w:rPr>
                    <w:t>4.97</w:t>
                  </w:r>
                </w:p>
              </w:tc>
              <w:tc>
                <w:tcPr>
                  <w:tcW w:w="826" w:type="dxa"/>
                  <w:vAlign w:val="center"/>
                </w:tcPr>
                <w:p w14:paraId="637ECB68">
                  <w:pPr>
                    <w:jc w:val="center"/>
                    <w:rPr>
                      <w:rFonts w:cs="Times New Roman"/>
                      <w:kern w:val="0"/>
                      <w:sz w:val="21"/>
                      <w:szCs w:val="16"/>
                    </w:rPr>
                  </w:pPr>
                  <w:r>
                    <w:rPr>
                      <w:rFonts w:hint="eastAsia" w:cs="Times New Roman"/>
                      <w:kern w:val="0"/>
                      <w:sz w:val="21"/>
                      <w:szCs w:val="16"/>
                    </w:rPr>
                    <w:t>0.76</w:t>
                  </w:r>
                </w:p>
              </w:tc>
              <w:tc>
                <w:tcPr>
                  <w:tcW w:w="819" w:type="dxa"/>
                  <w:vAlign w:val="center"/>
                </w:tcPr>
                <w:p w14:paraId="124E3CB6">
                  <w:pPr>
                    <w:jc w:val="center"/>
                    <w:rPr>
                      <w:rFonts w:cs="Times New Roman"/>
                      <w:kern w:val="0"/>
                      <w:sz w:val="21"/>
                      <w:szCs w:val="16"/>
                    </w:rPr>
                  </w:pPr>
                  <w:r>
                    <w:rPr>
                      <w:rFonts w:hint="eastAsia" w:cs="Times New Roman"/>
                      <w:kern w:val="0"/>
                      <w:sz w:val="21"/>
                      <w:szCs w:val="16"/>
                    </w:rPr>
                    <w:t>-7.31</w:t>
                  </w:r>
                </w:p>
              </w:tc>
              <w:tc>
                <w:tcPr>
                  <w:tcW w:w="937" w:type="dxa"/>
                  <w:vAlign w:val="center"/>
                </w:tcPr>
                <w:p w14:paraId="5E7BC31E">
                  <w:pPr>
                    <w:jc w:val="center"/>
                    <w:rPr>
                      <w:rFonts w:cs="Times New Roman"/>
                      <w:kern w:val="0"/>
                      <w:sz w:val="21"/>
                      <w:szCs w:val="16"/>
                    </w:rPr>
                  </w:pPr>
                  <w:r>
                    <w:rPr>
                      <w:rFonts w:hint="eastAsia" w:cs="Times New Roman"/>
                      <w:kern w:val="0"/>
                      <w:sz w:val="21"/>
                      <w:szCs w:val="16"/>
                    </w:rPr>
                    <w:t>-10.92</w:t>
                  </w:r>
                </w:p>
              </w:tc>
              <w:tc>
                <w:tcPr>
                  <w:tcW w:w="685" w:type="dxa"/>
                  <w:vAlign w:val="center"/>
                </w:tcPr>
                <w:p w14:paraId="4CF94E28">
                  <w:pPr>
                    <w:jc w:val="center"/>
                    <w:rPr>
                      <w:rFonts w:cs="Times New Roman"/>
                      <w:kern w:val="0"/>
                      <w:sz w:val="21"/>
                      <w:szCs w:val="16"/>
                    </w:rPr>
                  </w:pPr>
                  <w:r>
                    <w:rPr>
                      <w:rFonts w:hint="eastAsia" w:cs="Times New Roman"/>
                      <w:kern w:val="0"/>
                      <w:sz w:val="21"/>
                      <w:szCs w:val="16"/>
                    </w:rPr>
                    <w:t>-12.35</w:t>
                  </w:r>
                </w:p>
              </w:tc>
            </w:tr>
          </w:tbl>
          <w:p w14:paraId="706880E0">
            <w:pPr>
              <w:spacing w:line="360" w:lineRule="auto"/>
              <w:ind w:firstLine="480" w:firstLineChars="200"/>
            </w:pPr>
          </w:p>
          <w:p w14:paraId="7425049D">
            <w:pPr>
              <w:spacing w:line="360" w:lineRule="auto"/>
              <w:ind w:firstLine="480" w:firstLineChars="200"/>
            </w:pPr>
            <w:r>
              <w:rPr>
                <w:rFonts w:hint="eastAsia"/>
              </w:rPr>
              <w:t>从上述内容可以看出，临江市水土流失现象呈好转趋势。</w:t>
            </w:r>
          </w:p>
          <w:p w14:paraId="179BEEBD">
            <w:pPr>
              <w:spacing w:line="360" w:lineRule="auto"/>
              <w:ind w:firstLine="480" w:firstLineChars="200"/>
            </w:pPr>
            <w:r>
              <w:rPr>
                <w:rFonts w:hint="eastAsia"/>
              </w:rPr>
              <w:t>二、水文</w:t>
            </w:r>
          </w:p>
          <w:p w14:paraId="210DCB5C">
            <w:pPr>
              <w:spacing w:line="360" w:lineRule="auto"/>
              <w:ind w:firstLine="482" w:firstLineChars="200"/>
            </w:pPr>
            <w:r>
              <w:rPr>
                <w:rFonts w:hint="eastAsia"/>
                <w:b/>
                <w:bCs/>
                <w:u w:val="single"/>
              </w:rPr>
              <w:t>本工程以临江水文站作为基本控制站，本次调查水文资料主要来自临江水文站多年水文资料。临江水文站位于吉林省临江市，水文站建于二十世纪40年代，其中流量资料年份从1965年至2022年，共57年数据（2004年无数据），水位资料年份为1940年至1943年，1951年至2022年（2004年无数据），共76年数据。临江站汇水面积为20687km</w:t>
            </w:r>
            <w:r>
              <w:rPr>
                <w:rFonts w:hint="eastAsia"/>
                <w:b/>
                <w:bCs/>
                <w:u w:val="single"/>
                <w:vertAlign w:val="superscript"/>
              </w:rPr>
              <w:t>2</w:t>
            </w:r>
            <w:r>
              <w:rPr>
                <w:rFonts w:hint="eastAsia"/>
                <w:b/>
                <w:bCs/>
                <w:u w:val="single"/>
              </w:rPr>
              <w:t>。临江水文站原设在临江国境大桥下游150m 处，2004年迁移至临江国境大桥上游1.5km（目前位置）。工程河段下游为云峰水库，该水库低水期一般回水至白马浪，高水期回水可至大栗子街道附近。</w:t>
            </w:r>
          </w:p>
          <w:p w14:paraId="496023A1">
            <w:pPr>
              <w:spacing w:line="360" w:lineRule="auto"/>
              <w:ind w:firstLine="482" w:firstLineChars="200"/>
              <w:rPr>
                <w:b/>
                <w:bCs/>
                <w:u w:val="single"/>
              </w:rPr>
            </w:pPr>
            <w:r>
              <w:rPr>
                <w:rFonts w:hint="eastAsia"/>
                <w:b/>
                <w:bCs/>
                <w:u w:val="single"/>
              </w:rPr>
              <w:t>（1）水位特征值</w:t>
            </w:r>
          </w:p>
          <w:p w14:paraId="0D9D4505">
            <w:pPr>
              <w:spacing w:line="360" w:lineRule="auto"/>
              <w:ind w:firstLine="482" w:firstLineChars="200"/>
              <w:rPr>
                <w:b/>
                <w:bCs/>
                <w:u w:val="single"/>
              </w:rPr>
            </w:pPr>
            <w:r>
              <w:rPr>
                <w:rFonts w:hint="eastAsia"/>
                <w:b/>
                <w:bCs/>
                <w:u w:val="single"/>
              </w:rPr>
              <w:t>①水位特征</w:t>
            </w:r>
          </w:p>
          <w:p w14:paraId="196F9AFA">
            <w:pPr>
              <w:spacing w:line="360" w:lineRule="auto"/>
              <w:ind w:firstLine="482" w:firstLineChars="200"/>
              <w:rPr>
                <w:b/>
                <w:bCs/>
                <w:u w:val="single"/>
              </w:rPr>
            </w:pPr>
            <w:r>
              <w:rPr>
                <w:rFonts w:hint="eastAsia"/>
                <w:b/>
                <w:bCs/>
                <w:u w:val="single"/>
              </w:rPr>
              <w:t>临江水文站迁站前，年均水位约324.8m，年内最大水位大部分出现在7-9月，最小水位出现在11-2月；水位最大值为329.91m，出现在1965年8 月7日；水位最小值为323.46m，出现在1983年12月29日。</w:t>
            </w:r>
          </w:p>
          <w:p w14:paraId="78019AED">
            <w:pPr>
              <w:spacing w:line="360" w:lineRule="auto"/>
              <w:ind w:firstLine="482" w:firstLineChars="200"/>
              <w:rPr>
                <w:b/>
                <w:bCs/>
                <w:u w:val="single"/>
              </w:rPr>
            </w:pPr>
            <w:r>
              <w:rPr>
                <w:rFonts w:hint="eastAsia"/>
                <w:b/>
                <w:bCs/>
                <w:u w:val="single"/>
              </w:rPr>
              <w:t>迁站后，临江水文站年均水位较迁站前高2m左右，约326.8m。水位最大值为330.76m，出现在2010年8月1日；水位最小值为325.72m，出现在2005年11月21日。</w:t>
            </w:r>
          </w:p>
          <w:p w14:paraId="20D9C523">
            <w:pPr>
              <w:spacing w:line="360" w:lineRule="auto"/>
              <w:ind w:firstLine="482" w:firstLineChars="200"/>
              <w:rPr>
                <w:b/>
                <w:bCs/>
                <w:u w:val="single"/>
              </w:rPr>
            </w:pPr>
            <w:r>
              <w:rPr>
                <w:rFonts w:hint="eastAsia"/>
                <w:b/>
                <w:bCs/>
                <w:u w:val="single"/>
              </w:rPr>
              <w:t>②年均水位变化</w:t>
            </w:r>
          </w:p>
          <w:p w14:paraId="797E652B">
            <w:pPr>
              <w:spacing w:line="360" w:lineRule="auto"/>
              <w:ind w:firstLine="482" w:firstLineChars="200"/>
              <w:rPr>
                <w:b/>
                <w:bCs/>
                <w:u w:val="single"/>
              </w:rPr>
            </w:pPr>
            <w:r>
              <w:rPr>
                <w:rFonts w:hint="eastAsia"/>
                <w:b/>
                <w:bCs/>
                <w:u w:val="single"/>
              </w:rPr>
              <w:t>2004年迁站前，年均水位值波动在1m左右。其中，1966年、1986年、1995年与2010年年均水位较高，达325.4m左右；1998～2002年，年均水位较低，约324.7m。2004年迁站后，年均水位年际变化特点与迁站前相同。</w:t>
            </w:r>
          </w:p>
          <w:p w14:paraId="566190D8">
            <w:pPr>
              <w:spacing w:line="360" w:lineRule="auto"/>
            </w:pPr>
            <w:r>
              <w:drawing>
                <wp:inline distT="0" distB="0" distL="0" distR="0">
                  <wp:extent cx="4882515" cy="2379980"/>
                  <wp:effectExtent l="0" t="0" r="0" b="1270"/>
                  <wp:docPr id="1483740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40903"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890838" cy="2384181"/>
                          </a:xfrm>
                          <a:prstGeom prst="rect">
                            <a:avLst/>
                          </a:prstGeom>
                          <a:noFill/>
                          <a:ln>
                            <a:noFill/>
                          </a:ln>
                        </pic:spPr>
                      </pic:pic>
                    </a:graphicData>
                  </a:graphic>
                </wp:inline>
              </w:drawing>
            </w:r>
          </w:p>
          <w:p w14:paraId="7986BE77">
            <w:pPr>
              <w:spacing w:line="360" w:lineRule="auto"/>
              <w:jc w:val="center"/>
              <w:rPr>
                <w:b/>
                <w:bCs/>
                <w:u w:val="single"/>
              </w:rPr>
            </w:pPr>
            <w:r>
              <w:rPr>
                <w:rFonts w:hint="eastAsia"/>
                <w:b/>
                <w:bCs/>
                <w:u w:val="single"/>
              </w:rPr>
              <w:t>图15      临江站年均水位变化图</w:t>
            </w:r>
          </w:p>
          <w:p w14:paraId="79648846">
            <w:pPr>
              <w:spacing w:line="360" w:lineRule="auto"/>
              <w:ind w:firstLine="482" w:firstLineChars="200"/>
              <w:rPr>
                <w:b/>
                <w:bCs/>
                <w:u w:val="single"/>
              </w:rPr>
            </w:pPr>
            <w:r>
              <w:rPr>
                <w:rFonts w:hint="eastAsia"/>
                <w:b/>
                <w:bCs/>
                <w:u w:val="single"/>
              </w:rPr>
              <w:t>③月均水位变化</w:t>
            </w:r>
          </w:p>
          <w:p w14:paraId="1CDF0554">
            <w:pPr>
              <w:spacing w:line="360" w:lineRule="auto"/>
              <w:ind w:firstLine="482" w:firstLineChars="200"/>
            </w:pPr>
            <w:r>
              <w:rPr>
                <w:rFonts w:hint="eastAsia"/>
                <w:b/>
                <w:bCs/>
                <w:u w:val="single"/>
              </w:rPr>
              <w:t>迁站前的1965～2004年，年内月均水位呈现出1~8月逐渐上升，由年初的324.8m上升至9月的325.2m，9~11月水位下降，至11月最低值为324.4m，随后12月后水位小幅回升至324.6m。迁站后，月均水位总体抬升了1.5～2m，变化特点与迁站前相同。</w:t>
            </w:r>
          </w:p>
          <w:p w14:paraId="42E4755A">
            <w:pPr>
              <w:spacing w:line="360" w:lineRule="auto"/>
            </w:pPr>
            <w:r>
              <w:drawing>
                <wp:inline distT="0" distB="0" distL="0" distR="0">
                  <wp:extent cx="4907915" cy="4850130"/>
                  <wp:effectExtent l="0" t="0" r="6985" b="7620"/>
                  <wp:docPr id="2053719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1944"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13206" cy="4855194"/>
                          </a:xfrm>
                          <a:prstGeom prst="rect">
                            <a:avLst/>
                          </a:prstGeom>
                          <a:noFill/>
                          <a:ln>
                            <a:noFill/>
                          </a:ln>
                        </pic:spPr>
                      </pic:pic>
                    </a:graphicData>
                  </a:graphic>
                </wp:inline>
              </w:drawing>
            </w:r>
          </w:p>
          <w:p w14:paraId="562380DB">
            <w:pPr>
              <w:spacing w:line="360" w:lineRule="auto"/>
              <w:jc w:val="center"/>
              <w:rPr>
                <w:b/>
                <w:bCs/>
                <w:u w:val="single"/>
              </w:rPr>
            </w:pPr>
            <w:r>
              <w:rPr>
                <w:rFonts w:hint="eastAsia"/>
                <w:b/>
                <w:bCs/>
                <w:u w:val="single"/>
              </w:rPr>
              <w:t>图16       临江站水位月均值</w:t>
            </w:r>
          </w:p>
          <w:p w14:paraId="7A4D5F17">
            <w:pPr>
              <w:spacing w:line="360" w:lineRule="auto"/>
              <w:ind w:firstLine="482" w:firstLineChars="200"/>
              <w:rPr>
                <w:b/>
                <w:bCs/>
                <w:u w:val="single"/>
              </w:rPr>
            </w:pPr>
            <w:r>
              <w:rPr>
                <w:rFonts w:hint="eastAsia"/>
                <w:b/>
                <w:bCs/>
                <w:u w:val="single"/>
              </w:rPr>
              <w:t>④日均水位变化</w:t>
            </w:r>
          </w:p>
          <w:p w14:paraId="70C77C2C">
            <w:pPr>
              <w:spacing w:line="360" w:lineRule="auto"/>
              <w:ind w:firstLine="482" w:firstLineChars="200"/>
              <w:rPr>
                <w:b/>
                <w:bCs/>
                <w:u w:val="single"/>
              </w:rPr>
            </w:pPr>
            <w:r>
              <w:rPr>
                <w:rFonts w:hint="eastAsia"/>
                <w:b/>
                <w:bCs/>
                <w:u w:val="single"/>
              </w:rPr>
              <w:t>从临江站日均水位变化来看，大部分年份水位过程都遵循1~3月水位较低，7~9月水位较高的特点；对于某些小水年，洪水期水位上升有限，会在3~5月出现高水位，该水位与7~9月的高水位值相当，例如1998年、1999年、2006年。此外2005年，日均水位过程出现了三次较大幅度的涨落，三次波峰分别出现在4月底、6月中旬与7月底。</w:t>
            </w:r>
          </w:p>
          <w:p w14:paraId="2D43632B">
            <w:pPr>
              <w:spacing w:line="360" w:lineRule="auto"/>
              <w:ind w:firstLine="482" w:firstLineChars="200"/>
              <w:rPr>
                <w:b/>
                <w:bCs/>
                <w:u w:val="single"/>
              </w:rPr>
            </w:pPr>
            <w:r>
              <w:rPr>
                <w:rFonts w:hint="eastAsia"/>
                <w:b/>
                <w:bCs/>
                <w:u w:val="single"/>
              </w:rPr>
              <w:t>（2）流量</w:t>
            </w:r>
          </w:p>
          <w:p w14:paraId="7489F086">
            <w:pPr>
              <w:spacing w:line="360" w:lineRule="auto"/>
              <w:ind w:firstLine="482" w:firstLineChars="200"/>
              <w:rPr>
                <w:b/>
                <w:bCs/>
                <w:u w:val="single"/>
              </w:rPr>
            </w:pPr>
            <w:r>
              <w:rPr>
                <w:rFonts w:hint="eastAsia"/>
                <w:b/>
                <w:bCs/>
                <w:u w:val="single"/>
              </w:rPr>
              <w:t>①流量特征值</w:t>
            </w:r>
          </w:p>
          <w:p w14:paraId="1D1E98D9">
            <w:pPr>
              <w:spacing w:line="360" w:lineRule="auto"/>
              <w:ind w:firstLine="482" w:firstLineChars="200"/>
              <w:rPr>
                <w:b/>
                <w:bCs/>
                <w:u w:val="single"/>
              </w:rPr>
            </w:pPr>
            <w:r>
              <w:rPr>
                <w:rFonts w:hint="eastAsia"/>
                <w:b/>
                <w:bCs/>
                <w:u w:val="single"/>
              </w:rPr>
              <w:t>1965年以来，日均入库流量在3.8~5700m</w:t>
            </w:r>
            <w:r>
              <w:rPr>
                <w:rFonts w:hint="eastAsia"/>
                <w:b/>
                <w:bCs/>
                <w:u w:val="single"/>
                <w:vertAlign w:val="superscript"/>
              </w:rPr>
              <w:t>3</w:t>
            </w:r>
            <w:r>
              <w:rPr>
                <w:rFonts w:hint="eastAsia"/>
                <w:b/>
                <w:bCs/>
                <w:u w:val="single"/>
              </w:rPr>
              <w:t>/s，其中每年的日均洪水入库流量最大值基本集中在8-10月，日均枯水入库流量最小值基本集中在12~2月。</w:t>
            </w:r>
          </w:p>
          <w:p w14:paraId="65002DAD">
            <w:pPr>
              <w:spacing w:line="360" w:lineRule="auto"/>
              <w:ind w:firstLine="482" w:firstLineChars="200"/>
              <w:rPr>
                <w:b/>
                <w:bCs/>
                <w:u w:val="single"/>
              </w:rPr>
            </w:pPr>
            <w:r>
              <w:rPr>
                <w:rFonts w:hint="eastAsia"/>
                <w:b/>
                <w:bCs/>
                <w:u w:val="single"/>
              </w:rPr>
              <w:t>不同年份洪水期流量变幅为5000m</w:t>
            </w:r>
            <w:r>
              <w:rPr>
                <w:rFonts w:hint="eastAsia"/>
                <w:b/>
                <w:bCs/>
                <w:u w:val="single"/>
                <w:vertAlign w:val="superscript"/>
              </w:rPr>
              <w:t>3</w:t>
            </w:r>
            <w:r>
              <w:rPr>
                <w:rFonts w:hint="eastAsia"/>
                <w:b/>
                <w:bCs/>
                <w:u w:val="single"/>
              </w:rPr>
              <w:t>/s左右。洪水期，最大流量为5700m</w:t>
            </w:r>
            <w:r>
              <w:rPr>
                <w:rFonts w:hint="eastAsia"/>
                <w:b/>
                <w:bCs/>
                <w:u w:val="single"/>
                <w:vertAlign w:val="superscript"/>
              </w:rPr>
              <w:t>3</w:t>
            </w:r>
            <w:r>
              <w:rPr>
                <w:rFonts w:hint="eastAsia"/>
                <w:b/>
                <w:bCs/>
                <w:u w:val="single"/>
              </w:rPr>
              <w:t>/s，出现在1965年8月7日；最小流量为792m</w:t>
            </w:r>
            <w:r>
              <w:rPr>
                <w:rFonts w:hint="eastAsia"/>
                <w:b/>
                <w:bCs/>
                <w:u w:val="single"/>
                <w:vertAlign w:val="superscript"/>
              </w:rPr>
              <w:t>3</w:t>
            </w:r>
            <w:r>
              <w:rPr>
                <w:rFonts w:hint="eastAsia"/>
                <w:b/>
                <w:bCs/>
                <w:u w:val="single"/>
              </w:rPr>
              <w:t>/s，出现在2008年（除去2006 年大坝维修年）。</w:t>
            </w:r>
          </w:p>
          <w:p w14:paraId="3B6D8F91">
            <w:pPr>
              <w:spacing w:line="360" w:lineRule="auto"/>
              <w:ind w:firstLine="482" w:firstLineChars="200"/>
              <w:rPr>
                <w:b/>
                <w:bCs/>
                <w:u w:val="single"/>
              </w:rPr>
            </w:pPr>
            <w:r>
              <w:rPr>
                <w:rFonts w:hint="eastAsia"/>
                <w:b/>
                <w:bCs/>
                <w:u w:val="single"/>
              </w:rPr>
              <w:t>不同年份枯水期流量变幅为50m</w:t>
            </w:r>
            <w:r>
              <w:rPr>
                <w:rFonts w:hint="eastAsia"/>
                <w:b/>
                <w:bCs/>
                <w:u w:val="single"/>
                <w:vertAlign w:val="superscript"/>
              </w:rPr>
              <w:t>3</w:t>
            </w:r>
            <w:r>
              <w:rPr>
                <w:rFonts w:hint="eastAsia"/>
                <w:b/>
                <w:bCs/>
                <w:u w:val="single"/>
              </w:rPr>
              <w:t>/s左右。枯水期，最小流量为3.8m</w:t>
            </w:r>
            <w:r>
              <w:rPr>
                <w:rFonts w:hint="eastAsia"/>
                <w:b/>
                <w:bCs/>
                <w:u w:val="single"/>
                <w:vertAlign w:val="superscript"/>
              </w:rPr>
              <w:t>3</w:t>
            </w:r>
            <w:r>
              <w:rPr>
                <w:rFonts w:hint="eastAsia"/>
                <w:b/>
                <w:bCs/>
                <w:u w:val="single"/>
              </w:rPr>
              <w:t>/s，出现在1967年2月19日；最大流量为54.7m</w:t>
            </w:r>
            <w:r>
              <w:rPr>
                <w:rFonts w:hint="eastAsia"/>
                <w:b/>
                <w:bCs/>
                <w:u w:val="single"/>
                <w:vertAlign w:val="superscript"/>
              </w:rPr>
              <w:t>3</w:t>
            </w:r>
            <w:r>
              <w:rPr>
                <w:rFonts w:hint="eastAsia"/>
                <w:b/>
                <w:bCs/>
                <w:u w:val="single"/>
              </w:rPr>
              <w:t>/s，出现在2014年。</w:t>
            </w:r>
          </w:p>
          <w:p w14:paraId="1109DF36">
            <w:pPr>
              <w:spacing w:line="360" w:lineRule="auto"/>
              <w:ind w:firstLine="482" w:firstLineChars="200"/>
              <w:rPr>
                <w:b/>
                <w:bCs/>
                <w:u w:val="single"/>
              </w:rPr>
            </w:pPr>
            <w:r>
              <w:rPr>
                <w:rFonts w:hint="eastAsia"/>
                <w:b/>
                <w:bCs/>
                <w:u w:val="single"/>
              </w:rPr>
              <w:t>另外，最大流量与最大水位基本同时出现，但最小流量与最小水位出现时间不一致，这与最低水位受冰凌期影响密切相。</w:t>
            </w:r>
          </w:p>
          <w:p w14:paraId="4D2B8A1C">
            <w:pPr>
              <w:spacing w:line="360" w:lineRule="auto"/>
              <w:ind w:firstLine="482" w:firstLineChars="200"/>
              <w:rPr>
                <w:b/>
                <w:bCs/>
                <w:u w:val="single"/>
              </w:rPr>
            </w:pPr>
            <w:r>
              <w:rPr>
                <w:rFonts w:hint="eastAsia"/>
                <w:b/>
                <w:bCs/>
                <w:u w:val="single"/>
              </w:rPr>
              <w:t>②年均流量变化</w:t>
            </w:r>
          </w:p>
          <w:p w14:paraId="3DB9A56B">
            <w:pPr>
              <w:spacing w:line="360" w:lineRule="auto"/>
              <w:ind w:firstLine="482" w:firstLineChars="200"/>
              <w:rPr>
                <w:b/>
                <w:bCs/>
                <w:u w:val="single"/>
              </w:rPr>
            </w:pPr>
            <w:r>
              <w:rPr>
                <w:rFonts w:hint="eastAsia"/>
                <w:b/>
                <w:bCs/>
                <w:u w:val="single"/>
              </w:rPr>
              <w:t>根据1965年～2022年实测日均流量资料分析， 临江年平均流量在100m</w:t>
            </w:r>
            <w:r>
              <w:rPr>
                <w:rFonts w:hint="eastAsia"/>
                <w:b/>
                <w:bCs/>
                <w:u w:val="single"/>
                <w:vertAlign w:val="superscript"/>
              </w:rPr>
              <w:t>3</w:t>
            </w:r>
            <w:r>
              <w:rPr>
                <w:rFonts w:hint="eastAsia"/>
                <w:b/>
                <w:bCs/>
                <w:u w:val="single"/>
              </w:rPr>
              <w:t>/s—300m</w:t>
            </w:r>
            <w:r>
              <w:rPr>
                <w:rFonts w:hint="eastAsia"/>
                <w:b/>
                <w:bCs/>
                <w:u w:val="single"/>
                <w:vertAlign w:val="superscript"/>
              </w:rPr>
              <w:t>3</w:t>
            </w:r>
            <w:r>
              <w:rPr>
                <w:rFonts w:hint="eastAsia"/>
                <w:b/>
                <w:bCs/>
                <w:u w:val="single"/>
              </w:rPr>
              <w:t>/s之间，若除去冰凌期（11月1日—4月24日）的年平均流量比除去前的高出约100~150m</w:t>
            </w:r>
            <w:r>
              <w:rPr>
                <w:rFonts w:hint="eastAsia"/>
                <w:b/>
                <w:bCs/>
                <w:u w:val="single"/>
                <w:vertAlign w:val="superscript"/>
              </w:rPr>
              <w:t>3</w:t>
            </w:r>
            <w:r>
              <w:rPr>
                <w:rFonts w:hint="eastAsia"/>
                <w:b/>
                <w:bCs/>
                <w:u w:val="single"/>
              </w:rPr>
              <w:t>/s；临江站来流量虽有大水年与小水年之分，但年均流量值都在200m</w:t>
            </w:r>
            <w:r>
              <w:rPr>
                <w:rFonts w:hint="eastAsia"/>
                <w:b/>
                <w:bCs/>
                <w:u w:val="single"/>
                <w:vertAlign w:val="superscript"/>
              </w:rPr>
              <w:t>3</w:t>
            </w:r>
            <w:r>
              <w:rPr>
                <w:rFonts w:hint="eastAsia"/>
                <w:b/>
                <w:bCs/>
                <w:u w:val="single"/>
              </w:rPr>
              <w:t>/s（除去冰凌期在300m</w:t>
            </w:r>
            <w:r>
              <w:rPr>
                <w:rFonts w:hint="eastAsia"/>
                <w:b/>
                <w:bCs/>
                <w:u w:val="single"/>
                <w:vertAlign w:val="superscript"/>
              </w:rPr>
              <w:t>3</w:t>
            </w:r>
            <w:r>
              <w:rPr>
                <w:rFonts w:hint="eastAsia"/>
                <w:b/>
                <w:bCs/>
                <w:u w:val="single"/>
              </w:rPr>
              <w:t>/s）上下波动。</w:t>
            </w:r>
          </w:p>
          <w:p w14:paraId="160E9EC5">
            <w:pPr>
              <w:spacing w:line="360" w:lineRule="auto"/>
              <w:ind w:firstLine="482" w:firstLineChars="200"/>
            </w:pPr>
            <w:r>
              <w:rPr>
                <w:rFonts w:hint="eastAsia"/>
                <w:b/>
                <w:bCs/>
                <w:u w:val="single"/>
              </w:rPr>
              <w:t>综上，1965年以来年均流量总体稳定，年均流量值随时间推移无明显的上升或下降趋势。</w:t>
            </w:r>
          </w:p>
          <w:p w14:paraId="79E34079">
            <w:pPr>
              <w:spacing w:line="360" w:lineRule="auto"/>
            </w:pPr>
            <w:r>
              <w:drawing>
                <wp:inline distT="0" distB="0" distL="0" distR="0">
                  <wp:extent cx="4897120" cy="2197100"/>
                  <wp:effectExtent l="0" t="0" r="0" b="0"/>
                  <wp:docPr id="9362850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85089"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08662" cy="2202211"/>
                          </a:xfrm>
                          <a:prstGeom prst="rect">
                            <a:avLst/>
                          </a:prstGeom>
                          <a:noFill/>
                          <a:ln>
                            <a:noFill/>
                          </a:ln>
                        </pic:spPr>
                      </pic:pic>
                    </a:graphicData>
                  </a:graphic>
                </wp:inline>
              </w:drawing>
            </w:r>
          </w:p>
          <w:p w14:paraId="4A9D98C9">
            <w:pPr>
              <w:spacing w:line="360" w:lineRule="auto"/>
              <w:jc w:val="center"/>
              <w:rPr>
                <w:b/>
                <w:bCs/>
                <w:u w:val="single"/>
              </w:rPr>
            </w:pPr>
            <w:r>
              <w:rPr>
                <w:rFonts w:hint="eastAsia"/>
                <w:b/>
                <w:bCs/>
                <w:u w:val="single"/>
              </w:rPr>
              <w:t>图19      临江站流量年均值</w:t>
            </w:r>
          </w:p>
          <w:p w14:paraId="7AB7BDFB">
            <w:pPr>
              <w:spacing w:line="360" w:lineRule="auto"/>
              <w:ind w:firstLine="482" w:firstLineChars="200"/>
              <w:rPr>
                <w:b/>
                <w:bCs/>
                <w:u w:val="single"/>
              </w:rPr>
            </w:pPr>
            <w:r>
              <w:rPr>
                <w:rFonts w:hint="eastAsia"/>
                <w:b/>
                <w:bCs/>
                <w:u w:val="single"/>
              </w:rPr>
              <w:t>③月均流量变化</w:t>
            </w:r>
          </w:p>
          <w:p w14:paraId="643E44C8">
            <w:pPr>
              <w:spacing w:line="360" w:lineRule="auto"/>
              <w:ind w:firstLine="482" w:firstLineChars="200"/>
            </w:pPr>
            <w:r>
              <w:rPr>
                <w:rFonts w:hint="eastAsia"/>
                <w:b/>
                <w:bCs/>
                <w:u w:val="single"/>
              </w:rPr>
              <w:t>临江水文站月均流量表明，全年来流最小集中在1~3月，最小月均值不足50m</w:t>
            </w:r>
            <w:r>
              <w:rPr>
                <w:rFonts w:hint="eastAsia"/>
                <w:b/>
                <w:bCs/>
                <w:u w:val="single"/>
                <w:vertAlign w:val="superscript"/>
              </w:rPr>
              <w:t>3</w:t>
            </w:r>
            <w:r>
              <w:rPr>
                <w:rFonts w:hint="eastAsia"/>
                <w:b/>
                <w:bCs/>
                <w:u w:val="single"/>
              </w:rPr>
              <w:t>/s，4~8月月均流量逐渐上升，至8月达到最大，最大月均值约450m</w:t>
            </w:r>
            <w:r>
              <w:rPr>
                <w:rFonts w:hint="eastAsia"/>
                <w:b/>
                <w:bCs/>
                <w:u w:val="single"/>
                <w:vertAlign w:val="superscript"/>
              </w:rPr>
              <w:t>3</w:t>
            </w:r>
            <w:r>
              <w:rPr>
                <w:rFonts w:hint="eastAsia"/>
                <w:b/>
                <w:bCs/>
                <w:u w:val="single"/>
              </w:rPr>
              <w:t>/s，随后来流骤减，10~12月月均值降至50~100m</w:t>
            </w:r>
            <w:r>
              <w:rPr>
                <w:rFonts w:hint="eastAsia"/>
                <w:b/>
                <w:bCs/>
                <w:u w:val="single"/>
                <w:vertAlign w:val="superscript"/>
              </w:rPr>
              <w:t>3</w:t>
            </w:r>
            <w:r>
              <w:rPr>
                <w:rFonts w:hint="eastAsia"/>
                <w:b/>
                <w:bCs/>
                <w:u w:val="single"/>
              </w:rPr>
              <w:t>/s。</w:t>
            </w:r>
          </w:p>
          <w:p w14:paraId="3ECBFDFB">
            <w:pPr>
              <w:spacing w:line="360" w:lineRule="auto"/>
            </w:pPr>
            <w:r>
              <w:drawing>
                <wp:inline distT="0" distB="0" distL="0" distR="0">
                  <wp:extent cx="4867910" cy="2364740"/>
                  <wp:effectExtent l="0" t="0" r="8890" b="0"/>
                  <wp:docPr id="322172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2138"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74419" cy="2368010"/>
                          </a:xfrm>
                          <a:prstGeom prst="rect">
                            <a:avLst/>
                          </a:prstGeom>
                          <a:noFill/>
                          <a:ln>
                            <a:noFill/>
                          </a:ln>
                        </pic:spPr>
                      </pic:pic>
                    </a:graphicData>
                  </a:graphic>
                </wp:inline>
              </w:drawing>
            </w:r>
          </w:p>
          <w:p w14:paraId="009C604F">
            <w:pPr>
              <w:spacing w:line="360" w:lineRule="auto"/>
              <w:jc w:val="center"/>
              <w:rPr>
                <w:b/>
                <w:bCs/>
                <w:u w:val="single"/>
              </w:rPr>
            </w:pPr>
            <w:r>
              <w:rPr>
                <w:rFonts w:hint="eastAsia"/>
                <w:b/>
                <w:bCs/>
                <w:u w:val="single"/>
              </w:rPr>
              <w:t>图19      临江站流量月均值</w:t>
            </w:r>
          </w:p>
          <w:p w14:paraId="0D435F18">
            <w:pPr>
              <w:spacing w:line="360" w:lineRule="auto"/>
              <w:ind w:firstLine="482" w:firstLineChars="200"/>
              <w:rPr>
                <w:b/>
                <w:bCs/>
                <w:u w:val="single"/>
              </w:rPr>
            </w:pPr>
            <w:r>
              <w:rPr>
                <w:rFonts w:hint="eastAsia"/>
                <w:b/>
                <w:bCs/>
                <w:u w:val="single"/>
              </w:rPr>
              <w:t>④日均流量变化</w:t>
            </w:r>
          </w:p>
          <w:p w14:paraId="1ECB3FF9">
            <w:pPr>
              <w:spacing w:line="360" w:lineRule="auto"/>
              <w:ind w:firstLine="482" w:firstLineChars="200"/>
              <w:rPr>
                <w:b/>
                <w:bCs/>
                <w:u w:val="single"/>
              </w:rPr>
            </w:pPr>
            <w:r>
              <w:rPr>
                <w:rFonts w:hint="eastAsia"/>
                <w:b/>
                <w:bCs/>
                <w:u w:val="single"/>
              </w:rPr>
              <w:t>分析临江站日均来流过程，大部分年份来流过程都遵循1~3月来流较小，7~9月来流较大。其中，某些小水年，洪水期流量上涨有限，会在3~5月出现小股洪水，该流量一般小于常规7~9月洪峰值。</w:t>
            </w:r>
          </w:p>
          <w:p w14:paraId="76620606">
            <w:pPr>
              <w:spacing w:line="360" w:lineRule="auto"/>
              <w:ind w:firstLine="482" w:firstLineChars="200"/>
              <w:rPr>
                <w:b/>
                <w:bCs/>
                <w:u w:val="single"/>
              </w:rPr>
            </w:pPr>
            <w:r>
              <w:rPr>
                <w:rFonts w:hint="eastAsia"/>
                <w:b/>
                <w:bCs/>
                <w:u w:val="single"/>
              </w:rPr>
              <w:t>⑤水位流量关系</w:t>
            </w:r>
          </w:p>
          <w:p w14:paraId="24213D88">
            <w:pPr>
              <w:spacing w:line="360" w:lineRule="auto"/>
              <w:ind w:firstLine="482" w:firstLineChars="200"/>
            </w:pPr>
            <w:r>
              <w:rPr>
                <w:rFonts w:hint="eastAsia"/>
                <w:b/>
                <w:bCs/>
                <w:u w:val="single"/>
              </w:rPr>
              <w:t>分别点绘了2004年前后非冰凌期水位流量关系图。从图中可以看出，同一时期内，水位流量呈现出较好的线性关系。</w:t>
            </w:r>
          </w:p>
          <w:p w14:paraId="4F2DD095">
            <w:pPr>
              <w:spacing w:line="360" w:lineRule="auto"/>
            </w:pPr>
            <w:r>
              <w:drawing>
                <wp:inline distT="0" distB="0" distL="0" distR="0">
                  <wp:extent cx="4875530" cy="3002915"/>
                  <wp:effectExtent l="0" t="0" r="1270" b="6985"/>
                  <wp:docPr id="17500615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61562"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81018" cy="3006646"/>
                          </a:xfrm>
                          <a:prstGeom prst="rect">
                            <a:avLst/>
                          </a:prstGeom>
                          <a:noFill/>
                          <a:ln>
                            <a:noFill/>
                          </a:ln>
                        </pic:spPr>
                      </pic:pic>
                    </a:graphicData>
                  </a:graphic>
                </wp:inline>
              </w:drawing>
            </w:r>
          </w:p>
          <w:p w14:paraId="57986D74">
            <w:pPr>
              <w:spacing w:line="360" w:lineRule="auto"/>
              <w:jc w:val="center"/>
              <w:rPr>
                <w:b/>
                <w:bCs/>
              </w:rPr>
            </w:pPr>
            <w:r>
              <w:rPr>
                <w:b/>
                <w:bCs/>
              </w:rPr>
              <w:drawing>
                <wp:inline distT="0" distB="0" distL="0" distR="0">
                  <wp:extent cx="4914900" cy="6495415"/>
                  <wp:effectExtent l="0" t="0" r="0" b="635"/>
                  <wp:docPr id="13812240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24093"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27705" cy="6512247"/>
                          </a:xfrm>
                          <a:prstGeom prst="rect">
                            <a:avLst/>
                          </a:prstGeom>
                          <a:noFill/>
                          <a:ln>
                            <a:noFill/>
                          </a:ln>
                        </pic:spPr>
                      </pic:pic>
                    </a:graphicData>
                  </a:graphic>
                </wp:inline>
              </w:drawing>
            </w:r>
          </w:p>
          <w:p w14:paraId="136ED2CF">
            <w:pPr>
              <w:spacing w:line="360" w:lineRule="auto"/>
              <w:jc w:val="center"/>
              <w:rPr>
                <w:b/>
                <w:bCs/>
                <w:u w:val="single"/>
              </w:rPr>
            </w:pPr>
            <w:r>
              <w:rPr>
                <w:rFonts w:hint="eastAsia"/>
                <w:b/>
                <w:bCs/>
                <w:u w:val="single"/>
              </w:rPr>
              <w:t>图20     临江站水位流量关系图（4 月25 日～10 月31 日）</w:t>
            </w:r>
          </w:p>
          <w:p w14:paraId="37238701">
            <w:pPr>
              <w:spacing w:line="360" w:lineRule="auto"/>
              <w:ind w:firstLine="482" w:firstLineChars="200"/>
              <w:rPr>
                <w:b/>
                <w:bCs/>
                <w:u w:val="single"/>
              </w:rPr>
            </w:pPr>
            <w:r>
              <w:rPr>
                <w:rFonts w:hint="eastAsia"/>
                <w:b/>
                <w:bCs/>
                <w:u w:val="single"/>
              </w:rPr>
              <w:t>（3）冰冻期</w:t>
            </w:r>
          </w:p>
          <w:p w14:paraId="1B7A5A46">
            <w:pPr>
              <w:spacing w:line="360" w:lineRule="auto"/>
              <w:ind w:firstLine="482" w:firstLineChars="200"/>
              <w:rPr>
                <w:b/>
                <w:bCs/>
                <w:u w:val="single"/>
              </w:rPr>
            </w:pPr>
            <w:r>
              <w:rPr>
                <w:rFonts w:hint="eastAsia"/>
                <w:b/>
                <w:bCs/>
                <w:u w:val="single"/>
              </w:rPr>
              <w:t>鸭绿江为季节性封冻河流，封冻时间一般为五个月左右，冬季河流水深较浅，最大冰厚1.2米。</w:t>
            </w:r>
          </w:p>
          <w:p w14:paraId="5C1D2114">
            <w:pPr>
              <w:spacing w:line="360" w:lineRule="auto"/>
              <w:ind w:firstLine="482" w:firstLineChars="200"/>
              <w:rPr>
                <w:b/>
                <w:bCs/>
                <w:u w:val="single"/>
              </w:rPr>
            </w:pPr>
            <w:r>
              <w:rPr>
                <w:rFonts w:hint="eastAsia"/>
                <w:b/>
                <w:bCs/>
                <w:u w:val="single"/>
              </w:rPr>
              <w:t>（4）泥沙</w:t>
            </w:r>
          </w:p>
          <w:p w14:paraId="23FCE37E">
            <w:pPr>
              <w:spacing w:line="360" w:lineRule="auto"/>
              <w:ind w:firstLine="482" w:firstLineChars="200"/>
              <w:rPr>
                <w:b/>
                <w:bCs/>
                <w:u w:val="single"/>
              </w:rPr>
            </w:pPr>
            <w:r>
              <w:rPr>
                <w:rFonts w:hint="eastAsia"/>
                <w:b/>
                <w:bCs/>
                <w:u w:val="single"/>
              </w:rPr>
              <w:t>本工程位于鸭绿江临江段，多年平均含沙量为0.178kg/m</w:t>
            </w:r>
            <w:r>
              <w:rPr>
                <w:rFonts w:hint="eastAsia"/>
                <w:b/>
                <w:bCs/>
                <w:u w:val="single"/>
                <w:vertAlign w:val="superscript"/>
              </w:rPr>
              <w:t>3</w:t>
            </w:r>
            <w:r>
              <w:rPr>
                <w:rFonts w:hint="eastAsia"/>
                <w:b/>
                <w:bCs/>
                <w:u w:val="single"/>
              </w:rPr>
              <w:t>，历史最大含沙量达到0.985kg/m</w:t>
            </w:r>
            <w:r>
              <w:rPr>
                <w:rFonts w:hint="eastAsia"/>
                <w:b/>
                <w:bCs/>
                <w:u w:val="single"/>
                <w:vertAlign w:val="superscript"/>
              </w:rPr>
              <w:t>3</w:t>
            </w:r>
            <w:r>
              <w:rPr>
                <w:rFonts w:hint="eastAsia"/>
                <w:b/>
                <w:bCs/>
                <w:u w:val="single"/>
              </w:rPr>
              <w:t>，其中水流侵蚀地表为主要的泥沙来源，泥沙在水中以悬移运动为主、推移运动为辅。</w:t>
            </w:r>
          </w:p>
          <w:p w14:paraId="4B2EE2F6">
            <w:pPr>
              <w:spacing w:line="360" w:lineRule="auto"/>
              <w:ind w:firstLine="480" w:firstLineChars="200"/>
            </w:pPr>
            <w:r>
              <w:rPr>
                <w:rFonts w:hint="eastAsia"/>
              </w:rPr>
              <w:t>三、环境空气</w:t>
            </w:r>
          </w:p>
          <w:p w14:paraId="60C5CECF">
            <w:pPr>
              <w:spacing w:line="360" w:lineRule="auto"/>
              <w:ind w:firstLine="480" w:firstLineChars="200"/>
            </w:pPr>
            <w:r>
              <w:t>1、达标区判定</w:t>
            </w:r>
          </w:p>
          <w:p w14:paraId="03352945">
            <w:pPr>
              <w:spacing w:line="360" w:lineRule="auto"/>
              <w:ind w:firstLine="480" w:firstLineChars="200"/>
            </w:pPr>
            <w:r>
              <w:rPr>
                <w:rFonts w:hint="eastAsia"/>
              </w:rPr>
              <w:t>为了解项目所在地环境空气质量状况，根据《环境影响评价技术导则大气环境》（HJ 2.2-2018）要求，“项目所在区域达标判定，优先采用国家或地方生态环境主管部门公开发布的评价基准年环境质量公告或环境质量报告中的数据或结论”，因此本评价引用吉林省生态环境厅发布的《吉林省2024年生态环境状况公报》中的相关内容，具体如下：</w:t>
            </w:r>
          </w:p>
          <w:p w14:paraId="36A2D454">
            <w:pPr>
              <w:spacing w:line="360" w:lineRule="auto"/>
              <w:ind w:firstLine="480" w:firstLineChars="200"/>
            </w:pPr>
          </w:p>
          <w:p w14:paraId="032C2F09">
            <w:pPr>
              <w:spacing w:line="360" w:lineRule="auto"/>
            </w:pPr>
            <w:r>
              <w:drawing>
                <wp:inline distT="0" distB="0" distL="0" distR="0">
                  <wp:extent cx="4867910" cy="3055620"/>
                  <wp:effectExtent l="0" t="0" r="8890" b="0"/>
                  <wp:docPr id="421470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7037"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75990" cy="3060711"/>
                          </a:xfrm>
                          <a:prstGeom prst="rect">
                            <a:avLst/>
                          </a:prstGeom>
                          <a:noFill/>
                          <a:ln>
                            <a:noFill/>
                          </a:ln>
                        </pic:spPr>
                      </pic:pic>
                    </a:graphicData>
                  </a:graphic>
                </wp:inline>
              </w:drawing>
            </w:r>
          </w:p>
          <w:p w14:paraId="50DDB8B8">
            <w:pPr>
              <w:spacing w:line="360" w:lineRule="auto"/>
              <w:jc w:val="center"/>
            </w:pPr>
            <w:r>
              <w:rPr>
                <w:rFonts w:cs="Times New Roman"/>
                <w:b/>
                <w:szCs w:val="24"/>
              </w:rPr>
              <w:t>全省9个城市环境空气质量主要污染物年均浓度</w:t>
            </w:r>
          </w:p>
          <w:p w14:paraId="65044CB3">
            <w:pPr>
              <w:spacing w:line="360" w:lineRule="auto"/>
              <w:ind w:firstLine="480" w:firstLineChars="200"/>
            </w:pPr>
          </w:p>
          <w:p w14:paraId="320B1897">
            <w:pPr>
              <w:spacing w:line="360" w:lineRule="auto"/>
              <w:ind w:firstLine="480" w:firstLineChars="200"/>
            </w:pPr>
            <w:bookmarkStart w:id="17" w:name="OLE_LINK53"/>
            <w:r>
              <w:rPr>
                <w:rFonts w:hint="eastAsia" w:cs="Times New Roman"/>
                <w:szCs w:val="24"/>
              </w:rPr>
              <w:t>白山</w:t>
            </w:r>
            <w:r>
              <w:rPr>
                <w:rFonts w:cs="Times New Roman"/>
                <w:szCs w:val="24"/>
              </w:rPr>
              <w:t>市202</w:t>
            </w:r>
            <w:r>
              <w:rPr>
                <w:rFonts w:hint="eastAsia" w:cs="Times New Roman"/>
                <w:szCs w:val="24"/>
              </w:rPr>
              <w:t>4</w:t>
            </w:r>
            <w:r>
              <w:rPr>
                <w:rFonts w:cs="Times New Roman"/>
                <w:szCs w:val="24"/>
              </w:rPr>
              <w:t>年SO</w:t>
            </w:r>
            <w:r>
              <w:rPr>
                <w:rFonts w:cs="Times New Roman"/>
                <w:szCs w:val="24"/>
                <w:vertAlign w:val="subscript"/>
              </w:rPr>
              <w:t>2</w:t>
            </w:r>
            <w:r>
              <w:rPr>
                <w:rFonts w:cs="Times New Roman"/>
                <w:szCs w:val="24"/>
              </w:rPr>
              <w:t>、NO</w:t>
            </w:r>
            <w:r>
              <w:rPr>
                <w:rFonts w:cs="Times New Roman"/>
                <w:szCs w:val="24"/>
                <w:vertAlign w:val="subscript"/>
              </w:rPr>
              <w:t>2</w:t>
            </w:r>
            <w:r>
              <w:rPr>
                <w:rFonts w:cs="Times New Roman"/>
                <w:szCs w:val="24"/>
              </w:rPr>
              <w:t>、PM</w:t>
            </w:r>
            <w:r>
              <w:rPr>
                <w:rFonts w:cs="Times New Roman"/>
                <w:szCs w:val="24"/>
                <w:vertAlign w:val="subscript"/>
              </w:rPr>
              <w:t>10</w:t>
            </w:r>
            <w:r>
              <w:rPr>
                <w:rFonts w:cs="Times New Roman"/>
                <w:szCs w:val="24"/>
              </w:rPr>
              <w:t>、PM</w:t>
            </w:r>
            <w:r>
              <w:rPr>
                <w:rFonts w:cs="Times New Roman"/>
                <w:szCs w:val="24"/>
                <w:vertAlign w:val="subscript"/>
              </w:rPr>
              <w:t>2.5</w:t>
            </w:r>
            <w:r>
              <w:rPr>
                <w:rFonts w:cs="Times New Roman"/>
                <w:szCs w:val="24"/>
              </w:rPr>
              <w:t>年均浓度分别为</w:t>
            </w:r>
            <w:r>
              <w:rPr>
                <w:rFonts w:hint="eastAsia" w:cs="Times New Roman"/>
                <w:szCs w:val="24"/>
              </w:rPr>
              <w:t>12</w:t>
            </w:r>
            <w:r>
              <w:rPr>
                <w:rFonts w:cs="Times New Roman"/>
                <w:szCs w:val="24"/>
              </w:rPr>
              <w:t>μg/m</w:t>
            </w:r>
            <w:r>
              <w:rPr>
                <w:rFonts w:cs="Times New Roman"/>
                <w:szCs w:val="24"/>
                <w:vertAlign w:val="superscript"/>
              </w:rPr>
              <w:t>3</w:t>
            </w:r>
            <w:r>
              <w:rPr>
                <w:rFonts w:cs="Times New Roman"/>
                <w:szCs w:val="24"/>
              </w:rPr>
              <w:t>、2</w:t>
            </w:r>
            <w:r>
              <w:rPr>
                <w:rFonts w:hint="eastAsia" w:cs="Times New Roman"/>
                <w:szCs w:val="24"/>
              </w:rPr>
              <w:t>0</w:t>
            </w:r>
            <w:r>
              <w:rPr>
                <w:rFonts w:cs="Times New Roman"/>
                <w:szCs w:val="24"/>
              </w:rPr>
              <w:t>μg/m</w:t>
            </w:r>
            <w:r>
              <w:rPr>
                <w:rFonts w:cs="Times New Roman"/>
                <w:szCs w:val="24"/>
                <w:vertAlign w:val="superscript"/>
              </w:rPr>
              <w:t>3</w:t>
            </w:r>
            <w:r>
              <w:rPr>
                <w:rFonts w:cs="Times New Roman"/>
                <w:szCs w:val="24"/>
              </w:rPr>
              <w:t>、</w:t>
            </w:r>
            <w:r>
              <w:rPr>
                <w:rFonts w:hint="eastAsia" w:cs="Times New Roman"/>
                <w:szCs w:val="24"/>
              </w:rPr>
              <w:t>54</w:t>
            </w:r>
            <w:r>
              <w:rPr>
                <w:rFonts w:cs="Times New Roman"/>
                <w:szCs w:val="24"/>
              </w:rPr>
              <w:t>μg/m</w:t>
            </w:r>
            <w:r>
              <w:rPr>
                <w:rFonts w:cs="Times New Roman"/>
                <w:szCs w:val="24"/>
                <w:vertAlign w:val="superscript"/>
              </w:rPr>
              <w:t>3</w:t>
            </w:r>
            <w:r>
              <w:rPr>
                <w:rFonts w:cs="Times New Roman"/>
                <w:szCs w:val="24"/>
              </w:rPr>
              <w:t>、</w:t>
            </w:r>
            <w:r>
              <w:rPr>
                <w:rFonts w:hint="eastAsia" w:cs="Times New Roman"/>
                <w:szCs w:val="24"/>
              </w:rPr>
              <w:t>23</w:t>
            </w:r>
            <w:r>
              <w:rPr>
                <w:rFonts w:cs="Times New Roman"/>
                <w:szCs w:val="24"/>
              </w:rPr>
              <w:t>μg/m</w:t>
            </w:r>
            <w:r>
              <w:rPr>
                <w:rFonts w:cs="Times New Roman"/>
                <w:szCs w:val="24"/>
                <w:vertAlign w:val="superscript"/>
              </w:rPr>
              <w:t>3</w:t>
            </w:r>
            <w:r>
              <w:rPr>
                <w:rFonts w:cs="Times New Roman"/>
                <w:szCs w:val="24"/>
              </w:rPr>
              <w:t>；CO 24小时平均第95百分位数为</w:t>
            </w:r>
            <w:r>
              <w:rPr>
                <w:rFonts w:hint="eastAsia" w:cs="Times New Roman"/>
                <w:szCs w:val="24"/>
              </w:rPr>
              <w:t>1.2</w:t>
            </w:r>
            <w:r>
              <w:rPr>
                <w:rFonts w:cs="Times New Roman"/>
                <w:szCs w:val="24"/>
              </w:rPr>
              <w:t>mg/m</w:t>
            </w:r>
            <w:r>
              <w:rPr>
                <w:rFonts w:cs="Times New Roman"/>
                <w:szCs w:val="24"/>
                <w:vertAlign w:val="superscript"/>
              </w:rPr>
              <w:t>3</w:t>
            </w:r>
            <w:r>
              <w:rPr>
                <w:rFonts w:cs="Times New Roman"/>
                <w:szCs w:val="24"/>
              </w:rPr>
              <w:t>，O</w:t>
            </w:r>
            <w:r>
              <w:rPr>
                <w:rFonts w:cs="Times New Roman"/>
                <w:szCs w:val="24"/>
                <w:vertAlign w:val="subscript"/>
              </w:rPr>
              <w:t>3</w:t>
            </w:r>
            <w:r>
              <w:rPr>
                <w:rFonts w:cs="Times New Roman"/>
                <w:szCs w:val="24"/>
              </w:rPr>
              <w:t>日最大8小时平均第90百分位数为1</w:t>
            </w:r>
            <w:r>
              <w:rPr>
                <w:rFonts w:hint="eastAsia" w:cs="Times New Roman"/>
                <w:szCs w:val="24"/>
              </w:rPr>
              <w:t>29</w:t>
            </w:r>
            <w:r>
              <w:rPr>
                <w:rFonts w:cs="Times New Roman"/>
                <w:szCs w:val="24"/>
              </w:rPr>
              <w:t>μg/m</w:t>
            </w:r>
            <w:r>
              <w:rPr>
                <w:rFonts w:cs="Times New Roman"/>
                <w:szCs w:val="24"/>
                <w:vertAlign w:val="superscript"/>
              </w:rPr>
              <w:t>3</w:t>
            </w:r>
            <w:r>
              <w:rPr>
                <w:rFonts w:cs="Times New Roman"/>
                <w:szCs w:val="24"/>
              </w:rPr>
              <w:t>；各污染物平均浓度均优于《环境空气质量标准》（GB</w:t>
            </w:r>
            <w:r>
              <w:rPr>
                <w:rFonts w:hint="eastAsia" w:cs="Times New Roman"/>
                <w:szCs w:val="24"/>
              </w:rPr>
              <w:t xml:space="preserve"> </w:t>
            </w:r>
            <w:r>
              <w:rPr>
                <w:rFonts w:cs="Times New Roman"/>
                <w:szCs w:val="24"/>
              </w:rPr>
              <w:t>3095-2012）中二级标准限值，属于环境控制质量达标区</w:t>
            </w:r>
            <w:bookmarkEnd w:id="17"/>
            <w:r>
              <w:rPr>
                <w:rFonts w:hint="eastAsia" w:cs="Times New Roman"/>
                <w:szCs w:val="24"/>
              </w:rPr>
              <w:t>。</w:t>
            </w:r>
          </w:p>
          <w:p w14:paraId="545F3210">
            <w:pPr>
              <w:spacing w:line="360" w:lineRule="auto"/>
              <w:ind w:firstLine="480" w:firstLineChars="200"/>
            </w:pPr>
            <w:r>
              <w:t>2、补充监测</w:t>
            </w:r>
          </w:p>
          <w:p w14:paraId="127A5E72">
            <w:pPr>
              <w:spacing w:line="360" w:lineRule="auto"/>
              <w:ind w:firstLine="480" w:firstLineChars="200"/>
            </w:pPr>
            <w:r>
              <w:rPr>
                <w:rFonts w:hint="eastAsia"/>
              </w:rPr>
              <w:t>根据《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6310817A">
            <w:pPr>
              <w:spacing w:line="360" w:lineRule="auto"/>
              <w:ind w:firstLine="480" w:firstLineChars="200"/>
            </w:pPr>
            <w:r>
              <w:rPr>
                <w:rFonts w:hint="eastAsia"/>
              </w:rPr>
              <w:t>因此本次评价引用《吉林省健维天然生物科技有限公司年产48吨二氢槲皮素项目环境影响报告表》中对区域环境空气的监测数据，该项目位于本项目西南侧约1.6km处，最近的监测点位布设于本项目西南侧约1.5km处，距离较近，且该项目于2025年9月对区域环境空气质量进行了监测，监测数据时效在有效期范围内，因此该项目环境空气质量监测数据具有有效性，能够反映区域环境空气质量现状，本次评价引用该项目的环境空气质量监测数据合理，具体内容如下：</w:t>
            </w:r>
          </w:p>
          <w:p w14:paraId="0B441438">
            <w:pPr>
              <w:spacing w:line="360" w:lineRule="auto"/>
              <w:ind w:firstLine="480" w:firstLineChars="200"/>
            </w:pPr>
            <w:r>
              <w:rPr>
                <w:rFonts w:hint="eastAsia"/>
              </w:rPr>
              <w:t>（1）监测点位</w:t>
            </w:r>
          </w:p>
          <w:p w14:paraId="4DC8553A">
            <w:pPr>
              <w:spacing w:line="360" w:lineRule="auto"/>
              <w:ind w:firstLine="480" w:firstLineChars="200"/>
            </w:pPr>
            <w:r>
              <w:rPr>
                <w:rFonts w:hint="eastAsia"/>
              </w:rPr>
              <w:t>共布设1个环境空气质量监测点，具体布设情况详见下表及附图11，具体如下表所示：</w:t>
            </w:r>
          </w:p>
          <w:p w14:paraId="197A6458">
            <w:pPr>
              <w:spacing w:line="360" w:lineRule="auto"/>
              <w:ind w:firstLine="480" w:firstLineChars="200"/>
            </w:pPr>
          </w:p>
          <w:p w14:paraId="07684862">
            <w:pPr>
              <w:spacing w:line="360" w:lineRule="auto"/>
              <w:jc w:val="center"/>
              <w:rPr>
                <w:b/>
                <w:bCs/>
              </w:rPr>
            </w:pPr>
            <w:r>
              <w:rPr>
                <w:rFonts w:hint="eastAsia"/>
                <w:b/>
                <w:bCs/>
              </w:rPr>
              <w:t>表35   环境空气质量监测点布设情况一览表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3"/>
              <w:gridCol w:w="4404"/>
              <w:gridCol w:w="2008"/>
            </w:tblGrid>
            <w:tr w14:paraId="4BF692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934" w:type="pct"/>
                  <w:vAlign w:val="center"/>
                </w:tcPr>
                <w:p w14:paraId="46AD84DC">
                  <w:pPr>
                    <w:autoSpaceDE w:val="0"/>
                    <w:autoSpaceDN w:val="0"/>
                    <w:adjustRightInd w:val="0"/>
                    <w:jc w:val="center"/>
                    <w:rPr>
                      <w:b/>
                      <w:bCs/>
                      <w:sz w:val="21"/>
                      <w:szCs w:val="18"/>
                      <w:lang w:val="zh-CN"/>
                    </w:rPr>
                  </w:pPr>
                  <w:r>
                    <w:rPr>
                      <w:b/>
                      <w:bCs/>
                      <w:sz w:val="21"/>
                      <w:szCs w:val="18"/>
                      <w:lang w:val="zh-CN"/>
                    </w:rPr>
                    <w:t>监测点号</w:t>
                  </w:r>
                </w:p>
              </w:tc>
              <w:tc>
                <w:tcPr>
                  <w:tcW w:w="2792" w:type="pct"/>
                  <w:vAlign w:val="center"/>
                </w:tcPr>
                <w:p w14:paraId="09CEBAAD">
                  <w:pPr>
                    <w:autoSpaceDE w:val="0"/>
                    <w:autoSpaceDN w:val="0"/>
                    <w:adjustRightInd w:val="0"/>
                    <w:jc w:val="center"/>
                    <w:rPr>
                      <w:b/>
                      <w:bCs/>
                      <w:sz w:val="21"/>
                      <w:szCs w:val="18"/>
                      <w:lang w:val="zh-CN"/>
                    </w:rPr>
                  </w:pPr>
                  <w:r>
                    <w:rPr>
                      <w:b/>
                      <w:bCs/>
                      <w:sz w:val="21"/>
                      <w:szCs w:val="18"/>
                      <w:lang w:val="zh-CN"/>
                    </w:rPr>
                    <w:t>测点名称</w:t>
                  </w:r>
                </w:p>
              </w:tc>
              <w:tc>
                <w:tcPr>
                  <w:tcW w:w="1273" w:type="pct"/>
                </w:tcPr>
                <w:p w14:paraId="5ADC2EA7">
                  <w:pPr>
                    <w:autoSpaceDE w:val="0"/>
                    <w:autoSpaceDN w:val="0"/>
                    <w:adjustRightInd w:val="0"/>
                    <w:jc w:val="center"/>
                    <w:rPr>
                      <w:b/>
                      <w:bCs/>
                      <w:sz w:val="21"/>
                      <w:szCs w:val="18"/>
                      <w:lang w:val="zh-CN"/>
                    </w:rPr>
                  </w:pPr>
                  <w:r>
                    <w:rPr>
                      <w:rFonts w:hint="eastAsia"/>
                      <w:b/>
                      <w:bCs/>
                      <w:sz w:val="21"/>
                      <w:szCs w:val="18"/>
                      <w:lang w:val="zh-CN"/>
                    </w:rPr>
                    <w:t>说明</w:t>
                  </w:r>
                </w:p>
              </w:tc>
            </w:tr>
            <w:tr w14:paraId="1C02B1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934" w:type="pct"/>
                  <w:vAlign w:val="center"/>
                </w:tcPr>
                <w:p w14:paraId="4D521266">
                  <w:pPr>
                    <w:autoSpaceDE w:val="0"/>
                    <w:autoSpaceDN w:val="0"/>
                    <w:adjustRightInd w:val="0"/>
                    <w:jc w:val="center"/>
                    <w:rPr>
                      <w:sz w:val="21"/>
                      <w:szCs w:val="18"/>
                      <w:vertAlign w:val="superscript"/>
                      <w:lang w:val="zh-CN"/>
                    </w:rPr>
                  </w:pPr>
                  <w:r>
                    <w:rPr>
                      <w:sz w:val="21"/>
                      <w:szCs w:val="18"/>
                    </w:rPr>
                    <w:t>1</w:t>
                  </w:r>
                  <w:r>
                    <w:rPr>
                      <w:sz w:val="21"/>
                      <w:szCs w:val="18"/>
                      <w:vertAlign w:val="superscript"/>
                      <w:lang w:val="zh-CN"/>
                    </w:rPr>
                    <w:t>#</w:t>
                  </w:r>
                </w:p>
              </w:tc>
              <w:tc>
                <w:tcPr>
                  <w:tcW w:w="2792" w:type="pct"/>
                  <w:vAlign w:val="center"/>
                </w:tcPr>
                <w:p w14:paraId="6098B549">
                  <w:pPr>
                    <w:autoSpaceDE w:val="0"/>
                    <w:autoSpaceDN w:val="0"/>
                    <w:adjustRightInd w:val="0"/>
                    <w:jc w:val="center"/>
                    <w:rPr>
                      <w:sz w:val="21"/>
                      <w:szCs w:val="18"/>
                      <w:highlight w:val="yellow"/>
                    </w:rPr>
                  </w:pPr>
                  <w:r>
                    <w:rPr>
                      <w:rFonts w:hint="eastAsia"/>
                      <w:sz w:val="21"/>
                      <w:szCs w:val="18"/>
                    </w:rPr>
                    <w:t>吉林省健维天然生物科技有限公司年产48吨二氢槲皮素项目下风向20m处</w:t>
                  </w:r>
                </w:p>
              </w:tc>
              <w:tc>
                <w:tcPr>
                  <w:tcW w:w="1273" w:type="pct"/>
                  <w:vAlign w:val="center"/>
                </w:tcPr>
                <w:p w14:paraId="5D6F9061">
                  <w:pPr>
                    <w:autoSpaceDE w:val="0"/>
                    <w:autoSpaceDN w:val="0"/>
                    <w:adjustRightInd w:val="0"/>
                    <w:jc w:val="center"/>
                    <w:rPr>
                      <w:sz w:val="21"/>
                      <w:szCs w:val="18"/>
                    </w:rPr>
                  </w:pPr>
                  <w:r>
                    <w:rPr>
                      <w:rFonts w:hint="eastAsia"/>
                      <w:sz w:val="21"/>
                      <w:szCs w:val="18"/>
                    </w:rPr>
                    <w:t>引用项目下风向</w:t>
                  </w:r>
                </w:p>
              </w:tc>
            </w:tr>
          </w:tbl>
          <w:p w14:paraId="5A2CAE94">
            <w:pPr>
              <w:spacing w:line="360" w:lineRule="auto"/>
              <w:ind w:firstLine="480" w:firstLineChars="200"/>
            </w:pPr>
          </w:p>
          <w:p w14:paraId="7F3241CC">
            <w:pPr>
              <w:spacing w:line="360" w:lineRule="auto"/>
              <w:ind w:firstLine="480" w:firstLineChars="200"/>
            </w:pPr>
            <w:r>
              <w:rPr>
                <w:rFonts w:hint="eastAsia"/>
              </w:rPr>
              <w:t>（2）监测项目</w:t>
            </w:r>
          </w:p>
          <w:p w14:paraId="46132DBD">
            <w:pPr>
              <w:spacing w:line="360" w:lineRule="auto"/>
              <w:ind w:firstLine="480" w:firstLineChars="200"/>
            </w:pPr>
            <w:r>
              <w:rPr>
                <w:rFonts w:hint="eastAsia"/>
              </w:rPr>
              <w:t>监测项目为：TSP。</w:t>
            </w:r>
          </w:p>
          <w:p w14:paraId="68CE8499">
            <w:pPr>
              <w:spacing w:line="360" w:lineRule="auto"/>
              <w:ind w:firstLine="480" w:firstLineChars="200"/>
            </w:pPr>
            <w:r>
              <w:rPr>
                <w:rFonts w:hint="eastAsia"/>
              </w:rPr>
              <w:t>（3）监测单位及监测时间</w:t>
            </w:r>
          </w:p>
          <w:p w14:paraId="55C1D2B9">
            <w:pPr>
              <w:spacing w:line="360" w:lineRule="auto"/>
              <w:ind w:firstLine="480" w:firstLineChars="200"/>
            </w:pPr>
            <w:r>
              <w:rPr>
                <w:rFonts w:hint="eastAsia"/>
              </w:rPr>
              <w:t>吉林省奥洋环保科技有限公司于2025年9月4日-6日连续3天采样监测。</w:t>
            </w:r>
          </w:p>
          <w:p w14:paraId="07BDE7B1">
            <w:pPr>
              <w:spacing w:line="360" w:lineRule="auto"/>
              <w:ind w:firstLine="480" w:firstLineChars="200"/>
            </w:pPr>
            <w:r>
              <w:t>（4）评价标准</w:t>
            </w:r>
          </w:p>
          <w:p w14:paraId="1B6E14AB">
            <w:pPr>
              <w:spacing w:line="360" w:lineRule="auto"/>
              <w:ind w:firstLine="480" w:firstLineChars="200"/>
            </w:pPr>
            <w:r>
              <w:t>TSP评价标准采用《环境空气质量标准》（GB 3095-2012）中“表2环境空气污染物其他项目浓度限值”的二级标准。</w:t>
            </w:r>
          </w:p>
          <w:p w14:paraId="691BB3C5">
            <w:pPr>
              <w:spacing w:line="360" w:lineRule="auto"/>
              <w:ind w:firstLine="480" w:firstLineChars="200"/>
            </w:pPr>
            <w:r>
              <w:rPr>
                <w:rFonts w:hint="eastAsia"/>
              </w:rPr>
              <w:t>（5）监测结果</w:t>
            </w:r>
          </w:p>
          <w:p w14:paraId="66CC69A0">
            <w:pPr>
              <w:spacing w:line="360" w:lineRule="auto"/>
              <w:ind w:firstLine="480" w:firstLineChars="200"/>
            </w:pPr>
            <w:r>
              <w:rPr>
                <w:rFonts w:hint="eastAsia"/>
              </w:rPr>
              <w:t>本次环境空气质量现状监测结果详见下表：</w:t>
            </w:r>
          </w:p>
          <w:p w14:paraId="5DB5F459">
            <w:pPr>
              <w:spacing w:line="360" w:lineRule="auto"/>
              <w:jc w:val="center"/>
              <w:rPr>
                <w:b/>
              </w:rPr>
            </w:pPr>
            <w:r>
              <w:rPr>
                <w:b/>
              </w:rPr>
              <w:t>表</w:t>
            </w:r>
            <w:r>
              <w:rPr>
                <w:rFonts w:hint="eastAsia"/>
                <w:b/>
              </w:rPr>
              <w:t>36</w:t>
            </w:r>
            <w:r>
              <w:rPr>
                <w:b/>
              </w:rPr>
              <w:t xml:space="preserve">   评价区环境空气质量现状监测结果</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8"/>
              <w:gridCol w:w="1892"/>
              <w:gridCol w:w="1164"/>
              <w:gridCol w:w="1216"/>
              <w:gridCol w:w="1375"/>
            </w:tblGrid>
            <w:tr w14:paraId="1F1D6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vAlign w:val="center"/>
                </w:tcPr>
                <w:p w14:paraId="286BEE79">
                  <w:pPr>
                    <w:jc w:val="center"/>
                    <w:rPr>
                      <w:sz w:val="21"/>
                      <w:szCs w:val="21"/>
                    </w:rPr>
                  </w:pPr>
                  <w:r>
                    <w:rPr>
                      <w:b/>
                      <w:bCs/>
                      <w:sz w:val="21"/>
                      <w:szCs w:val="21"/>
                    </w:rPr>
                    <w:t>采样点位</w:t>
                  </w:r>
                </w:p>
              </w:tc>
              <w:tc>
                <w:tcPr>
                  <w:tcW w:w="1200" w:type="pct"/>
                  <w:vAlign w:val="center"/>
                </w:tcPr>
                <w:p w14:paraId="4FA86043">
                  <w:pPr>
                    <w:widowControl/>
                    <w:jc w:val="center"/>
                    <w:textAlignment w:val="center"/>
                    <w:rPr>
                      <w:sz w:val="21"/>
                      <w:szCs w:val="21"/>
                    </w:rPr>
                  </w:pPr>
                  <w:r>
                    <w:rPr>
                      <w:b/>
                      <w:bCs/>
                      <w:sz w:val="21"/>
                      <w:szCs w:val="21"/>
                    </w:rPr>
                    <w:t>采样日期</w:t>
                  </w:r>
                </w:p>
              </w:tc>
              <w:tc>
                <w:tcPr>
                  <w:tcW w:w="738" w:type="pct"/>
                  <w:vAlign w:val="center"/>
                </w:tcPr>
                <w:p w14:paraId="0981CF0C">
                  <w:pPr>
                    <w:widowControl/>
                    <w:jc w:val="center"/>
                    <w:textAlignment w:val="center"/>
                    <w:rPr>
                      <w:b/>
                      <w:bCs/>
                      <w:sz w:val="21"/>
                      <w:szCs w:val="21"/>
                      <w:lang w:bidi="ar"/>
                    </w:rPr>
                  </w:pPr>
                  <w:r>
                    <w:rPr>
                      <w:b/>
                      <w:bCs/>
                      <w:sz w:val="21"/>
                      <w:szCs w:val="21"/>
                      <w:lang w:bidi="ar"/>
                    </w:rPr>
                    <w:t>检测项目</w:t>
                  </w:r>
                </w:p>
              </w:tc>
              <w:tc>
                <w:tcPr>
                  <w:tcW w:w="771" w:type="pct"/>
                  <w:vAlign w:val="center"/>
                </w:tcPr>
                <w:p w14:paraId="53F0B7A1">
                  <w:pPr>
                    <w:widowControl/>
                    <w:jc w:val="center"/>
                    <w:textAlignment w:val="center"/>
                    <w:rPr>
                      <w:b/>
                      <w:bCs/>
                      <w:sz w:val="21"/>
                      <w:szCs w:val="21"/>
                    </w:rPr>
                  </w:pPr>
                  <w:r>
                    <w:rPr>
                      <w:b/>
                      <w:bCs/>
                      <w:sz w:val="21"/>
                      <w:szCs w:val="21"/>
                    </w:rPr>
                    <w:t>检测结果</w:t>
                  </w:r>
                </w:p>
              </w:tc>
              <w:tc>
                <w:tcPr>
                  <w:tcW w:w="872" w:type="pct"/>
                  <w:vAlign w:val="center"/>
                </w:tcPr>
                <w:p w14:paraId="54C18523">
                  <w:pPr>
                    <w:widowControl/>
                    <w:jc w:val="center"/>
                    <w:textAlignment w:val="center"/>
                    <w:rPr>
                      <w:b/>
                      <w:bCs/>
                      <w:sz w:val="21"/>
                      <w:szCs w:val="21"/>
                      <w:lang w:bidi="ar"/>
                    </w:rPr>
                  </w:pPr>
                  <w:r>
                    <w:rPr>
                      <w:b/>
                      <w:bCs/>
                      <w:sz w:val="21"/>
                      <w:szCs w:val="21"/>
                    </w:rPr>
                    <w:t>单位</w:t>
                  </w:r>
                </w:p>
              </w:tc>
            </w:tr>
            <w:tr w14:paraId="597C1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19" w:type="pct"/>
                  <w:vMerge w:val="restart"/>
                  <w:vAlign w:val="center"/>
                </w:tcPr>
                <w:p w14:paraId="470DF6C2">
                  <w:pPr>
                    <w:jc w:val="center"/>
                    <w:rPr>
                      <w:sz w:val="21"/>
                      <w:szCs w:val="21"/>
                    </w:rPr>
                  </w:pPr>
                  <w:r>
                    <w:rPr>
                      <w:rFonts w:hint="eastAsia"/>
                      <w:sz w:val="21"/>
                      <w:szCs w:val="18"/>
                    </w:rPr>
                    <w:t>吉林省健维天然生物科技有限公司年产48吨二氢槲皮素项目下风向20m处</w:t>
                  </w:r>
                </w:p>
              </w:tc>
              <w:tc>
                <w:tcPr>
                  <w:tcW w:w="1200" w:type="pct"/>
                  <w:vAlign w:val="center"/>
                </w:tcPr>
                <w:p w14:paraId="7DC04105">
                  <w:pPr>
                    <w:autoSpaceDE w:val="0"/>
                    <w:autoSpaceDN w:val="0"/>
                    <w:jc w:val="center"/>
                    <w:rPr>
                      <w:sz w:val="21"/>
                      <w:szCs w:val="21"/>
                    </w:rPr>
                  </w:pPr>
                  <w:r>
                    <w:rPr>
                      <w:sz w:val="21"/>
                      <w:szCs w:val="21"/>
                    </w:rPr>
                    <w:t>202</w:t>
                  </w:r>
                  <w:r>
                    <w:rPr>
                      <w:rFonts w:hint="eastAsia"/>
                      <w:sz w:val="21"/>
                      <w:szCs w:val="21"/>
                    </w:rPr>
                    <w:t>5</w:t>
                  </w:r>
                  <w:r>
                    <w:rPr>
                      <w:sz w:val="21"/>
                      <w:szCs w:val="21"/>
                    </w:rPr>
                    <w:t>年</w:t>
                  </w:r>
                  <w:r>
                    <w:rPr>
                      <w:rFonts w:hint="eastAsia"/>
                      <w:sz w:val="21"/>
                      <w:szCs w:val="21"/>
                    </w:rPr>
                    <w:t>9</w:t>
                  </w:r>
                  <w:r>
                    <w:rPr>
                      <w:sz w:val="21"/>
                      <w:szCs w:val="21"/>
                    </w:rPr>
                    <w:t>月</w:t>
                  </w:r>
                  <w:r>
                    <w:rPr>
                      <w:rFonts w:hint="eastAsia"/>
                      <w:sz w:val="21"/>
                      <w:szCs w:val="21"/>
                    </w:rPr>
                    <w:t>4</w:t>
                  </w:r>
                  <w:r>
                    <w:rPr>
                      <w:sz w:val="21"/>
                      <w:szCs w:val="21"/>
                    </w:rPr>
                    <w:t>日</w:t>
                  </w:r>
                </w:p>
              </w:tc>
              <w:tc>
                <w:tcPr>
                  <w:tcW w:w="738" w:type="pct"/>
                  <w:vAlign w:val="center"/>
                </w:tcPr>
                <w:p w14:paraId="538B6722">
                  <w:pPr>
                    <w:widowControl/>
                    <w:jc w:val="center"/>
                    <w:textAlignment w:val="center"/>
                    <w:rPr>
                      <w:sz w:val="21"/>
                      <w:szCs w:val="21"/>
                    </w:rPr>
                  </w:pPr>
                  <w:r>
                    <w:rPr>
                      <w:sz w:val="21"/>
                      <w:szCs w:val="21"/>
                    </w:rPr>
                    <w:t>TSP</w:t>
                  </w:r>
                </w:p>
              </w:tc>
              <w:tc>
                <w:tcPr>
                  <w:tcW w:w="771" w:type="pct"/>
                  <w:vAlign w:val="center"/>
                </w:tcPr>
                <w:p w14:paraId="2600692E">
                  <w:pPr>
                    <w:widowControl/>
                    <w:jc w:val="center"/>
                    <w:textAlignment w:val="center"/>
                    <w:rPr>
                      <w:sz w:val="21"/>
                      <w:szCs w:val="21"/>
                    </w:rPr>
                  </w:pPr>
                  <w:r>
                    <w:rPr>
                      <w:rFonts w:hint="eastAsia"/>
                      <w:sz w:val="21"/>
                      <w:szCs w:val="21"/>
                      <w:lang w:bidi="ar"/>
                    </w:rPr>
                    <w:t>104</w:t>
                  </w:r>
                </w:p>
              </w:tc>
              <w:tc>
                <w:tcPr>
                  <w:tcW w:w="872" w:type="pct"/>
                  <w:vAlign w:val="center"/>
                </w:tcPr>
                <w:p w14:paraId="78CFDDC7">
                  <w:pPr>
                    <w:widowControl/>
                    <w:jc w:val="center"/>
                    <w:textAlignment w:val="center"/>
                    <w:rPr>
                      <w:sz w:val="21"/>
                      <w:szCs w:val="21"/>
                      <w:lang w:bidi="ar"/>
                    </w:rPr>
                  </w:pPr>
                  <w:r>
                    <w:rPr>
                      <w:sz w:val="21"/>
                      <w:szCs w:val="21"/>
                    </w:rPr>
                    <w:t>μg/m³</w:t>
                  </w:r>
                </w:p>
              </w:tc>
            </w:tr>
            <w:tr w14:paraId="7A659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19" w:type="pct"/>
                  <w:vMerge w:val="continue"/>
                  <w:vAlign w:val="center"/>
                </w:tcPr>
                <w:p w14:paraId="08127614">
                  <w:pPr>
                    <w:snapToGrid w:val="0"/>
                    <w:jc w:val="center"/>
                    <w:rPr>
                      <w:sz w:val="21"/>
                      <w:szCs w:val="21"/>
                    </w:rPr>
                  </w:pPr>
                </w:p>
              </w:tc>
              <w:tc>
                <w:tcPr>
                  <w:tcW w:w="1200" w:type="pct"/>
                  <w:vAlign w:val="center"/>
                </w:tcPr>
                <w:p w14:paraId="4748959D">
                  <w:pPr>
                    <w:autoSpaceDE w:val="0"/>
                    <w:autoSpaceDN w:val="0"/>
                    <w:jc w:val="center"/>
                    <w:rPr>
                      <w:sz w:val="21"/>
                      <w:szCs w:val="21"/>
                    </w:rPr>
                  </w:pPr>
                  <w:r>
                    <w:rPr>
                      <w:sz w:val="21"/>
                      <w:szCs w:val="21"/>
                    </w:rPr>
                    <w:t>202</w:t>
                  </w:r>
                  <w:r>
                    <w:rPr>
                      <w:rFonts w:hint="eastAsia"/>
                      <w:sz w:val="21"/>
                      <w:szCs w:val="21"/>
                    </w:rPr>
                    <w:t>5</w:t>
                  </w:r>
                  <w:r>
                    <w:rPr>
                      <w:sz w:val="21"/>
                      <w:szCs w:val="21"/>
                    </w:rPr>
                    <w:t>年</w:t>
                  </w:r>
                  <w:r>
                    <w:rPr>
                      <w:rFonts w:hint="eastAsia"/>
                      <w:sz w:val="21"/>
                      <w:szCs w:val="21"/>
                    </w:rPr>
                    <w:t>9</w:t>
                  </w:r>
                  <w:r>
                    <w:rPr>
                      <w:sz w:val="21"/>
                      <w:szCs w:val="21"/>
                    </w:rPr>
                    <w:t>月</w:t>
                  </w:r>
                  <w:r>
                    <w:rPr>
                      <w:rFonts w:hint="eastAsia"/>
                      <w:sz w:val="21"/>
                      <w:szCs w:val="21"/>
                    </w:rPr>
                    <w:t>5</w:t>
                  </w:r>
                  <w:r>
                    <w:rPr>
                      <w:sz w:val="21"/>
                      <w:szCs w:val="21"/>
                    </w:rPr>
                    <w:t>日</w:t>
                  </w:r>
                </w:p>
              </w:tc>
              <w:tc>
                <w:tcPr>
                  <w:tcW w:w="738" w:type="pct"/>
                  <w:vAlign w:val="center"/>
                </w:tcPr>
                <w:p w14:paraId="46A0724A">
                  <w:pPr>
                    <w:widowControl/>
                    <w:jc w:val="center"/>
                    <w:textAlignment w:val="center"/>
                    <w:rPr>
                      <w:sz w:val="21"/>
                      <w:szCs w:val="21"/>
                    </w:rPr>
                  </w:pPr>
                  <w:r>
                    <w:rPr>
                      <w:sz w:val="21"/>
                      <w:szCs w:val="21"/>
                    </w:rPr>
                    <w:t>TSP</w:t>
                  </w:r>
                </w:p>
              </w:tc>
              <w:tc>
                <w:tcPr>
                  <w:tcW w:w="771" w:type="pct"/>
                  <w:vAlign w:val="center"/>
                </w:tcPr>
                <w:p w14:paraId="144D5AF3">
                  <w:pPr>
                    <w:widowControl/>
                    <w:jc w:val="center"/>
                    <w:textAlignment w:val="center"/>
                    <w:rPr>
                      <w:sz w:val="21"/>
                      <w:szCs w:val="21"/>
                      <w:lang w:bidi="ar"/>
                    </w:rPr>
                  </w:pPr>
                  <w:r>
                    <w:rPr>
                      <w:rFonts w:hint="eastAsia"/>
                      <w:sz w:val="21"/>
                      <w:szCs w:val="21"/>
                      <w:lang w:bidi="ar"/>
                    </w:rPr>
                    <w:t>106</w:t>
                  </w:r>
                </w:p>
              </w:tc>
              <w:tc>
                <w:tcPr>
                  <w:tcW w:w="872" w:type="pct"/>
                  <w:vAlign w:val="center"/>
                </w:tcPr>
                <w:p w14:paraId="76A6DC7D">
                  <w:pPr>
                    <w:widowControl/>
                    <w:jc w:val="center"/>
                    <w:textAlignment w:val="center"/>
                    <w:rPr>
                      <w:sz w:val="21"/>
                      <w:szCs w:val="21"/>
                      <w:lang w:bidi="ar"/>
                    </w:rPr>
                  </w:pPr>
                  <w:r>
                    <w:rPr>
                      <w:sz w:val="21"/>
                      <w:szCs w:val="21"/>
                    </w:rPr>
                    <w:t>μg/m³</w:t>
                  </w:r>
                </w:p>
              </w:tc>
            </w:tr>
            <w:tr w14:paraId="14D52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419" w:type="pct"/>
                  <w:vMerge w:val="continue"/>
                  <w:vAlign w:val="center"/>
                </w:tcPr>
                <w:p w14:paraId="26F079D3">
                  <w:pPr>
                    <w:snapToGrid w:val="0"/>
                    <w:jc w:val="center"/>
                    <w:rPr>
                      <w:sz w:val="21"/>
                      <w:szCs w:val="21"/>
                    </w:rPr>
                  </w:pPr>
                </w:p>
              </w:tc>
              <w:tc>
                <w:tcPr>
                  <w:tcW w:w="1200" w:type="pct"/>
                  <w:vAlign w:val="center"/>
                </w:tcPr>
                <w:p w14:paraId="727E54EA">
                  <w:pPr>
                    <w:autoSpaceDE w:val="0"/>
                    <w:autoSpaceDN w:val="0"/>
                    <w:jc w:val="center"/>
                    <w:rPr>
                      <w:sz w:val="21"/>
                      <w:szCs w:val="21"/>
                    </w:rPr>
                  </w:pPr>
                  <w:r>
                    <w:rPr>
                      <w:sz w:val="21"/>
                      <w:szCs w:val="21"/>
                    </w:rPr>
                    <w:t>202</w:t>
                  </w:r>
                  <w:r>
                    <w:rPr>
                      <w:rFonts w:hint="eastAsia"/>
                      <w:sz w:val="21"/>
                      <w:szCs w:val="21"/>
                    </w:rPr>
                    <w:t>5</w:t>
                  </w:r>
                  <w:r>
                    <w:rPr>
                      <w:sz w:val="21"/>
                      <w:szCs w:val="21"/>
                    </w:rPr>
                    <w:t>年</w:t>
                  </w:r>
                  <w:r>
                    <w:rPr>
                      <w:rFonts w:hint="eastAsia"/>
                      <w:sz w:val="21"/>
                      <w:szCs w:val="21"/>
                    </w:rPr>
                    <w:t>9</w:t>
                  </w:r>
                  <w:r>
                    <w:rPr>
                      <w:sz w:val="21"/>
                      <w:szCs w:val="21"/>
                    </w:rPr>
                    <w:t>月</w:t>
                  </w:r>
                  <w:r>
                    <w:rPr>
                      <w:rFonts w:hint="eastAsia"/>
                      <w:sz w:val="21"/>
                      <w:szCs w:val="21"/>
                    </w:rPr>
                    <w:t>6</w:t>
                  </w:r>
                  <w:r>
                    <w:rPr>
                      <w:sz w:val="21"/>
                      <w:szCs w:val="21"/>
                    </w:rPr>
                    <w:t>日</w:t>
                  </w:r>
                </w:p>
              </w:tc>
              <w:tc>
                <w:tcPr>
                  <w:tcW w:w="738" w:type="pct"/>
                  <w:vAlign w:val="center"/>
                </w:tcPr>
                <w:p w14:paraId="738C76DD">
                  <w:pPr>
                    <w:widowControl/>
                    <w:jc w:val="center"/>
                    <w:textAlignment w:val="center"/>
                    <w:rPr>
                      <w:sz w:val="21"/>
                      <w:szCs w:val="21"/>
                      <w:lang w:bidi="ar"/>
                    </w:rPr>
                  </w:pPr>
                  <w:r>
                    <w:rPr>
                      <w:sz w:val="21"/>
                      <w:szCs w:val="21"/>
                    </w:rPr>
                    <w:t>TSP</w:t>
                  </w:r>
                </w:p>
              </w:tc>
              <w:tc>
                <w:tcPr>
                  <w:tcW w:w="771" w:type="pct"/>
                  <w:vAlign w:val="center"/>
                </w:tcPr>
                <w:p w14:paraId="6EB8DED0">
                  <w:pPr>
                    <w:widowControl/>
                    <w:jc w:val="center"/>
                    <w:textAlignment w:val="center"/>
                    <w:rPr>
                      <w:sz w:val="21"/>
                      <w:szCs w:val="21"/>
                      <w:lang w:bidi="ar"/>
                    </w:rPr>
                  </w:pPr>
                  <w:r>
                    <w:rPr>
                      <w:rFonts w:hint="eastAsia"/>
                      <w:sz w:val="21"/>
                      <w:szCs w:val="21"/>
                    </w:rPr>
                    <w:t>107</w:t>
                  </w:r>
                </w:p>
              </w:tc>
              <w:tc>
                <w:tcPr>
                  <w:tcW w:w="872" w:type="pct"/>
                  <w:vAlign w:val="center"/>
                </w:tcPr>
                <w:p w14:paraId="4548CC5F">
                  <w:pPr>
                    <w:widowControl/>
                    <w:jc w:val="center"/>
                    <w:textAlignment w:val="center"/>
                    <w:rPr>
                      <w:sz w:val="21"/>
                      <w:szCs w:val="21"/>
                      <w:lang w:bidi="ar"/>
                    </w:rPr>
                  </w:pPr>
                  <w:r>
                    <w:rPr>
                      <w:sz w:val="21"/>
                      <w:szCs w:val="21"/>
                    </w:rPr>
                    <w:t>μg/m³</w:t>
                  </w:r>
                </w:p>
              </w:tc>
            </w:tr>
          </w:tbl>
          <w:p w14:paraId="43AFED60">
            <w:pPr>
              <w:spacing w:line="360" w:lineRule="auto"/>
              <w:ind w:firstLine="480" w:firstLineChars="200"/>
            </w:pPr>
          </w:p>
          <w:p w14:paraId="4F324C0D">
            <w:pPr>
              <w:spacing w:line="360" w:lineRule="auto"/>
              <w:ind w:firstLine="480" w:firstLineChars="200"/>
            </w:pPr>
            <w:r>
              <w:t>（6）评价方法</w:t>
            </w:r>
          </w:p>
          <w:p w14:paraId="579C66D6">
            <w:pPr>
              <w:spacing w:line="360" w:lineRule="auto"/>
              <w:ind w:firstLine="480" w:firstLineChars="200"/>
            </w:pPr>
            <w:r>
              <w:t>采用占标率法，以列表的方式给出各监测点大气污染物的不同取位时间的质量浓度变化范围，计算并列表给出各取值时间最大质量浓度值占相应标准质量浓度限值的百分比和超标率，并评价达标情况。其数学表达式如下：</w:t>
            </w:r>
          </w:p>
          <w:p w14:paraId="262210F6">
            <w:pPr>
              <w:spacing w:line="360" w:lineRule="auto"/>
              <w:ind w:firstLine="480" w:firstLineChars="200"/>
              <w:jc w:val="center"/>
            </w:pPr>
            <w:r>
              <w:t>Imax=Cmax/ Ci</w:t>
            </w:r>
            <w:r>
              <w:rPr>
                <w:vertAlign w:val="subscript"/>
              </w:rPr>
              <w:t>0</w:t>
            </w:r>
          </w:p>
          <w:p w14:paraId="03F17274">
            <w:pPr>
              <w:spacing w:line="360" w:lineRule="auto"/>
              <w:ind w:firstLine="480" w:firstLineChars="200"/>
            </w:pPr>
            <w:r>
              <w:t>Imax—第i种污染物的最大浓度占标率；</w:t>
            </w:r>
          </w:p>
          <w:p w14:paraId="60C091BF">
            <w:pPr>
              <w:spacing w:line="360" w:lineRule="auto"/>
              <w:ind w:firstLine="480" w:firstLineChars="200"/>
            </w:pPr>
            <w:r>
              <w:t>Cmax—第i种污染物各取值时间最大质量浓度值，mg/Nm</w:t>
            </w:r>
            <w:r>
              <w:rPr>
                <w:vertAlign w:val="superscript"/>
              </w:rPr>
              <w:t>3</w:t>
            </w:r>
            <w:r>
              <w:t>；</w:t>
            </w:r>
          </w:p>
          <w:p w14:paraId="56A442C6">
            <w:pPr>
              <w:spacing w:line="360" w:lineRule="auto"/>
              <w:ind w:firstLine="480" w:firstLineChars="200"/>
            </w:pPr>
            <w:r>
              <w:t>Ci</w:t>
            </w:r>
            <w:r>
              <w:rPr>
                <w:vertAlign w:val="subscript"/>
              </w:rPr>
              <w:t>0</w:t>
            </w:r>
            <w:r>
              <w:t>—第i种污染物环境质量标准，mg/Nm</w:t>
            </w:r>
            <w:r>
              <w:rPr>
                <w:vertAlign w:val="superscript"/>
              </w:rPr>
              <w:t>3</w:t>
            </w:r>
            <w:r>
              <w:t>。</w:t>
            </w:r>
          </w:p>
          <w:p w14:paraId="76A27F77">
            <w:pPr>
              <w:spacing w:line="360" w:lineRule="auto"/>
              <w:ind w:firstLine="480" w:firstLineChars="200"/>
            </w:pPr>
            <w:r>
              <w:rPr>
                <w:rFonts w:hint="eastAsia"/>
              </w:rPr>
              <w:t>（7）评价结果</w:t>
            </w:r>
          </w:p>
          <w:p w14:paraId="5300FAC1">
            <w:pPr>
              <w:spacing w:line="360" w:lineRule="auto"/>
              <w:ind w:firstLine="480" w:firstLineChars="200"/>
            </w:pPr>
            <w:r>
              <w:rPr>
                <w:rFonts w:hint="eastAsia"/>
              </w:rPr>
              <w:t>本次环境空气质量现状评价结果详见下表：</w:t>
            </w:r>
          </w:p>
          <w:p w14:paraId="67A0A822">
            <w:pPr>
              <w:spacing w:line="360" w:lineRule="auto"/>
              <w:ind w:firstLine="480" w:firstLineChars="200"/>
            </w:pPr>
          </w:p>
          <w:p w14:paraId="195F2161">
            <w:pPr>
              <w:spacing w:line="360" w:lineRule="auto"/>
              <w:jc w:val="center"/>
              <w:rPr>
                <w:b/>
              </w:rPr>
            </w:pPr>
            <w:r>
              <w:rPr>
                <w:b/>
              </w:rPr>
              <w:t>表</w:t>
            </w:r>
            <w:r>
              <w:rPr>
                <w:rFonts w:hint="eastAsia"/>
                <w:b/>
              </w:rPr>
              <w:t>37</w:t>
            </w:r>
            <w:r>
              <w:rPr>
                <w:b/>
              </w:rPr>
              <w:t xml:space="preserve">     评价区环境空气质量日均值现状评价结果</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858"/>
              <w:gridCol w:w="1189"/>
              <w:gridCol w:w="1539"/>
              <w:gridCol w:w="1432"/>
              <w:gridCol w:w="1164"/>
            </w:tblGrid>
            <w:tr w14:paraId="35B1F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719057D5">
                  <w:pPr>
                    <w:snapToGrid w:val="0"/>
                    <w:jc w:val="center"/>
                    <w:rPr>
                      <w:b/>
                      <w:sz w:val="21"/>
                      <w:szCs w:val="21"/>
                    </w:rPr>
                  </w:pPr>
                  <w:r>
                    <w:rPr>
                      <w:b/>
                      <w:sz w:val="21"/>
                      <w:szCs w:val="21"/>
                    </w:rPr>
                    <w:t>序号</w:t>
                  </w:r>
                </w:p>
              </w:tc>
              <w:tc>
                <w:tcPr>
                  <w:tcW w:w="1178" w:type="pct"/>
                  <w:vAlign w:val="center"/>
                </w:tcPr>
                <w:p w14:paraId="49867F2A">
                  <w:pPr>
                    <w:snapToGrid w:val="0"/>
                    <w:jc w:val="center"/>
                    <w:rPr>
                      <w:b/>
                      <w:sz w:val="21"/>
                      <w:szCs w:val="21"/>
                    </w:rPr>
                  </w:pPr>
                  <w:r>
                    <w:rPr>
                      <w:b/>
                      <w:sz w:val="21"/>
                      <w:szCs w:val="21"/>
                    </w:rPr>
                    <w:t>监测点位</w:t>
                  </w:r>
                </w:p>
              </w:tc>
              <w:tc>
                <w:tcPr>
                  <w:tcW w:w="754" w:type="pct"/>
                  <w:vAlign w:val="center"/>
                </w:tcPr>
                <w:p w14:paraId="47C9409B">
                  <w:pPr>
                    <w:snapToGrid w:val="0"/>
                    <w:jc w:val="center"/>
                    <w:rPr>
                      <w:b/>
                      <w:sz w:val="21"/>
                      <w:szCs w:val="21"/>
                    </w:rPr>
                  </w:pPr>
                  <w:r>
                    <w:rPr>
                      <w:b/>
                      <w:sz w:val="21"/>
                      <w:szCs w:val="21"/>
                    </w:rPr>
                    <w:t>监测项目</w:t>
                  </w:r>
                </w:p>
              </w:tc>
              <w:tc>
                <w:tcPr>
                  <w:tcW w:w="976" w:type="pct"/>
                  <w:vAlign w:val="center"/>
                </w:tcPr>
                <w:p w14:paraId="0EC045B1">
                  <w:pPr>
                    <w:snapToGrid w:val="0"/>
                    <w:jc w:val="center"/>
                    <w:rPr>
                      <w:b/>
                      <w:sz w:val="21"/>
                      <w:szCs w:val="21"/>
                    </w:rPr>
                  </w:pPr>
                  <w:r>
                    <w:rPr>
                      <w:b/>
                      <w:sz w:val="21"/>
                      <w:szCs w:val="21"/>
                    </w:rPr>
                    <w:t>浓度范围</w:t>
                  </w:r>
                </w:p>
                <w:p w14:paraId="013E4071">
                  <w:pPr>
                    <w:snapToGrid w:val="0"/>
                    <w:jc w:val="center"/>
                    <w:rPr>
                      <w:b/>
                      <w:sz w:val="21"/>
                      <w:szCs w:val="21"/>
                    </w:rPr>
                  </w:pPr>
                  <w:r>
                    <w:rPr>
                      <w:b/>
                      <w:sz w:val="21"/>
                      <w:szCs w:val="21"/>
                    </w:rPr>
                    <w:t>（</w:t>
                  </w:r>
                  <w:r>
                    <w:rPr>
                      <w:rFonts w:hint="eastAsia"/>
                      <w:b/>
                      <w:sz w:val="21"/>
                      <w:szCs w:val="21"/>
                    </w:rPr>
                    <w:t>μ</w:t>
                  </w:r>
                  <w:r>
                    <w:rPr>
                      <w:b/>
                      <w:sz w:val="21"/>
                      <w:szCs w:val="21"/>
                    </w:rPr>
                    <w:t>g/m</w:t>
                  </w:r>
                  <w:r>
                    <w:rPr>
                      <w:b/>
                      <w:sz w:val="21"/>
                      <w:szCs w:val="21"/>
                      <w:vertAlign w:val="superscript"/>
                    </w:rPr>
                    <w:t>3</w:t>
                  </w:r>
                  <w:r>
                    <w:rPr>
                      <w:b/>
                      <w:sz w:val="21"/>
                      <w:szCs w:val="21"/>
                    </w:rPr>
                    <w:t>）</w:t>
                  </w:r>
                </w:p>
              </w:tc>
              <w:tc>
                <w:tcPr>
                  <w:tcW w:w="908" w:type="pct"/>
                  <w:vAlign w:val="center"/>
                </w:tcPr>
                <w:p w14:paraId="4C3AD7D0">
                  <w:pPr>
                    <w:snapToGrid w:val="0"/>
                    <w:jc w:val="center"/>
                    <w:rPr>
                      <w:b/>
                      <w:sz w:val="21"/>
                      <w:szCs w:val="21"/>
                    </w:rPr>
                  </w:pPr>
                  <w:r>
                    <w:rPr>
                      <w:b/>
                      <w:sz w:val="21"/>
                      <w:szCs w:val="21"/>
                    </w:rPr>
                    <w:t>最大浓度占标率（%）</w:t>
                  </w:r>
                </w:p>
              </w:tc>
              <w:tc>
                <w:tcPr>
                  <w:tcW w:w="738" w:type="pct"/>
                  <w:vAlign w:val="center"/>
                </w:tcPr>
                <w:p w14:paraId="08761937">
                  <w:pPr>
                    <w:snapToGrid w:val="0"/>
                    <w:jc w:val="center"/>
                    <w:rPr>
                      <w:b/>
                      <w:sz w:val="21"/>
                      <w:szCs w:val="21"/>
                    </w:rPr>
                  </w:pPr>
                  <w:r>
                    <w:rPr>
                      <w:b/>
                      <w:sz w:val="21"/>
                      <w:szCs w:val="21"/>
                    </w:rPr>
                    <w:t>达标情况</w:t>
                  </w:r>
                </w:p>
              </w:tc>
            </w:tr>
            <w:tr w14:paraId="504C8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07A91F75">
                  <w:pPr>
                    <w:snapToGrid w:val="0"/>
                    <w:jc w:val="center"/>
                    <w:rPr>
                      <w:sz w:val="21"/>
                      <w:szCs w:val="21"/>
                      <w:vertAlign w:val="superscript"/>
                    </w:rPr>
                  </w:pPr>
                  <w:r>
                    <w:rPr>
                      <w:sz w:val="21"/>
                      <w:szCs w:val="21"/>
                    </w:rPr>
                    <w:t>1</w:t>
                  </w:r>
                  <w:r>
                    <w:rPr>
                      <w:sz w:val="21"/>
                      <w:szCs w:val="21"/>
                      <w:vertAlign w:val="superscript"/>
                    </w:rPr>
                    <w:t>#</w:t>
                  </w:r>
                </w:p>
              </w:tc>
              <w:tc>
                <w:tcPr>
                  <w:tcW w:w="1178" w:type="pct"/>
                  <w:vAlign w:val="center"/>
                </w:tcPr>
                <w:p w14:paraId="7E288B6A">
                  <w:pPr>
                    <w:autoSpaceDE w:val="0"/>
                    <w:autoSpaceDN w:val="0"/>
                    <w:jc w:val="center"/>
                    <w:rPr>
                      <w:sz w:val="21"/>
                      <w:szCs w:val="21"/>
                    </w:rPr>
                  </w:pPr>
                  <w:r>
                    <w:rPr>
                      <w:rFonts w:hint="eastAsia"/>
                      <w:sz w:val="21"/>
                      <w:szCs w:val="18"/>
                    </w:rPr>
                    <w:t>吉林省健维天然生物科技有限公司年产48吨二氢槲皮素项目下风向20m处</w:t>
                  </w:r>
                </w:p>
              </w:tc>
              <w:tc>
                <w:tcPr>
                  <w:tcW w:w="754" w:type="pct"/>
                  <w:vAlign w:val="center"/>
                </w:tcPr>
                <w:p w14:paraId="74795F62">
                  <w:pPr>
                    <w:snapToGrid w:val="0"/>
                    <w:jc w:val="center"/>
                    <w:rPr>
                      <w:sz w:val="21"/>
                      <w:szCs w:val="21"/>
                    </w:rPr>
                  </w:pPr>
                  <w:r>
                    <w:rPr>
                      <w:sz w:val="21"/>
                      <w:szCs w:val="21"/>
                    </w:rPr>
                    <w:t>TSP</w:t>
                  </w:r>
                </w:p>
              </w:tc>
              <w:tc>
                <w:tcPr>
                  <w:tcW w:w="976" w:type="pct"/>
                  <w:vAlign w:val="center"/>
                </w:tcPr>
                <w:p w14:paraId="6F4D38CC">
                  <w:pPr>
                    <w:snapToGrid w:val="0"/>
                    <w:jc w:val="center"/>
                    <w:rPr>
                      <w:sz w:val="21"/>
                      <w:szCs w:val="21"/>
                    </w:rPr>
                  </w:pPr>
                  <w:r>
                    <w:rPr>
                      <w:rFonts w:hint="eastAsia"/>
                      <w:sz w:val="21"/>
                      <w:szCs w:val="21"/>
                    </w:rPr>
                    <w:t>104-107</w:t>
                  </w:r>
                </w:p>
              </w:tc>
              <w:tc>
                <w:tcPr>
                  <w:tcW w:w="908" w:type="pct"/>
                  <w:vAlign w:val="center"/>
                </w:tcPr>
                <w:p w14:paraId="0088D03E">
                  <w:pPr>
                    <w:snapToGrid w:val="0"/>
                    <w:jc w:val="center"/>
                    <w:rPr>
                      <w:sz w:val="21"/>
                      <w:szCs w:val="21"/>
                    </w:rPr>
                  </w:pPr>
                  <w:r>
                    <w:rPr>
                      <w:rFonts w:hint="eastAsia"/>
                      <w:sz w:val="21"/>
                      <w:szCs w:val="21"/>
                    </w:rPr>
                    <w:t>35.7</w:t>
                  </w:r>
                </w:p>
              </w:tc>
              <w:tc>
                <w:tcPr>
                  <w:tcW w:w="738" w:type="pct"/>
                  <w:vAlign w:val="center"/>
                </w:tcPr>
                <w:p w14:paraId="1BA97DD1">
                  <w:pPr>
                    <w:snapToGrid w:val="0"/>
                    <w:jc w:val="center"/>
                    <w:rPr>
                      <w:sz w:val="21"/>
                      <w:szCs w:val="21"/>
                    </w:rPr>
                  </w:pPr>
                  <w:r>
                    <w:rPr>
                      <w:sz w:val="21"/>
                      <w:szCs w:val="21"/>
                    </w:rPr>
                    <w:t>达标</w:t>
                  </w:r>
                </w:p>
              </w:tc>
            </w:tr>
          </w:tbl>
          <w:p w14:paraId="719E58B0">
            <w:pPr>
              <w:spacing w:line="360" w:lineRule="auto"/>
              <w:ind w:firstLine="480" w:firstLineChars="200"/>
            </w:pPr>
          </w:p>
          <w:p w14:paraId="3434B3C3">
            <w:pPr>
              <w:spacing w:line="360" w:lineRule="auto"/>
              <w:ind w:firstLine="480" w:firstLineChars="200"/>
            </w:pPr>
            <w:r>
              <w:rPr>
                <w:rFonts w:hint="eastAsia"/>
              </w:rPr>
              <w:t>由环境空气质量现状评价可知，本项目环境空气现状监测点的TSP的24小时平均值均可以满足《环境空气质量标准》（GB 3095-2012）二级标准要求，区域空气质量较好。</w:t>
            </w:r>
          </w:p>
          <w:p w14:paraId="64E10FF0">
            <w:pPr>
              <w:spacing w:line="360" w:lineRule="auto"/>
              <w:ind w:firstLine="480" w:firstLineChars="200"/>
            </w:pPr>
            <w:r>
              <w:rPr>
                <w:rFonts w:hint="eastAsia"/>
              </w:rPr>
              <w:t>四、地表水环境质量现状</w:t>
            </w:r>
          </w:p>
          <w:p w14:paraId="199F0AF0">
            <w:pPr>
              <w:spacing w:line="360" w:lineRule="auto"/>
              <w:ind w:firstLine="480" w:firstLineChars="200"/>
            </w:pPr>
            <w:r>
              <w:rPr>
                <w:rFonts w:hint="eastAsia"/>
              </w:rPr>
              <w:t>1、官方发布的区域地表水环境质量现状</w:t>
            </w:r>
          </w:p>
          <w:p w14:paraId="47B45521">
            <w:pPr>
              <w:spacing w:line="360" w:lineRule="auto"/>
              <w:ind w:firstLine="480" w:firstLineChars="200"/>
            </w:pPr>
            <w:r>
              <w:rPr>
                <w:rFonts w:hint="eastAsia"/>
              </w:rPr>
              <w:t>本项目位于临江市，区域地表水体为鸭绿江，</w:t>
            </w:r>
            <w:r>
              <w:rPr>
                <w:rFonts w:hint="eastAsia"/>
                <w:b/>
                <w:bCs/>
                <w:u w:val="single"/>
              </w:rPr>
              <w:t>根据《吉林省地表水国控断面水质月报》（2024.6~2025.6）中鸭绿江国控断面（葫芦套断面、云峰断面）的数据，鸭绿江水质现状情况如下表所示：</w:t>
            </w:r>
          </w:p>
          <w:p w14:paraId="063C84D1">
            <w:pPr>
              <w:spacing w:line="360" w:lineRule="auto"/>
              <w:ind w:firstLine="480" w:firstLineChars="200"/>
            </w:pPr>
          </w:p>
          <w:p w14:paraId="27F24327">
            <w:pPr>
              <w:spacing w:line="360" w:lineRule="auto"/>
              <w:jc w:val="center"/>
              <w:rPr>
                <w:b/>
                <w:bCs/>
                <w:u w:val="single"/>
              </w:rPr>
            </w:pPr>
            <w:r>
              <w:rPr>
                <w:rFonts w:hint="eastAsia"/>
                <w:b/>
                <w:bCs/>
                <w:u w:val="single"/>
              </w:rPr>
              <w:t>表38      鸭绿江水质现状情况一览表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927"/>
              <w:gridCol w:w="762"/>
              <w:gridCol w:w="1022"/>
              <w:gridCol w:w="852"/>
              <w:gridCol w:w="937"/>
              <w:gridCol w:w="1028"/>
              <w:gridCol w:w="721"/>
              <w:gridCol w:w="713"/>
            </w:tblGrid>
            <w:tr w14:paraId="775CA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86" w:type="pct"/>
                  <w:vMerge w:val="restart"/>
                  <w:vAlign w:val="center"/>
                </w:tcPr>
                <w:p w14:paraId="1406FE85">
                  <w:pPr>
                    <w:jc w:val="center"/>
                    <w:rPr>
                      <w:rFonts w:cs="Times New Roman"/>
                      <w:b/>
                      <w:bCs/>
                      <w:i/>
                      <w:iCs/>
                      <w:kern w:val="0"/>
                      <w:sz w:val="21"/>
                      <w:szCs w:val="21"/>
                      <w:u w:val="single"/>
                    </w:rPr>
                  </w:pPr>
                  <w:r>
                    <w:rPr>
                      <w:rFonts w:cs="Times New Roman"/>
                      <w:b/>
                      <w:bCs/>
                      <w:i/>
                      <w:iCs/>
                      <w:kern w:val="0"/>
                      <w:sz w:val="21"/>
                      <w:szCs w:val="21"/>
                      <w:u w:val="single"/>
                    </w:rPr>
                    <w:t>日期</w:t>
                  </w:r>
                </w:p>
              </w:tc>
              <w:tc>
                <w:tcPr>
                  <w:tcW w:w="588" w:type="pct"/>
                  <w:vMerge w:val="restart"/>
                  <w:vAlign w:val="center"/>
                </w:tcPr>
                <w:p w14:paraId="6B5EF580">
                  <w:pPr>
                    <w:jc w:val="center"/>
                    <w:rPr>
                      <w:rFonts w:cs="Times New Roman"/>
                      <w:b/>
                      <w:bCs/>
                      <w:i/>
                      <w:iCs/>
                      <w:kern w:val="0"/>
                      <w:sz w:val="21"/>
                      <w:szCs w:val="21"/>
                      <w:u w:val="single"/>
                    </w:rPr>
                  </w:pPr>
                  <w:r>
                    <w:rPr>
                      <w:rFonts w:cs="Times New Roman"/>
                      <w:b/>
                      <w:bCs/>
                      <w:i/>
                      <w:iCs/>
                      <w:kern w:val="0"/>
                      <w:sz w:val="21"/>
                      <w:szCs w:val="21"/>
                      <w:u w:val="single"/>
                    </w:rPr>
                    <w:t>所属城市</w:t>
                  </w:r>
                </w:p>
              </w:tc>
              <w:tc>
                <w:tcPr>
                  <w:tcW w:w="483" w:type="pct"/>
                  <w:vMerge w:val="restart"/>
                  <w:vAlign w:val="center"/>
                </w:tcPr>
                <w:p w14:paraId="34FD30C1">
                  <w:pPr>
                    <w:jc w:val="center"/>
                    <w:rPr>
                      <w:rFonts w:cs="Times New Roman"/>
                      <w:b/>
                      <w:bCs/>
                      <w:i/>
                      <w:iCs/>
                      <w:kern w:val="0"/>
                      <w:sz w:val="21"/>
                      <w:szCs w:val="21"/>
                      <w:u w:val="single"/>
                    </w:rPr>
                  </w:pPr>
                  <w:r>
                    <w:rPr>
                      <w:rFonts w:cs="Times New Roman"/>
                      <w:b/>
                      <w:bCs/>
                      <w:i/>
                      <w:iCs/>
                      <w:kern w:val="0"/>
                      <w:sz w:val="21"/>
                      <w:szCs w:val="21"/>
                      <w:u w:val="single"/>
                    </w:rPr>
                    <w:t>河流名称</w:t>
                  </w:r>
                </w:p>
              </w:tc>
              <w:tc>
                <w:tcPr>
                  <w:tcW w:w="648" w:type="pct"/>
                  <w:vMerge w:val="restart"/>
                  <w:vAlign w:val="center"/>
                </w:tcPr>
                <w:p w14:paraId="70441C53">
                  <w:pPr>
                    <w:jc w:val="center"/>
                    <w:rPr>
                      <w:rFonts w:cs="Times New Roman"/>
                      <w:b/>
                      <w:bCs/>
                      <w:i/>
                      <w:iCs/>
                      <w:kern w:val="0"/>
                      <w:sz w:val="21"/>
                      <w:szCs w:val="21"/>
                      <w:u w:val="single"/>
                    </w:rPr>
                  </w:pPr>
                  <w:r>
                    <w:rPr>
                      <w:rFonts w:cs="Times New Roman"/>
                      <w:b/>
                      <w:bCs/>
                      <w:i/>
                      <w:iCs/>
                      <w:kern w:val="0"/>
                      <w:sz w:val="21"/>
                      <w:szCs w:val="21"/>
                      <w:u w:val="single"/>
                    </w:rPr>
                    <w:t>断面名称</w:t>
                  </w:r>
                </w:p>
              </w:tc>
              <w:tc>
                <w:tcPr>
                  <w:tcW w:w="1786" w:type="pct"/>
                  <w:gridSpan w:val="3"/>
                  <w:vAlign w:val="center"/>
                </w:tcPr>
                <w:p w14:paraId="7FFF8F8A">
                  <w:pPr>
                    <w:jc w:val="center"/>
                    <w:rPr>
                      <w:rFonts w:cs="Times New Roman"/>
                      <w:b/>
                      <w:bCs/>
                      <w:i/>
                      <w:iCs/>
                      <w:kern w:val="0"/>
                      <w:sz w:val="21"/>
                      <w:szCs w:val="21"/>
                      <w:u w:val="single"/>
                    </w:rPr>
                  </w:pPr>
                  <w:r>
                    <w:rPr>
                      <w:rFonts w:cs="Times New Roman"/>
                      <w:b/>
                      <w:bCs/>
                      <w:i/>
                      <w:iCs/>
                      <w:kern w:val="0"/>
                      <w:sz w:val="21"/>
                      <w:szCs w:val="21"/>
                      <w:u w:val="single"/>
                    </w:rPr>
                    <w:t>水质类别</w:t>
                  </w:r>
                </w:p>
              </w:tc>
              <w:tc>
                <w:tcPr>
                  <w:tcW w:w="457" w:type="pct"/>
                  <w:vMerge w:val="restart"/>
                  <w:vAlign w:val="center"/>
                </w:tcPr>
                <w:p w14:paraId="0A3296D9">
                  <w:pPr>
                    <w:jc w:val="center"/>
                    <w:rPr>
                      <w:rFonts w:cs="Times New Roman"/>
                      <w:b/>
                      <w:bCs/>
                      <w:i/>
                      <w:iCs/>
                      <w:kern w:val="0"/>
                      <w:sz w:val="21"/>
                      <w:szCs w:val="21"/>
                      <w:u w:val="single"/>
                    </w:rPr>
                  </w:pPr>
                  <w:r>
                    <w:rPr>
                      <w:rFonts w:cs="Times New Roman"/>
                      <w:b/>
                      <w:bCs/>
                      <w:i/>
                      <w:iCs/>
                      <w:kern w:val="0"/>
                      <w:sz w:val="21"/>
                      <w:szCs w:val="21"/>
                      <w:u w:val="single"/>
                    </w:rPr>
                    <w:t>环比</w:t>
                  </w:r>
                </w:p>
              </w:tc>
              <w:tc>
                <w:tcPr>
                  <w:tcW w:w="452" w:type="pct"/>
                  <w:vMerge w:val="restart"/>
                  <w:vAlign w:val="center"/>
                </w:tcPr>
                <w:p w14:paraId="51D1C418">
                  <w:pPr>
                    <w:jc w:val="center"/>
                    <w:rPr>
                      <w:rFonts w:cs="Times New Roman"/>
                      <w:b/>
                      <w:bCs/>
                      <w:i/>
                      <w:iCs/>
                      <w:kern w:val="0"/>
                      <w:sz w:val="21"/>
                      <w:szCs w:val="21"/>
                      <w:u w:val="single"/>
                    </w:rPr>
                  </w:pPr>
                  <w:r>
                    <w:rPr>
                      <w:rFonts w:cs="Times New Roman"/>
                      <w:b/>
                      <w:bCs/>
                      <w:i/>
                      <w:iCs/>
                      <w:kern w:val="0"/>
                      <w:sz w:val="21"/>
                      <w:szCs w:val="21"/>
                      <w:u w:val="single"/>
                    </w:rPr>
                    <w:t>同比</w:t>
                  </w:r>
                </w:p>
              </w:tc>
            </w:tr>
            <w:tr w14:paraId="5C787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86" w:type="pct"/>
                  <w:vMerge w:val="continue"/>
                  <w:vAlign w:val="center"/>
                </w:tcPr>
                <w:p w14:paraId="39A21FC9">
                  <w:pPr>
                    <w:jc w:val="center"/>
                    <w:rPr>
                      <w:rFonts w:cs="Times New Roman"/>
                      <w:b/>
                      <w:bCs/>
                      <w:i/>
                      <w:iCs/>
                      <w:kern w:val="0"/>
                      <w:sz w:val="21"/>
                      <w:szCs w:val="21"/>
                      <w:u w:val="single"/>
                    </w:rPr>
                  </w:pPr>
                </w:p>
              </w:tc>
              <w:tc>
                <w:tcPr>
                  <w:tcW w:w="588" w:type="pct"/>
                  <w:vMerge w:val="continue"/>
                  <w:vAlign w:val="center"/>
                </w:tcPr>
                <w:p w14:paraId="1BAA2888">
                  <w:pPr>
                    <w:jc w:val="center"/>
                    <w:rPr>
                      <w:rFonts w:cs="Times New Roman"/>
                      <w:b/>
                      <w:bCs/>
                      <w:i/>
                      <w:iCs/>
                      <w:kern w:val="0"/>
                      <w:sz w:val="21"/>
                      <w:szCs w:val="21"/>
                      <w:u w:val="single"/>
                    </w:rPr>
                  </w:pPr>
                </w:p>
              </w:tc>
              <w:tc>
                <w:tcPr>
                  <w:tcW w:w="483" w:type="pct"/>
                  <w:vMerge w:val="continue"/>
                  <w:vAlign w:val="center"/>
                </w:tcPr>
                <w:p w14:paraId="69E199F5">
                  <w:pPr>
                    <w:jc w:val="center"/>
                    <w:rPr>
                      <w:rFonts w:cs="Times New Roman"/>
                      <w:b/>
                      <w:bCs/>
                      <w:i/>
                      <w:iCs/>
                      <w:kern w:val="0"/>
                      <w:sz w:val="21"/>
                      <w:szCs w:val="21"/>
                      <w:u w:val="single"/>
                    </w:rPr>
                  </w:pPr>
                </w:p>
              </w:tc>
              <w:tc>
                <w:tcPr>
                  <w:tcW w:w="648" w:type="pct"/>
                  <w:vMerge w:val="continue"/>
                  <w:vAlign w:val="center"/>
                </w:tcPr>
                <w:p w14:paraId="0EDC40D2">
                  <w:pPr>
                    <w:jc w:val="center"/>
                    <w:rPr>
                      <w:rFonts w:cs="Times New Roman"/>
                      <w:b/>
                      <w:bCs/>
                      <w:i/>
                      <w:iCs/>
                      <w:kern w:val="0"/>
                      <w:sz w:val="21"/>
                      <w:szCs w:val="21"/>
                      <w:u w:val="single"/>
                    </w:rPr>
                  </w:pPr>
                </w:p>
              </w:tc>
              <w:tc>
                <w:tcPr>
                  <w:tcW w:w="540" w:type="pct"/>
                  <w:vAlign w:val="center"/>
                </w:tcPr>
                <w:p w14:paraId="32AF7296">
                  <w:pPr>
                    <w:jc w:val="center"/>
                    <w:rPr>
                      <w:rFonts w:cs="Times New Roman"/>
                      <w:b/>
                      <w:bCs/>
                      <w:i/>
                      <w:iCs/>
                      <w:kern w:val="0"/>
                      <w:sz w:val="21"/>
                      <w:szCs w:val="21"/>
                      <w:u w:val="single"/>
                    </w:rPr>
                  </w:pPr>
                  <w:r>
                    <w:rPr>
                      <w:rFonts w:cs="Times New Roman"/>
                      <w:b/>
                      <w:bCs/>
                      <w:i/>
                      <w:iCs/>
                      <w:kern w:val="0"/>
                      <w:sz w:val="21"/>
                      <w:szCs w:val="21"/>
                      <w:u w:val="single"/>
                    </w:rPr>
                    <w:t>本月</w:t>
                  </w:r>
                </w:p>
              </w:tc>
              <w:tc>
                <w:tcPr>
                  <w:tcW w:w="594" w:type="pct"/>
                  <w:vAlign w:val="center"/>
                </w:tcPr>
                <w:p w14:paraId="0FCBA41C">
                  <w:pPr>
                    <w:jc w:val="center"/>
                    <w:rPr>
                      <w:rFonts w:cs="Times New Roman"/>
                      <w:b/>
                      <w:bCs/>
                      <w:i/>
                      <w:iCs/>
                      <w:kern w:val="0"/>
                      <w:sz w:val="21"/>
                      <w:szCs w:val="21"/>
                      <w:u w:val="single"/>
                    </w:rPr>
                  </w:pPr>
                  <w:r>
                    <w:rPr>
                      <w:rFonts w:cs="Times New Roman"/>
                      <w:b/>
                      <w:bCs/>
                      <w:i/>
                      <w:iCs/>
                      <w:kern w:val="0"/>
                      <w:sz w:val="21"/>
                      <w:szCs w:val="21"/>
                      <w:u w:val="single"/>
                    </w:rPr>
                    <w:t>上月</w:t>
                  </w:r>
                </w:p>
              </w:tc>
              <w:tc>
                <w:tcPr>
                  <w:tcW w:w="652" w:type="pct"/>
                  <w:vAlign w:val="center"/>
                </w:tcPr>
                <w:p w14:paraId="126381D1">
                  <w:pPr>
                    <w:jc w:val="center"/>
                    <w:rPr>
                      <w:rFonts w:cs="Times New Roman"/>
                      <w:b/>
                      <w:bCs/>
                      <w:i/>
                      <w:iCs/>
                      <w:kern w:val="0"/>
                      <w:sz w:val="21"/>
                      <w:szCs w:val="21"/>
                      <w:u w:val="single"/>
                    </w:rPr>
                  </w:pPr>
                  <w:r>
                    <w:rPr>
                      <w:rFonts w:cs="Times New Roman"/>
                      <w:b/>
                      <w:bCs/>
                      <w:i/>
                      <w:iCs/>
                      <w:kern w:val="0"/>
                      <w:sz w:val="21"/>
                      <w:szCs w:val="21"/>
                      <w:u w:val="single"/>
                    </w:rPr>
                    <w:t>去年同期</w:t>
                  </w:r>
                </w:p>
              </w:tc>
              <w:tc>
                <w:tcPr>
                  <w:tcW w:w="457" w:type="pct"/>
                  <w:vMerge w:val="continue"/>
                  <w:vAlign w:val="center"/>
                </w:tcPr>
                <w:p w14:paraId="0E77F8E2">
                  <w:pPr>
                    <w:jc w:val="center"/>
                    <w:rPr>
                      <w:rFonts w:cs="Times New Roman"/>
                      <w:b/>
                      <w:bCs/>
                      <w:i/>
                      <w:iCs/>
                      <w:kern w:val="0"/>
                      <w:sz w:val="21"/>
                      <w:szCs w:val="21"/>
                      <w:u w:val="single"/>
                    </w:rPr>
                  </w:pPr>
                </w:p>
              </w:tc>
              <w:tc>
                <w:tcPr>
                  <w:tcW w:w="452" w:type="pct"/>
                  <w:vMerge w:val="continue"/>
                  <w:vAlign w:val="center"/>
                </w:tcPr>
                <w:p w14:paraId="2B93B44B">
                  <w:pPr>
                    <w:jc w:val="center"/>
                    <w:rPr>
                      <w:rFonts w:cs="Times New Roman"/>
                      <w:b/>
                      <w:bCs/>
                      <w:i/>
                      <w:iCs/>
                      <w:kern w:val="0"/>
                      <w:sz w:val="21"/>
                      <w:szCs w:val="21"/>
                      <w:u w:val="single"/>
                    </w:rPr>
                  </w:pPr>
                </w:p>
              </w:tc>
            </w:tr>
            <w:tr w14:paraId="477B3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13B81C72">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4.6</w:t>
                  </w:r>
                </w:p>
              </w:tc>
              <w:tc>
                <w:tcPr>
                  <w:tcW w:w="588" w:type="pct"/>
                  <w:vAlign w:val="center"/>
                </w:tcPr>
                <w:p w14:paraId="1927F87D">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2D749A4B">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6D5002A4">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31822DCA">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6A235A8C">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6955A797">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160B39EE">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47BA0C6B">
                  <w:pPr>
                    <w:jc w:val="center"/>
                    <w:rPr>
                      <w:rFonts w:cs="Times New Roman"/>
                      <w:i/>
                      <w:iCs/>
                      <w:kern w:val="0"/>
                      <w:sz w:val="21"/>
                      <w:szCs w:val="21"/>
                      <w:u w:val="single"/>
                    </w:rPr>
                  </w:pPr>
                  <w:r>
                    <w:rPr>
                      <w:rFonts w:cs="Times New Roman"/>
                      <w:i/>
                      <w:iCs/>
                      <w:kern w:val="0"/>
                      <w:sz w:val="21"/>
                      <w:szCs w:val="21"/>
                      <w:u w:val="single"/>
                    </w:rPr>
                    <w:t>→</w:t>
                  </w:r>
                </w:p>
              </w:tc>
            </w:tr>
            <w:tr w14:paraId="6817E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6CA63764">
                  <w:pPr>
                    <w:jc w:val="center"/>
                    <w:rPr>
                      <w:rFonts w:cs="Times New Roman"/>
                      <w:i/>
                      <w:iCs/>
                      <w:kern w:val="0"/>
                      <w:sz w:val="21"/>
                      <w:szCs w:val="21"/>
                      <w:u w:val="single"/>
                    </w:rPr>
                  </w:pPr>
                </w:p>
              </w:tc>
              <w:tc>
                <w:tcPr>
                  <w:tcW w:w="588" w:type="pct"/>
                  <w:vAlign w:val="center"/>
                </w:tcPr>
                <w:p w14:paraId="3FA7E7DF">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27772942">
                  <w:pPr>
                    <w:jc w:val="center"/>
                    <w:rPr>
                      <w:rFonts w:cs="Times New Roman"/>
                      <w:i/>
                      <w:iCs/>
                      <w:kern w:val="0"/>
                      <w:sz w:val="21"/>
                      <w:szCs w:val="21"/>
                      <w:u w:val="single"/>
                    </w:rPr>
                  </w:pPr>
                </w:p>
              </w:tc>
              <w:tc>
                <w:tcPr>
                  <w:tcW w:w="648" w:type="pct"/>
                  <w:vAlign w:val="center"/>
                </w:tcPr>
                <w:p w14:paraId="21769B40">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5E2EAAA8">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594" w:type="pct"/>
                  <w:vAlign w:val="center"/>
                </w:tcPr>
                <w:p w14:paraId="3F55E904">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652" w:type="pct"/>
                  <w:vAlign w:val="center"/>
                </w:tcPr>
                <w:p w14:paraId="5DD90D34">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6ADC5A0E">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2277C6F2">
                  <w:pPr>
                    <w:jc w:val="center"/>
                    <w:rPr>
                      <w:rFonts w:cs="Times New Roman"/>
                      <w:i/>
                      <w:iCs/>
                      <w:kern w:val="0"/>
                      <w:sz w:val="21"/>
                      <w:szCs w:val="21"/>
                      <w:u w:val="single"/>
                    </w:rPr>
                  </w:pPr>
                  <w:r>
                    <w:rPr>
                      <w:rFonts w:cs="Times New Roman"/>
                      <w:i/>
                      <w:iCs/>
                      <w:kern w:val="0"/>
                      <w:sz w:val="21"/>
                      <w:szCs w:val="21"/>
                      <w:u w:val="single"/>
                    </w:rPr>
                    <w:t>→</w:t>
                  </w:r>
                </w:p>
              </w:tc>
            </w:tr>
            <w:tr w14:paraId="1164E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7DAC3ADB">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4.7</w:t>
                  </w:r>
                </w:p>
              </w:tc>
              <w:tc>
                <w:tcPr>
                  <w:tcW w:w="588" w:type="pct"/>
                  <w:vAlign w:val="center"/>
                </w:tcPr>
                <w:p w14:paraId="535ADBD1">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5FAFCF4B">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76B05F70">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674A3ACE">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25BED910">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259A07B1">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2125D2B7">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43117FE9">
                  <w:pPr>
                    <w:jc w:val="center"/>
                    <w:rPr>
                      <w:rFonts w:cs="Times New Roman"/>
                      <w:i/>
                      <w:iCs/>
                      <w:kern w:val="0"/>
                      <w:sz w:val="21"/>
                      <w:szCs w:val="21"/>
                      <w:u w:val="single"/>
                    </w:rPr>
                  </w:pPr>
                  <w:r>
                    <w:rPr>
                      <w:rFonts w:cs="Times New Roman"/>
                      <w:i/>
                      <w:iCs/>
                      <w:kern w:val="0"/>
                      <w:sz w:val="21"/>
                      <w:szCs w:val="21"/>
                      <w:u w:val="single"/>
                    </w:rPr>
                    <w:t>→</w:t>
                  </w:r>
                </w:p>
              </w:tc>
            </w:tr>
            <w:tr w14:paraId="447C4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307DB263">
                  <w:pPr>
                    <w:jc w:val="center"/>
                    <w:rPr>
                      <w:rFonts w:cs="Times New Roman"/>
                      <w:i/>
                      <w:iCs/>
                      <w:kern w:val="0"/>
                      <w:sz w:val="21"/>
                      <w:szCs w:val="21"/>
                      <w:u w:val="single"/>
                    </w:rPr>
                  </w:pPr>
                </w:p>
              </w:tc>
              <w:tc>
                <w:tcPr>
                  <w:tcW w:w="588" w:type="pct"/>
                  <w:vAlign w:val="center"/>
                </w:tcPr>
                <w:p w14:paraId="61315827">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3D0FC85A">
                  <w:pPr>
                    <w:jc w:val="center"/>
                    <w:rPr>
                      <w:rFonts w:cs="Times New Roman"/>
                      <w:i/>
                      <w:iCs/>
                      <w:kern w:val="0"/>
                      <w:sz w:val="21"/>
                      <w:szCs w:val="21"/>
                      <w:u w:val="single"/>
                    </w:rPr>
                  </w:pPr>
                </w:p>
              </w:tc>
              <w:tc>
                <w:tcPr>
                  <w:tcW w:w="648" w:type="pct"/>
                  <w:vAlign w:val="center"/>
                </w:tcPr>
                <w:p w14:paraId="21860C06">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2E88082A">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33ADFFC3">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652" w:type="pct"/>
                  <w:vAlign w:val="center"/>
                </w:tcPr>
                <w:p w14:paraId="3539A0C6">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7ED9A9F6">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7F5A40FE">
                  <w:pPr>
                    <w:jc w:val="center"/>
                    <w:rPr>
                      <w:rFonts w:cs="Times New Roman"/>
                      <w:i/>
                      <w:iCs/>
                      <w:kern w:val="0"/>
                      <w:sz w:val="21"/>
                      <w:szCs w:val="21"/>
                      <w:u w:val="single"/>
                    </w:rPr>
                  </w:pPr>
                  <w:r>
                    <w:rPr>
                      <w:rFonts w:cs="Times New Roman"/>
                      <w:i/>
                      <w:iCs/>
                      <w:kern w:val="0"/>
                      <w:sz w:val="21"/>
                      <w:szCs w:val="21"/>
                      <w:u w:val="single"/>
                    </w:rPr>
                    <w:t>→</w:t>
                  </w:r>
                </w:p>
              </w:tc>
            </w:tr>
            <w:tr w14:paraId="47959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0175018C">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4.8</w:t>
                  </w:r>
                </w:p>
              </w:tc>
              <w:tc>
                <w:tcPr>
                  <w:tcW w:w="588" w:type="pct"/>
                  <w:vAlign w:val="center"/>
                </w:tcPr>
                <w:p w14:paraId="00C8FE27">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39CACAAD">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33CE3024">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0819A5C8">
                  <w:pPr>
                    <w:jc w:val="center"/>
                    <w:rPr>
                      <w:rFonts w:cs="Times New Roman"/>
                      <w:i/>
                      <w:iCs/>
                      <w:kern w:val="0"/>
                      <w:sz w:val="21"/>
                      <w:szCs w:val="21"/>
                      <w:u w:val="single"/>
                    </w:rPr>
                  </w:pPr>
                  <w:r>
                    <w:rPr>
                      <w:rFonts w:hint="eastAsia" w:ascii="宋体" w:hAnsi="宋体" w:cs="宋体"/>
                      <w:i/>
                      <w:iCs/>
                      <w:kern w:val="0"/>
                      <w:sz w:val="21"/>
                      <w:szCs w:val="21"/>
                      <w:u w:val="single"/>
                    </w:rPr>
                    <w:t>Ⅲ</w:t>
                  </w:r>
                </w:p>
              </w:tc>
              <w:tc>
                <w:tcPr>
                  <w:tcW w:w="594" w:type="pct"/>
                  <w:vAlign w:val="center"/>
                </w:tcPr>
                <w:p w14:paraId="5AF98ED2">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32E8EBBA">
                  <w:pPr>
                    <w:jc w:val="center"/>
                    <w:rPr>
                      <w:rFonts w:cs="Times New Roman"/>
                      <w:i/>
                      <w:iCs/>
                      <w:kern w:val="0"/>
                      <w:sz w:val="21"/>
                      <w:szCs w:val="21"/>
                      <w:u w:val="single"/>
                    </w:rPr>
                  </w:pPr>
                  <w:r>
                    <w:rPr>
                      <w:rFonts w:hint="eastAsia" w:ascii="宋体" w:hAnsi="宋体" w:cs="宋体"/>
                      <w:i/>
                      <w:iCs/>
                      <w:kern w:val="0"/>
                      <w:sz w:val="21"/>
                      <w:szCs w:val="21"/>
                      <w:u w:val="single"/>
                    </w:rPr>
                    <w:t>Ⅲ</w:t>
                  </w:r>
                </w:p>
              </w:tc>
              <w:tc>
                <w:tcPr>
                  <w:tcW w:w="457" w:type="pct"/>
                  <w:vAlign w:val="center"/>
                </w:tcPr>
                <w:p w14:paraId="2CA80574">
                  <w:pPr>
                    <w:jc w:val="center"/>
                    <w:rPr>
                      <w:rFonts w:cs="Times New Roman"/>
                      <w:i/>
                      <w:iCs/>
                      <w:kern w:val="0"/>
                      <w:sz w:val="21"/>
                      <w:szCs w:val="21"/>
                      <w:u w:val="single"/>
                    </w:rPr>
                  </w:pPr>
                  <w:r>
                    <w:rPr>
                      <w:rFonts w:cs="Times New Roman"/>
                      <w:i/>
                      <w:iCs/>
                      <w:kern w:val="0"/>
                      <w:szCs w:val="21"/>
                      <w:u w:val="single"/>
                    </w:rPr>
                    <w:t>↓</w:t>
                  </w:r>
                </w:p>
              </w:tc>
              <w:tc>
                <w:tcPr>
                  <w:tcW w:w="452" w:type="pct"/>
                  <w:vAlign w:val="center"/>
                </w:tcPr>
                <w:p w14:paraId="44E60689">
                  <w:pPr>
                    <w:jc w:val="center"/>
                    <w:rPr>
                      <w:rFonts w:cs="Times New Roman"/>
                      <w:i/>
                      <w:iCs/>
                      <w:kern w:val="0"/>
                      <w:sz w:val="21"/>
                      <w:szCs w:val="21"/>
                      <w:u w:val="single"/>
                    </w:rPr>
                  </w:pPr>
                  <w:r>
                    <w:rPr>
                      <w:rFonts w:cs="Times New Roman"/>
                      <w:i/>
                      <w:iCs/>
                      <w:kern w:val="0"/>
                      <w:sz w:val="21"/>
                      <w:szCs w:val="21"/>
                      <w:u w:val="single"/>
                    </w:rPr>
                    <w:t>→</w:t>
                  </w:r>
                </w:p>
              </w:tc>
            </w:tr>
            <w:tr w14:paraId="0DACC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5CA7EC7E">
                  <w:pPr>
                    <w:jc w:val="center"/>
                    <w:rPr>
                      <w:rFonts w:cs="Times New Roman"/>
                      <w:i/>
                      <w:iCs/>
                      <w:kern w:val="0"/>
                      <w:sz w:val="21"/>
                      <w:szCs w:val="21"/>
                      <w:u w:val="single"/>
                    </w:rPr>
                  </w:pPr>
                </w:p>
              </w:tc>
              <w:tc>
                <w:tcPr>
                  <w:tcW w:w="588" w:type="pct"/>
                  <w:vAlign w:val="center"/>
                </w:tcPr>
                <w:p w14:paraId="31287AB0">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78F76E67">
                  <w:pPr>
                    <w:jc w:val="center"/>
                    <w:rPr>
                      <w:rFonts w:cs="Times New Roman"/>
                      <w:i/>
                      <w:iCs/>
                      <w:kern w:val="0"/>
                      <w:sz w:val="21"/>
                      <w:szCs w:val="21"/>
                      <w:u w:val="single"/>
                    </w:rPr>
                  </w:pPr>
                </w:p>
              </w:tc>
              <w:tc>
                <w:tcPr>
                  <w:tcW w:w="648" w:type="pct"/>
                  <w:vAlign w:val="center"/>
                </w:tcPr>
                <w:p w14:paraId="475355A9">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630A1221">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Ⅳ</w:t>
                  </w:r>
                </w:p>
              </w:tc>
              <w:tc>
                <w:tcPr>
                  <w:tcW w:w="594" w:type="pct"/>
                  <w:vAlign w:val="center"/>
                </w:tcPr>
                <w:p w14:paraId="14665EBF">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364D884C">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Ⅲ</w:t>
                  </w:r>
                </w:p>
              </w:tc>
              <w:tc>
                <w:tcPr>
                  <w:tcW w:w="457" w:type="pct"/>
                  <w:vAlign w:val="center"/>
                </w:tcPr>
                <w:p w14:paraId="5772AD51">
                  <w:pPr>
                    <w:jc w:val="center"/>
                    <w:rPr>
                      <w:rFonts w:cs="Times New Roman"/>
                      <w:i/>
                      <w:iCs/>
                      <w:kern w:val="0"/>
                      <w:szCs w:val="21"/>
                      <w:u w:val="single"/>
                    </w:rPr>
                  </w:pPr>
                  <w:r>
                    <w:rPr>
                      <w:rFonts w:cs="Times New Roman"/>
                      <w:i/>
                      <w:iCs/>
                      <w:kern w:val="0"/>
                      <w:szCs w:val="21"/>
                      <w:u w:val="single"/>
                    </w:rPr>
                    <w:t>↓↓</w:t>
                  </w:r>
                </w:p>
              </w:tc>
              <w:tc>
                <w:tcPr>
                  <w:tcW w:w="452" w:type="pct"/>
                  <w:vAlign w:val="center"/>
                </w:tcPr>
                <w:p w14:paraId="656FD0DE">
                  <w:pPr>
                    <w:jc w:val="center"/>
                    <w:rPr>
                      <w:rFonts w:cs="Times New Roman"/>
                      <w:i/>
                      <w:iCs/>
                      <w:kern w:val="0"/>
                      <w:sz w:val="21"/>
                      <w:szCs w:val="21"/>
                      <w:u w:val="single"/>
                    </w:rPr>
                  </w:pPr>
                  <w:r>
                    <w:rPr>
                      <w:rFonts w:cs="Times New Roman"/>
                      <w:i/>
                      <w:iCs/>
                      <w:kern w:val="0"/>
                      <w:szCs w:val="21"/>
                      <w:u w:val="single"/>
                    </w:rPr>
                    <w:t>↓</w:t>
                  </w:r>
                </w:p>
              </w:tc>
            </w:tr>
            <w:tr w14:paraId="5746A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741CF924">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4.9</w:t>
                  </w:r>
                </w:p>
              </w:tc>
              <w:tc>
                <w:tcPr>
                  <w:tcW w:w="588" w:type="pct"/>
                  <w:vAlign w:val="center"/>
                </w:tcPr>
                <w:p w14:paraId="168ECBE6">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7F30E6BB">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12108C46">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1FE2021E">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3C780494">
                  <w:pPr>
                    <w:jc w:val="center"/>
                    <w:rPr>
                      <w:rFonts w:cs="Times New Roman"/>
                      <w:i/>
                      <w:iCs/>
                      <w:kern w:val="0"/>
                      <w:sz w:val="21"/>
                      <w:szCs w:val="21"/>
                      <w:u w:val="single"/>
                    </w:rPr>
                  </w:pPr>
                  <w:r>
                    <w:rPr>
                      <w:rFonts w:hint="eastAsia" w:ascii="宋体" w:hAnsi="宋体" w:cs="宋体"/>
                      <w:i/>
                      <w:iCs/>
                      <w:kern w:val="0"/>
                      <w:sz w:val="21"/>
                      <w:szCs w:val="21"/>
                      <w:u w:val="single"/>
                    </w:rPr>
                    <w:t>Ⅲ</w:t>
                  </w:r>
                </w:p>
              </w:tc>
              <w:tc>
                <w:tcPr>
                  <w:tcW w:w="652" w:type="pct"/>
                  <w:vAlign w:val="center"/>
                </w:tcPr>
                <w:p w14:paraId="635466C6">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37F79EEF">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31990AF8">
                  <w:pPr>
                    <w:jc w:val="center"/>
                    <w:rPr>
                      <w:rFonts w:cs="Times New Roman"/>
                      <w:i/>
                      <w:iCs/>
                      <w:kern w:val="0"/>
                      <w:sz w:val="21"/>
                      <w:szCs w:val="21"/>
                      <w:u w:val="single"/>
                    </w:rPr>
                  </w:pPr>
                  <w:r>
                    <w:rPr>
                      <w:rFonts w:cs="Times New Roman"/>
                      <w:i/>
                      <w:iCs/>
                      <w:kern w:val="0"/>
                      <w:sz w:val="21"/>
                      <w:szCs w:val="21"/>
                      <w:u w:val="single"/>
                    </w:rPr>
                    <w:t>→</w:t>
                  </w:r>
                </w:p>
              </w:tc>
            </w:tr>
            <w:tr w14:paraId="37EDA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73C26F93">
                  <w:pPr>
                    <w:jc w:val="center"/>
                    <w:rPr>
                      <w:rFonts w:cs="Times New Roman"/>
                      <w:i/>
                      <w:iCs/>
                      <w:kern w:val="0"/>
                      <w:sz w:val="21"/>
                      <w:szCs w:val="21"/>
                      <w:u w:val="single"/>
                    </w:rPr>
                  </w:pPr>
                </w:p>
              </w:tc>
              <w:tc>
                <w:tcPr>
                  <w:tcW w:w="588" w:type="pct"/>
                  <w:vAlign w:val="center"/>
                </w:tcPr>
                <w:p w14:paraId="053F48ED">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67DD5C93">
                  <w:pPr>
                    <w:jc w:val="center"/>
                    <w:rPr>
                      <w:rFonts w:cs="Times New Roman"/>
                      <w:i/>
                      <w:iCs/>
                      <w:kern w:val="0"/>
                      <w:sz w:val="21"/>
                      <w:szCs w:val="21"/>
                      <w:u w:val="single"/>
                    </w:rPr>
                  </w:pPr>
                </w:p>
              </w:tc>
              <w:tc>
                <w:tcPr>
                  <w:tcW w:w="648" w:type="pct"/>
                  <w:vAlign w:val="center"/>
                </w:tcPr>
                <w:p w14:paraId="32356140">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44E092AA">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Ⅲ</w:t>
                  </w:r>
                </w:p>
              </w:tc>
              <w:tc>
                <w:tcPr>
                  <w:tcW w:w="594" w:type="pct"/>
                  <w:vAlign w:val="center"/>
                </w:tcPr>
                <w:p w14:paraId="7667695C">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Ⅳ</w:t>
                  </w:r>
                </w:p>
              </w:tc>
              <w:tc>
                <w:tcPr>
                  <w:tcW w:w="652" w:type="pct"/>
                  <w:vAlign w:val="center"/>
                </w:tcPr>
                <w:p w14:paraId="7841D3F2">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106CEFEA">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3E3CA75E">
                  <w:pPr>
                    <w:jc w:val="center"/>
                    <w:rPr>
                      <w:rFonts w:cs="Times New Roman"/>
                      <w:i/>
                      <w:iCs/>
                      <w:kern w:val="0"/>
                      <w:sz w:val="21"/>
                      <w:szCs w:val="21"/>
                      <w:u w:val="single"/>
                    </w:rPr>
                  </w:pPr>
                  <w:r>
                    <w:rPr>
                      <w:rFonts w:cs="Times New Roman"/>
                      <w:i/>
                      <w:iCs/>
                      <w:kern w:val="0"/>
                      <w:szCs w:val="21"/>
                      <w:u w:val="single"/>
                    </w:rPr>
                    <w:t>↓</w:t>
                  </w:r>
                </w:p>
              </w:tc>
            </w:tr>
            <w:tr w14:paraId="0E971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38993A22">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4.10</w:t>
                  </w:r>
                </w:p>
              </w:tc>
              <w:tc>
                <w:tcPr>
                  <w:tcW w:w="588" w:type="pct"/>
                  <w:vAlign w:val="center"/>
                </w:tcPr>
                <w:p w14:paraId="6957F8E0">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6EF39100">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110E8EDC">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768B4A16">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58A628B9">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79752F6C">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1FA949DB">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3C8327B5">
                  <w:pPr>
                    <w:jc w:val="center"/>
                    <w:rPr>
                      <w:rFonts w:cs="Times New Roman"/>
                      <w:i/>
                      <w:iCs/>
                      <w:kern w:val="0"/>
                      <w:sz w:val="21"/>
                      <w:szCs w:val="21"/>
                      <w:u w:val="single"/>
                    </w:rPr>
                  </w:pPr>
                  <w:r>
                    <w:rPr>
                      <w:rFonts w:cs="Times New Roman"/>
                      <w:i/>
                      <w:iCs/>
                      <w:kern w:val="0"/>
                      <w:sz w:val="21"/>
                      <w:szCs w:val="21"/>
                      <w:u w:val="single"/>
                    </w:rPr>
                    <w:t>→</w:t>
                  </w:r>
                </w:p>
              </w:tc>
            </w:tr>
            <w:tr w14:paraId="5A59A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57B7839B">
                  <w:pPr>
                    <w:jc w:val="center"/>
                    <w:rPr>
                      <w:rFonts w:cs="Times New Roman"/>
                      <w:i/>
                      <w:iCs/>
                      <w:kern w:val="0"/>
                      <w:sz w:val="21"/>
                      <w:szCs w:val="21"/>
                      <w:u w:val="single"/>
                    </w:rPr>
                  </w:pPr>
                </w:p>
              </w:tc>
              <w:tc>
                <w:tcPr>
                  <w:tcW w:w="588" w:type="pct"/>
                  <w:vAlign w:val="center"/>
                </w:tcPr>
                <w:p w14:paraId="3640C7C5">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6E3CB112">
                  <w:pPr>
                    <w:jc w:val="center"/>
                    <w:rPr>
                      <w:rFonts w:cs="Times New Roman"/>
                      <w:i/>
                      <w:iCs/>
                      <w:kern w:val="0"/>
                      <w:sz w:val="21"/>
                      <w:szCs w:val="21"/>
                      <w:u w:val="single"/>
                    </w:rPr>
                  </w:pPr>
                </w:p>
              </w:tc>
              <w:tc>
                <w:tcPr>
                  <w:tcW w:w="648" w:type="pct"/>
                  <w:vAlign w:val="center"/>
                </w:tcPr>
                <w:p w14:paraId="2961FDF2">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2F57F0E0">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5BC0918C">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Ⅲ</w:t>
                  </w:r>
                </w:p>
              </w:tc>
              <w:tc>
                <w:tcPr>
                  <w:tcW w:w="652" w:type="pct"/>
                  <w:vAlign w:val="center"/>
                </w:tcPr>
                <w:p w14:paraId="059C8F57">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6233AA29">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7313D184">
                  <w:pPr>
                    <w:jc w:val="center"/>
                    <w:rPr>
                      <w:rFonts w:cs="Times New Roman"/>
                      <w:i/>
                      <w:iCs/>
                      <w:kern w:val="0"/>
                      <w:sz w:val="21"/>
                      <w:szCs w:val="21"/>
                      <w:u w:val="single"/>
                    </w:rPr>
                  </w:pPr>
                  <w:r>
                    <w:rPr>
                      <w:rFonts w:cs="Times New Roman"/>
                      <w:i/>
                      <w:iCs/>
                      <w:kern w:val="0"/>
                      <w:sz w:val="21"/>
                      <w:szCs w:val="21"/>
                      <w:u w:val="single"/>
                    </w:rPr>
                    <w:t>→</w:t>
                  </w:r>
                </w:p>
              </w:tc>
            </w:tr>
            <w:tr w14:paraId="5CDBF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48F47630">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4.11</w:t>
                  </w:r>
                </w:p>
              </w:tc>
              <w:tc>
                <w:tcPr>
                  <w:tcW w:w="588" w:type="pct"/>
                  <w:vAlign w:val="center"/>
                </w:tcPr>
                <w:p w14:paraId="6566DC63">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3621B0B6">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4584FB6D">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19AE5F1D">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51839F32">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417F1BD4">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445B659D">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01560A76">
                  <w:pPr>
                    <w:jc w:val="center"/>
                    <w:rPr>
                      <w:rFonts w:cs="Times New Roman"/>
                      <w:i/>
                      <w:iCs/>
                      <w:kern w:val="0"/>
                      <w:sz w:val="21"/>
                      <w:szCs w:val="21"/>
                      <w:u w:val="single"/>
                    </w:rPr>
                  </w:pPr>
                  <w:r>
                    <w:rPr>
                      <w:rFonts w:cs="Times New Roman"/>
                      <w:i/>
                      <w:iCs/>
                      <w:kern w:val="0"/>
                      <w:sz w:val="21"/>
                      <w:szCs w:val="21"/>
                      <w:u w:val="single"/>
                    </w:rPr>
                    <w:t>→</w:t>
                  </w:r>
                </w:p>
              </w:tc>
            </w:tr>
            <w:tr w14:paraId="702CE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50E6A28A">
                  <w:pPr>
                    <w:jc w:val="center"/>
                    <w:rPr>
                      <w:rFonts w:cs="Times New Roman"/>
                      <w:i/>
                      <w:iCs/>
                      <w:kern w:val="0"/>
                      <w:sz w:val="21"/>
                      <w:szCs w:val="21"/>
                      <w:u w:val="single"/>
                    </w:rPr>
                  </w:pPr>
                </w:p>
              </w:tc>
              <w:tc>
                <w:tcPr>
                  <w:tcW w:w="588" w:type="pct"/>
                  <w:vAlign w:val="center"/>
                </w:tcPr>
                <w:p w14:paraId="3AF679CD">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1CAB7601">
                  <w:pPr>
                    <w:jc w:val="center"/>
                    <w:rPr>
                      <w:rFonts w:cs="Times New Roman"/>
                      <w:i/>
                      <w:iCs/>
                      <w:kern w:val="0"/>
                      <w:sz w:val="21"/>
                      <w:szCs w:val="21"/>
                      <w:u w:val="single"/>
                    </w:rPr>
                  </w:pPr>
                </w:p>
              </w:tc>
              <w:tc>
                <w:tcPr>
                  <w:tcW w:w="648" w:type="pct"/>
                  <w:vAlign w:val="center"/>
                </w:tcPr>
                <w:p w14:paraId="78DAD79B">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7E8E4DF1">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34510179">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22B26097">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30304E55">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4839E5AD">
                  <w:pPr>
                    <w:jc w:val="center"/>
                    <w:rPr>
                      <w:rFonts w:cs="Times New Roman"/>
                      <w:i/>
                      <w:iCs/>
                      <w:kern w:val="0"/>
                      <w:sz w:val="21"/>
                      <w:szCs w:val="21"/>
                      <w:u w:val="single"/>
                    </w:rPr>
                  </w:pPr>
                  <w:r>
                    <w:rPr>
                      <w:rFonts w:cs="Times New Roman"/>
                      <w:i/>
                      <w:iCs/>
                      <w:kern w:val="0"/>
                      <w:sz w:val="21"/>
                      <w:szCs w:val="21"/>
                      <w:u w:val="single"/>
                    </w:rPr>
                    <w:t>→</w:t>
                  </w:r>
                </w:p>
              </w:tc>
            </w:tr>
            <w:tr w14:paraId="7CCF7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633838FC">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4.12</w:t>
                  </w:r>
                </w:p>
              </w:tc>
              <w:tc>
                <w:tcPr>
                  <w:tcW w:w="588" w:type="pct"/>
                  <w:vAlign w:val="center"/>
                </w:tcPr>
                <w:p w14:paraId="7EEEFB27">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3125FEAE">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19A82843">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631D5E04">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78ACAAD2">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132245A9">
                  <w:pPr>
                    <w:jc w:val="center"/>
                    <w:rPr>
                      <w:rFonts w:cs="Times New Roman"/>
                      <w:i/>
                      <w:iCs/>
                      <w:kern w:val="0"/>
                      <w:sz w:val="21"/>
                      <w:szCs w:val="21"/>
                      <w:u w:val="single"/>
                    </w:rPr>
                  </w:pPr>
                  <w:r>
                    <w:rPr>
                      <w:rFonts w:hint="eastAsia" w:cs="Times New Roman"/>
                      <w:i/>
                      <w:iCs/>
                      <w:kern w:val="0"/>
                      <w:sz w:val="21"/>
                      <w:szCs w:val="21"/>
                      <w:u w:val="single"/>
                    </w:rPr>
                    <w:t>Ⅰ</w:t>
                  </w:r>
                </w:p>
              </w:tc>
              <w:tc>
                <w:tcPr>
                  <w:tcW w:w="457" w:type="pct"/>
                  <w:vAlign w:val="center"/>
                </w:tcPr>
                <w:p w14:paraId="24D7122D">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69E12183">
                  <w:pPr>
                    <w:jc w:val="center"/>
                    <w:rPr>
                      <w:rFonts w:cs="Times New Roman"/>
                      <w:i/>
                      <w:iCs/>
                      <w:kern w:val="0"/>
                      <w:sz w:val="21"/>
                      <w:szCs w:val="21"/>
                      <w:u w:val="single"/>
                    </w:rPr>
                  </w:pPr>
                  <w:r>
                    <w:rPr>
                      <w:rFonts w:cs="Times New Roman"/>
                      <w:i/>
                      <w:iCs/>
                      <w:kern w:val="0"/>
                      <w:sz w:val="21"/>
                      <w:szCs w:val="21"/>
                      <w:u w:val="single"/>
                    </w:rPr>
                    <w:t>→</w:t>
                  </w:r>
                </w:p>
              </w:tc>
            </w:tr>
            <w:tr w14:paraId="27CE7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611E8FB3">
                  <w:pPr>
                    <w:jc w:val="center"/>
                    <w:rPr>
                      <w:rFonts w:cs="Times New Roman"/>
                      <w:i/>
                      <w:iCs/>
                      <w:kern w:val="0"/>
                      <w:sz w:val="21"/>
                      <w:szCs w:val="21"/>
                      <w:u w:val="single"/>
                    </w:rPr>
                  </w:pPr>
                </w:p>
              </w:tc>
              <w:tc>
                <w:tcPr>
                  <w:tcW w:w="588" w:type="pct"/>
                  <w:vAlign w:val="center"/>
                </w:tcPr>
                <w:p w14:paraId="6C7BAB1A">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5F6005EB">
                  <w:pPr>
                    <w:jc w:val="center"/>
                    <w:rPr>
                      <w:rFonts w:cs="Times New Roman"/>
                      <w:i/>
                      <w:iCs/>
                      <w:kern w:val="0"/>
                      <w:sz w:val="21"/>
                      <w:szCs w:val="21"/>
                      <w:u w:val="single"/>
                    </w:rPr>
                  </w:pPr>
                </w:p>
              </w:tc>
              <w:tc>
                <w:tcPr>
                  <w:tcW w:w="648" w:type="pct"/>
                  <w:vAlign w:val="center"/>
                </w:tcPr>
                <w:p w14:paraId="01D003C8">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242DC95A">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0B92564C">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08054880">
                  <w:pPr>
                    <w:jc w:val="center"/>
                    <w:rPr>
                      <w:rFonts w:cs="Times New Roman"/>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4DBB1464">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1D0A1B85">
                  <w:pPr>
                    <w:jc w:val="center"/>
                    <w:rPr>
                      <w:rFonts w:cs="Times New Roman"/>
                      <w:i/>
                      <w:iCs/>
                      <w:kern w:val="0"/>
                      <w:sz w:val="21"/>
                      <w:szCs w:val="21"/>
                      <w:u w:val="single"/>
                    </w:rPr>
                  </w:pPr>
                  <w:r>
                    <w:rPr>
                      <w:rFonts w:cs="Times New Roman"/>
                      <w:i/>
                      <w:iCs/>
                      <w:kern w:val="0"/>
                      <w:sz w:val="21"/>
                      <w:szCs w:val="21"/>
                      <w:u w:val="single"/>
                    </w:rPr>
                    <w:t>→</w:t>
                  </w:r>
                </w:p>
              </w:tc>
            </w:tr>
            <w:tr w14:paraId="532AC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53DECBFF">
                  <w:pPr>
                    <w:jc w:val="center"/>
                    <w:rPr>
                      <w:rFonts w:cs="Times New Roman"/>
                      <w:i/>
                      <w:iCs/>
                      <w:kern w:val="0"/>
                      <w:sz w:val="21"/>
                      <w:szCs w:val="21"/>
                      <w:u w:val="single"/>
                    </w:rPr>
                  </w:pPr>
                  <w:r>
                    <w:rPr>
                      <w:rFonts w:cs="Times New Roman"/>
                      <w:i/>
                      <w:iCs/>
                      <w:kern w:val="0"/>
                      <w:sz w:val="21"/>
                      <w:szCs w:val="21"/>
                      <w:u w:val="single"/>
                    </w:rPr>
                    <w:t>202</w:t>
                  </w:r>
                  <w:r>
                    <w:rPr>
                      <w:rFonts w:hint="eastAsia" w:cs="Times New Roman"/>
                      <w:i/>
                      <w:iCs/>
                      <w:kern w:val="0"/>
                      <w:sz w:val="21"/>
                      <w:szCs w:val="21"/>
                      <w:u w:val="single"/>
                    </w:rPr>
                    <w:t>5.1</w:t>
                  </w:r>
                </w:p>
              </w:tc>
              <w:tc>
                <w:tcPr>
                  <w:tcW w:w="588" w:type="pct"/>
                  <w:vAlign w:val="center"/>
                </w:tcPr>
                <w:p w14:paraId="2544CF07">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5BC70DC4">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7E680A51">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7860B7C3">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3176BB3D">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32F9CF54">
                  <w:pPr>
                    <w:jc w:val="center"/>
                    <w:rPr>
                      <w:rFonts w:cs="Times New Roman"/>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34939DE3">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1E1CD52C">
                  <w:pPr>
                    <w:jc w:val="center"/>
                    <w:rPr>
                      <w:rFonts w:cs="Times New Roman"/>
                      <w:i/>
                      <w:iCs/>
                      <w:kern w:val="0"/>
                      <w:sz w:val="21"/>
                      <w:szCs w:val="21"/>
                      <w:u w:val="single"/>
                    </w:rPr>
                  </w:pPr>
                  <w:r>
                    <w:rPr>
                      <w:rFonts w:cs="Times New Roman"/>
                      <w:i/>
                      <w:iCs/>
                      <w:kern w:val="0"/>
                      <w:sz w:val="21"/>
                      <w:szCs w:val="21"/>
                      <w:u w:val="single"/>
                    </w:rPr>
                    <w:t>→</w:t>
                  </w:r>
                </w:p>
              </w:tc>
            </w:tr>
            <w:tr w14:paraId="35488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325A2BA6">
                  <w:pPr>
                    <w:jc w:val="center"/>
                    <w:rPr>
                      <w:rFonts w:cs="Times New Roman"/>
                      <w:i/>
                      <w:iCs/>
                      <w:kern w:val="0"/>
                      <w:sz w:val="21"/>
                      <w:szCs w:val="21"/>
                      <w:u w:val="single"/>
                    </w:rPr>
                  </w:pPr>
                </w:p>
              </w:tc>
              <w:tc>
                <w:tcPr>
                  <w:tcW w:w="588" w:type="pct"/>
                  <w:vAlign w:val="center"/>
                </w:tcPr>
                <w:p w14:paraId="48493ACC">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3C61867E">
                  <w:pPr>
                    <w:jc w:val="center"/>
                    <w:rPr>
                      <w:rFonts w:cs="Times New Roman"/>
                      <w:i/>
                      <w:iCs/>
                      <w:kern w:val="0"/>
                      <w:sz w:val="21"/>
                      <w:szCs w:val="21"/>
                      <w:u w:val="single"/>
                    </w:rPr>
                  </w:pPr>
                </w:p>
              </w:tc>
              <w:tc>
                <w:tcPr>
                  <w:tcW w:w="648" w:type="pct"/>
                  <w:vAlign w:val="center"/>
                </w:tcPr>
                <w:p w14:paraId="04715636">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0B04FF35">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59BF4076">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1918CF27">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67CFCE4D">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2A2A5696">
                  <w:pPr>
                    <w:jc w:val="center"/>
                    <w:rPr>
                      <w:rFonts w:cs="Times New Roman"/>
                      <w:i/>
                      <w:iCs/>
                      <w:kern w:val="0"/>
                      <w:sz w:val="21"/>
                      <w:szCs w:val="21"/>
                      <w:u w:val="single"/>
                    </w:rPr>
                  </w:pPr>
                  <w:r>
                    <w:rPr>
                      <w:rFonts w:cs="Times New Roman"/>
                      <w:i/>
                      <w:iCs/>
                      <w:kern w:val="0"/>
                      <w:sz w:val="21"/>
                      <w:szCs w:val="21"/>
                      <w:u w:val="single"/>
                    </w:rPr>
                    <w:t>→</w:t>
                  </w:r>
                </w:p>
              </w:tc>
            </w:tr>
            <w:tr w14:paraId="2296D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21D9B273">
                  <w:pPr>
                    <w:jc w:val="center"/>
                    <w:rPr>
                      <w:rFonts w:cs="Times New Roman"/>
                      <w:i/>
                      <w:iCs/>
                      <w:kern w:val="0"/>
                      <w:sz w:val="21"/>
                      <w:szCs w:val="21"/>
                      <w:u w:val="single"/>
                    </w:rPr>
                  </w:pPr>
                  <w:r>
                    <w:rPr>
                      <w:rFonts w:hint="eastAsia" w:cs="Times New Roman"/>
                      <w:i/>
                      <w:iCs/>
                      <w:kern w:val="0"/>
                      <w:sz w:val="21"/>
                      <w:szCs w:val="21"/>
                      <w:u w:val="single"/>
                    </w:rPr>
                    <w:t>2025.2</w:t>
                  </w:r>
                </w:p>
              </w:tc>
              <w:tc>
                <w:tcPr>
                  <w:tcW w:w="588" w:type="pct"/>
                  <w:vAlign w:val="center"/>
                </w:tcPr>
                <w:p w14:paraId="379FABB0">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038A447A">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6A719F03">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23EE13C1">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7F788889">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4E1ADD2A">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77A37596">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54E2F9D2">
                  <w:pPr>
                    <w:jc w:val="center"/>
                    <w:rPr>
                      <w:rFonts w:cs="Times New Roman"/>
                      <w:i/>
                      <w:iCs/>
                      <w:kern w:val="0"/>
                      <w:sz w:val="21"/>
                      <w:szCs w:val="21"/>
                      <w:u w:val="single"/>
                    </w:rPr>
                  </w:pPr>
                  <w:r>
                    <w:rPr>
                      <w:rFonts w:cs="Times New Roman"/>
                      <w:i/>
                      <w:iCs/>
                      <w:kern w:val="0"/>
                      <w:sz w:val="21"/>
                      <w:szCs w:val="21"/>
                      <w:u w:val="single"/>
                    </w:rPr>
                    <w:t>→</w:t>
                  </w:r>
                </w:p>
              </w:tc>
            </w:tr>
            <w:tr w14:paraId="51B07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0F8E266D">
                  <w:pPr>
                    <w:jc w:val="center"/>
                    <w:rPr>
                      <w:rFonts w:cs="Times New Roman"/>
                      <w:i/>
                      <w:iCs/>
                      <w:kern w:val="0"/>
                      <w:sz w:val="21"/>
                      <w:szCs w:val="21"/>
                      <w:u w:val="single"/>
                    </w:rPr>
                  </w:pPr>
                </w:p>
              </w:tc>
              <w:tc>
                <w:tcPr>
                  <w:tcW w:w="588" w:type="pct"/>
                  <w:vAlign w:val="center"/>
                </w:tcPr>
                <w:p w14:paraId="5B64D353">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460C0C0A">
                  <w:pPr>
                    <w:jc w:val="center"/>
                    <w:rPr>
                      <w:rFonts w:cs="Times New Roman"/>
                      <w:i/>
                      <w:iCs/>
                      <w:kern w:val="0"/>
                      <w:sz w:val="21"/>
                      <w:szCs w:val="21"/>
                      <w:u w:val="single"/>
                    </w:rPr>
                  </w:pPr>
                </w:p>
              </w:tc>
              <w:tc>
                <w:tcPr>
                  <w:tcW w:w="648" w:type="pct"/>
                  <w:vAlign w:val="center"/>
                </w:tcPr>
                <w:p w14:paraId="5736C342">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6AED9CD5">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38A679C3">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6599F458">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5E3FD13F">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514B52B3">
                  <w:pPr>
                    <w:jc w:val="center"/>
                    <w:rPr>
                      <w:rFonts w:cs="Times New Roman"/>
                      <w:i/>
                      <w:iCs/>
                      <w:kern w:val="0"/>
                      <w:sz w:val="21"/>
                      <w:szCs w:val="21"/>
                      <w:u w:val="single"/>
                    </w:rPr>
                  </w:pPr>
                  <w:r>
                    <w:rPr>
                      <w:rFonts w:cs="Times New Roman"/>
                      <w:i/>
                      <w:iCs/>
                      <w:kern w:val="0"/>
                      <w:sz w:val="21"/>
                      <w:szCs w:val="21"/>
                      <w:u w:val="single"/>
                    </w:rPr>
                    <w:t>→</w:t>
                  </w:r>
                </w:p>
              </w:tc>
            </w:tr>
            <w:tr w14:paraId="29216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4D55A6BB">
                  <w:pPr>
                    <w:jc w:val="center"/>
                    <w:rPr>
                      <w:rFonts w:cs="Times New Roman"/>
                      <w:i/>
                      <w:iCs/>
                      <w:kern w:val="0"/>
                      <w:sz w:val="21"/>
                      <w:szCs w:val="21"/>
                      <w:u w:val="single"/>
                    </w:rPr>
                  </w:pPr>
                  <w:r>
                    <w:rPr>
                      <w:rFonts w:hint="eastAsia" w:cs="Times New Roman"/>
                      <w:i/>
                      <w:iCs/>
                      <w:kern w:val="0"/>
                      <w:sz w:val="21"/>
                      <w:szCs w:val="21"/>
                      <w:u w:val="single"/>
                    </w:rPr>
                    <w:t>2025.3</w:t>
                  </w:r>
                </w:p>
              </w:tc>
              <w:tc>
                <w:tcPr>
                  <w:tcW w:w="588" w:type="pct"/>
                  <w:vAlign w:val="center"/>
                </w:tcPr>
                <w:p w14:paraId="69EA2EAB">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580D550C">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1284A207">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054892E8">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4C386FC6">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2C24E030">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1DB96270">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6C0223B9">
                  <w:pPr>
                    <w:jc w:val="center"/>
                    <w:rPr>
                      <w:rFonts w:cs="Times New Roman"/>
                      <w:i/>
                      <w:iCs/>
                      <w:kern w:val="0"/>
                      <w:sz w:val="21"/>
                      <w:szCs w:val="21"/>
                      <w:u w:val="single"/>
                    </w:rPr>
                  </w:pPr>
                  <w:r>
                    <w:rPr>
                      <w:rFonts w:cs="Times New Roman"/>
                      <w:i/>
                      <w:iCs/>
                      <w:kern w:val="0"/>
                      <w:sz w:val="21"/>
                      <w:szCs w:val="21"/>
                      <w:u w:val="single"/>
                    </w:rPr>
                    <w:t>→</w:t>
                  </w:r>
                </w:p>
              </w:tc>
            </w:tr>
            <w:tr w14:paraId="238B2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124A79CF">
                  <w:pPr>
                    <w:jc w:val="center"/>
                    <w:rPr>
                      <w:rFonts w:cs="Times New Roman"/>
                      <w:i/>
                      <w:iCs/>
                      <w:kern w:val="0"/>
                      <w:sz w:val="21"/>
                      <w:szCs w:val="21"/>
                      <w:u w:val="single"/>
                    </w:rPr>
                  </w:pPr>
                </w:p>
              </w:tc>
              <w:tc>
                <w:tcPr>
                  <w:tcW w:w="588" w:type="pct"/>
                  <w:vAlign w:val="center"/>
                </w:tcPr>
                <w:p w14:paraId="4E2FC7C0">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1A0EEA84">
                  <w:pPr>
                    <w:jc w:val="center"/>
                    <w:rPr>
                      <w:rFonts w:cs="Times New Roman"/>
                      <w:i/>
                      <w:iCs/>
                      <w:kern w:val="0"/>
                      <w:sz w:val="21"/>
                      <w:szCs w:val="21"/>
                      <w:u w:val="single"/>
                    </w:rPr>
                  </w:pPr>
                </w:p>
              </w:tc>
              <w:tc>
                <w:tcPr>
                  <w:tcW w:w="648" w:type="pct"/>
                  <w:vAlign w:val="center"/>
                </w:tcPr>
                <w:p w14:paraId="494794A8">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5A1ECE8A">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6AE67858">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26A3BD9C">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72ADC40A">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0F46A095">
                  <w:pPr>
                    <w:jc w:val="center"/>
                    <w:rPr>
                      <w:rFonts w:cs="Times New Roman"/>
                      <w:i/>
                      <w:iCs/>
                      <w:kern w:val="0"/>
                      <w:sz w:val="21"/>
                      <w:szCs w:val="21"/>
                      <w:u w:val="single"/>
                    </w:rPr>
                  </w:pPr>
                  <w:r>
                    <w:rPr>
                      <w:rFonts w:cs="Times New Roman"/>
                      <w:i/>
                      <w:iCs/>
                      <w:kern w:val="0"/>
                      <w:sz w:val="21"/>
                      <w:szCs w:val="21"/>
                      <w:u w:val="single"/>
                    </w:rPr>
                    <w:t>→</w:t>
                  </w:r>
                </w:p>
              </w:tc>
            </w:tr>
            <w:tr w14:paraId="338AD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7D1534FB">
                  <w:pPr>
                    <w:jc w:val="center"/>
                    <w:rPr>
                      <w:rFonts w:cs="Times New Roman"/>
                      <w:i/>
                      <w:iCs/>
                      <w:kern w:val="0"/>
                      <w:sz w:val="21"/>
                      <w:szCs w:val="21"/>
                      <w:u w:val="single"/>
                    </w:rPr>
                  </w:pPr>
                  <w:r>
                    <w:rPr>
                      <w:rFonts w:hint="eastAsia" w:cs="Times New Roman"/>
                      <w:i/>
                      <w:iCs/>
                      <w:kern w:val="0"/>
                      <w:sz w:val="21"/>
                      <w:szCs w:val="21"/>
                      <w:u w:val="single"/>
                    </w:rPr>
                    <w:t>2025.4</w:t>
                  </w:r>
                </w:p>
              </w:tc>
              <w:tc>
                <w:tcPr>
                  <w:tcW w:w="588" w:type="pct"/>
                  <w:vAlign w:val="center"/>
                </w:tcPr>
                <w:p w14:paraId="319E70E7">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265E212A">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042B1A88">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04A597D2">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Ⅲ</w:t>
                  </w:r>
                </w:p>
              </w:tc>
              <w:tc>
                <w:tcPr>
                  <w:tcW w:w="594" w:type="pct"/>
                  <w:vAlign w:val="center"/>
                </w:tcPr>
                <w:p w14:paraId="5FBE008B">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1727C99D">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6C6E3BD6">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5BFA7C99">
                  <w:pPr>
                    <w:jc w:val="center"/>
                    <w:rPr>
                      <w:rFonts w:cs="Times New Roman"/>
                      <w:i/>
                      <w:iCs/>
                      <w:kern w:val="0"/>
                      <w:sz w:val="21"/>
                      <w:szCs w:val="21"/>
                      <w:u w:val="single"/>
                    </w:rPr>
                  </w:pPr>
                  <w:r>
                    <w:rPr>
                      <w:rFonts w:cs="Times New Roman"/>
                      <w:i/>
                      <w:iCs/>
                      <w:kern w:val="0"/>
                      <w:szCs w:val="21"/>
                      <w:u w:val="single"/>
                    </w:rPr>
                    <w:t>↓</w:t>
                  </w:r>
                </w:p>
              </w:tc>
            </w:tr>
            <w:tr w14:paraId="60C7F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6B9222C1">
                  <w:pPr>
                    <w:jc w:val="center"/>
                    <w:rPr>
                      <w:rFonts w:cs="Times New Roman"/>
                      <w:i/>
                      <w:iCs/>
                      <w:kern w:val="0"/>
                      <w:sz w:val="21"/>
                      <w:szCs w:val="21"/>
                      <w:u w:val="single"/>
                    </w:rPr>
                  </w:pPr>
                </w:p>
              </w:tc>
              <w:tc>
                <w:tcPr>
                  <w:tcW w:w="588" w:type="pct"/>
                  <w:vAlign w:val="center"/>
                </w:tcPr>
                <w:p w14:paraId="604C2798">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6497D832">
                  <w:pPr>
                    <w:jc w:val="center"/>
                    <w:rPr>
                      <w:rFonts w:cs="Times New Roman"/>
                      <w:i/>
                      <w:iCs/>
                      <w:kern w:val="0"/>
                      <w:sz w:val="21"/>
                      <w:szCs w:val="21"/>
                      <w:u w:val="single"/>
                    </w:rPr>
                  </w:pPr>
                </w:p>
              </w:tc>
              <w:tc>
                <w:tcPr>
                  <w:tcW w:w="648" w:type="pct"/>
                  <w:vAlign w:val="center"/>
                </w:tcPr>
                <w:p w14:paraId="304DD82C">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356AD9F1">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5F37B0BD">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768439B8">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49A739BC">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2F5EBEBC">
                  <w:pPr>
                    <w:jc w:val="center"/>
                    <w:rPr>
                      <w:rFonts w:cs="Times New Roman"/>
                      <w:i/>
                      <w:iCs/>
                      <w:kern w:val="0"/>
                      <w:szCs w:val="21"/>
                      <w:u w:val="single"/>
                    </w:rPr>
                  </w:pPr>
                  <w:r>
                    <w:rPr>
                      <w:rFonts w:cs="Times New Roman"/>
                      <w:i/>
                      <w:iCs/>
                      <w:kern w:val="0"/>
                      <w:sz w:val="21"/>
                      <w:szCs w:val="21"/>
                      <w:u w:val="single"/>
                    </w:rPr>
                    <w:t>→</w:t>
                  </w:r>
                </w:p>
              </w:tc>
            </w:tr>
            <w:tr w14:paraId="224E5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604AA734">
                  <w:pPr>
                    <w:jc w:val="center"/>
                    <w:rPr>
                      <w:rFonts w:cs="Times New Roman"/>
                      <w:i/>
                      <w:iCs/>
                      <w:kern w:val="0"/>
                      <w:sz w:val="21"/>
                      <w:szCs w:val="21"/>
                      <w:u w:val="single"/>
                    </w:rPr>
                  </w:pPr>
                  <w:r>
                    <w:rPr>
                      <w:rFonts w:hint="eastAsia" w:cs="Times New Roman"/>
                      <w:i/>
                      <w:iCs/>
                      <w:kern w:val="0"/>
                      <w:sz w:val="21"/>
                      <w:szCs w:val="21"/>
                      <w:u w:val="single"/>
                    </w:rPr>
                    <w:t>2025.5</w:t>
                  </w:r>
                </w:p>
              </w:tc>
              <w:tc>
                <w:tcPr>
                  <w:tcW w:w="588" w:type="pct"/>
                  <w:vAlign w:val="center"/>
                </w:tcPr>
                <w:p w14:paraId="2AFD6769">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5674E1BD">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5D04EB25">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20BDE254">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2FA07BF8">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Ⅲ</w:t>
                  </w:r>
                </w:p>
              </w:tc>
              <w:tc>
                <w:tcPr>
                  <w:tcW w:w="652" w:type="pct"/>
                  <w:vAlign w:val="center"/>
                </w:tcPr>
                <w:p w14:paraId="3AC0AF90">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0D1BF252">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042BE073">
                  <w:pPr>
                    <w:jc w:val="center"/>
                    <w:rPr>
                      <w:rFonts w:cs="Times New Roman"/>
                      <w:i/>
                      <w:iCs/>
                      <w:kern w:val="0"/>
                      <w:sz w:val="21"/>
                      <w:szCs w:val="21"/>
                      <w:u w:val="single"/>
                    </w:rPr>
                  </w:pPr>
                  <w:r>
                    <w:rPr>
                      <w:rFonts w:cs="Times New Roman"/>
                      <w:i/>
                      <w:iCs/>
                      <w:kern w:val="0"/>
                      <w:sz w:val="21"/>
                      <w:szCs w:val="21"/>
                      <w:u w:val="single"/>
                    </w:rPr>
                    <w:t>→</w:t>
                  </w:r>
                </w:p>
              </w:tc>
            </w:tr>
            <w:tr w14:paraId="35375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782BAF35">
                  <w:pPr>
                    <w:jc w:val="center"/>
                    <w:rPr>
                      <w:rFonts w:cs="Times New Roman"/>
                      <w:i/>
                      <w:iCs/>
                      <w:kern w:val="0"/>
                      <w:sz w:val="21"/>
                      <w:szCs w:val="21"/>
                      <w:u w:val="single"/>
                    </w:rPr>
                  </w:pPr>
                </w:p>
              </w:tc>
              <w:tc>
                <w:tcPr>
                  <w:tcW w:w="588" w:type="pct"/>
                  <w:vAlign w:val="center"/>
                </w:tcPr>
                <w:p w14:paraId="3EED7A6B">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377E1F95">
                  <w:pPr>
                    <w:jc w:val="center"/>
                    <w:rPr>
                      <w:rFonts w:cs="Times New Roman"/>
                      <w:i/>
                      <w:iCs/>
                      <w:kern w:val="0"/>
                      <w:sz w:val="21"/>
                      <w:szCs w:val="21"/>
                      <w:u w:val="single"/>
                    </w:rPr>
                  </w:pPr>
                </w:p>
              </w:tc>
              <w:tc>
                <w:tcPr>
                  <w:tcW w:w="648" w:type="pct"/>
                  <w:vAlign w:val="center"/>
                </w:tcPr>
                <w:p w14:paraId="7C8E6041">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7D0FA89A">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5CC41A0C">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6A28332C">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233FFFA5">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693F1C8E">
                  <w:pPr>
                    <w:jc w:val="center"/>
                    <w:rPr>
                      <w:rFonts w:cs="Times New Roman"/>
                      <w:i/>
                      <w:iCs/>
                      <w:kern w:val="0"/>
                      <w:sz w:val="21"/>
                      <w:szCs w:val="21"/>
                      <w:u w:val="single"/>
                    </w:rPr>
                  </w:pPr>
                  <w:r>
                    <w:rPr>
                      <w:rFonts w:cs="Times New Roman"/>
                      <w:i/>
                      <w:iCs/>
                      <w:kern w:val="0"/>
                      <w:sz w:val="21"/>
                      <w:szCs w:val="21"/>
                      <w:u w:val="single"/>
                    </w:rPr>
                    <w:t>→</w:t>
                  </w:r>
                </w:p>
              </w:tc>
            </w:tr>
            <w:tr w14:paraId="3EE78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restart"/>
                  <w:vAlign w:val="center"/>
                </w:tcPr>
                <w:p w14:paraId="432AF8A0">
                  <w:pPr>
                    <w:jc w:val="center"/>
                    <w:rPr>
                      <w:rFonts w:cs="Times New Roman"/>
                      <w:i/>
                      <w:iCs/>
                      <w:kern w:val="0"/>
                      <w:sz w:val="21"/>
                      <w:szCs w:val="21"/>
                      <w:u w:val="single"/>
                    </w:rPr>
                  </w:pPr>
                  <w:r>
                    <w:rPr>
                      <w:rFonts w:hint="eastAsia" w:cs="Times New Roman"/>
                      <w:i/>
                      <w:iCs/>
                      <w:kern w:val="0"/>
                      <w:sz w:val="21"/>
                      <w:szCs w:val="21"/>
                      <w:u w:val="single"/>
                    </w:rPr>
                    <w:t>2025.6</w:t>
                  </w:r>
                </w:p>
              </w:tc>
              <w:tc>
                <w:tcPr>
                  <w:tcW w:w="588" w:type="pct"/>
                  <w:vAlign w:val="center"/>
                </w:tcPr>
                <w:p w14:paraId="6290E85E">
                  <w:pPr>
                    <w:jc w:val="center"/>
                    <w:rPr>
                      <w:rFonts w:cs="Times New Roman"/>
                      <w:i/>
                      <w:iCs/>
                      <w:kern w:val="0"/>
                      <w:sz w:val="21"/>
                      <w:szCs w:val="21"/>
                      <w:u w:val="single"/>
                    </w:rPr>
                  </w:pPr>
                  <w:r>
                    <w:rPr>
                      <w:rFonts w:hint="eastAsia" w:cs="Times New Roman"/>
                      <w:i/>
                      <w:iCs/>
                      <w:kern w:val="0"/>
                      <w:sz w:val="21"/>
                      <w:szCs w:val="21"/>
                      <w:u w:val="single"/>
                    </w:rPr>
                    <w:t>白山市</w:t>
                  </w:r>
                </w:p>
              </w:tc>
              <w:tc>
                <w:tcPr>
                  <w:tcW w:w="483" w:type="pct"/>
                  <w:vMerge w:val="restart"/>
                  <w:vAlign w:val="center"/>
                </w:tcPr>
                <w:p w14:paraId="6C2F483F">
                  <w:pPr>
                    <w:jc w:val="center"/>
                    <w:rPr>
                      <w:rFonts w:cs="Times New Roman"/>
                      <w:i/>
                      <w:iCs/>
                      <w:kern w:val="0"/>
                      <w:sz w:val="21"/>
                      <w:szCs w:val="21"/>
                      <w:u w:val="single"/>
                    </w:rPr>
                  </w:pPr>
                  <w:r>
                    <w:rPr>
                      <w:rFonts w:hint="eastAsia" w:cs="Times New Roman"/>
                      <w:i/>
                      <w:iCs/>
                      <w:kern w:val="0"/>
                      <w:sz w:val="21"/>
                      <w:szCs w:val="21"/>
                      <w:u w:val="single"/>
                    </w:rPr>
                    <w:t>鸭绿江</w:t>
                  </w:r>
                </w:p>
              </w:tc>
              <w:tc>
                <w:tcPr>
                  <w:tcW w:w="648" w:type="pct"/>
                  <w:vAlign w:val="center"/>
                </w:tcPr>
                <w:p w14:paraId="6CF37A84">
                  <w:pPr>
                    <w:jc w:val="center"/>
                    <w:rPr>
                      <w:rFonts w:cs="Times New Roman"/>
                      <w:i/>
                      <w:iCs/>
                      <w:kern w:val="0"/>
                      <w:sz w:val="21"/>
                      <w:szCs w:val="21"/>
                      <w:u w:val="single"/>
                    </w:rPr>
                  </w:pPr>
                  <w:r>
                    <w:rPr>
                      <w:rFonts w:hint="eastAsia" w:cs="Times New Roman"/>
                      <w:i/>
                      <w:iCs/>
                      <w:kern w:val="0"/>
                      <w:sz w:val="21"/>
                      <w:szCs w:val="21"/>
                      <w:u w:val="single"/>
                    </w:rPr>
                    <w:t>葫芦套</w:t>
                  </w:r>
                </w:p>
              </w:tc>
              <w:tc>
                <w:tcPr>
                  <w:tcW w:w="540" w:type="pct"/>
                  <w:vAlign w:val="center"/>
                </w:tcPr>
                <w:p w14:paraId="53B00DDE">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2410D77D">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3527A815">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457" w:type="pct"/>
                  <w:vAlign w:val="center"/>
                </w:tcPr>
                <w:p w14:paraId="4D680705">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2AE2190B">
                  <w:pPr>
                    <w:jc w:val="center"/>
                    <w:rPr>
                      <w:rFonts w:cs="Times New Roman"/>
                      <w:i/>
                      <w:iCs/>
                      <w:kern w:val="0"/>
                      <w:sz w:val="21"/>
                      <w:szCs w:val="21"/>
                      <w:u w:val="single"/>
                    </w:rPr>
                  </w:pPr>
                  <w:r>
                    <w:rPr>
                      <w:rFonts w:cs="Times New Roman"/>
                      <w:i/>
                      <w:iCs/>
                      <w:kern w:val="0"/>
                      <w:sz w:val="21"/>
                      <w:szCs w:val="21"/>
                      <w:u w:val="single"/>
                    </w:rPr>
                    <w:t>→</w:t>
                  </w:r>
                </w:p>
              </w:tc>
            </w:tr>
            <w:tr w14:paraId="032EC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6" w:type="pct"/>
                  <w:vMerge w:val="continue"/>
                  <w:vAlign w:val="center"/>
                </w:tcPr>
                <w:p w14:paraId="43656937">
                  <w:pPr>
                    <w:jc w:val="center"/>
                    <w:rPr>
                      <w:rFonts w:cs="Times New Roman"/>
                      <w:i/>
                      <w:iCs/>
                      <w:kern w:val="0"/>
                      <w:sz w:val="21"/>
                      <w:szCs w:val="21"/>
                      <w:u w:val="single"/>
                    </w:rPr>
                  </w:pPr>
                </w:p>
              </w:tc>
              <w:tc>
                <w:tcPr>
                  <w:tcW w:w="588" w:type="pct"/>
                  <w:vAlign w:val="center"/>
                </w:tcPr>
                <w:p w14:paraId="24822AD7">
                  <w:pPr>
                    <w:jc w:val="center"/>
                    <w:rPr>
                      <w:rFonts w:cs="Times New Roman"/>
                      <w:i/>
                      <w:iCs/>
                      <w:kern w:val="0"/>
                      <w:sz w:val="21"/>
                      <w:szCs w:val="21"/>
                      <w:u w:val="single"/>
                    </w:rPr>
                  </w:pPr>
                  <w:r>
                    <w:rPr>
                      <w:rFonts w:hint="eastAsia" w:cs="Times New Roman"/>
                      <w:i/>
                      <w:iCs/>
                      <w:kern w:val="0"/>
                      <w:sz w:val="21"/>
                      <w:szCs w:val="21"/>
                      <w:u w:val="single"/>
                    </w:rPr>
                    <w:t>通化市</w:t>
                  </w:r>
                </w:p>
              </w:tc>
              <w:tc>
                <w:tcPr>
                  <w:tcW w:w="483" w:type="pct"/>
                  <w:vMerge w:val="continue"/>
                  <w:vAlign w:val="center"/>
                </w:tcPr>
                <w:p w14:paraId="30B23500">
                  <w:pPr>
                    <w:jc w:val="center"/>
                    <w:rPr>
                      <w:rFonts w:cs="Times New Roman"/>
                      <w:i/>
                      <w:iCs/>
                      <w:kern w:val="0"/>
                      <w:sz w:val="21"/>
                      <w:szCs w:val="21"/>
                      <w:u w:val="single"/>
                    </w:rPr>
                  </w:pPr>
                </w:p>
              </w:tc>
              <w:tc>
                <w:tcPr>
                  <w:tcW w:w="648" w:type="pct"/>
                  <w:vAlign w:val="center"/>
                </w:tcPr>
                <w:p w14:paraId="3FA811FF">
                  <w:pPr>
                    <w:jc w:val="center"/>
                    <w:rPr>
                      <w:rFonts w:cs="Times New Roman"/>
                      <w:i/>
                      <w:iCs/>
                      <w:kern w:val="0"/>
                      <w:sz w:val="21"/>
                      <w:szCs w:val="21"/>
                      <w:u w:val="single"/>
                    </w:rPr>
                  </w:pPr>
                  <w:r>
                    <w:rPr>
                      <w:rFonts w:hint="eastAsia" w:cs="Times New Roman"/>
                      <w:i/>
                      <w:iCs/>
                      <w:kern w:val="0"/>
                      <w:sz w:val="21"/>
                      <w:szCs w:val="21"/>
                      <w:u w:val="single"/>
                    </w:rPr>
                    <w:t>云峰</w:t>
                  </w:r>
                </w:p>
              </w:tc>
              <w:tc>
                <w:tcPr>
                  <w:tcW w:w="540" w:type="pct"/>
                  <w:vAlign w:val="center"/>
                </w:tcPr>
                <w:p w14:paraId="2DC74B0A">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594" w:type="pct"/>
                  <w:vAlign w:val="center"/>
                </w:tcPr>
                <w:p w14:paraId="51968B95">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Ⅱ</w:t>
                  </w:r>
                </w:p>
              </w:tc>
              <w:tc>
                <w:tcPr>
                  <w:tcW w:w="652" w:type="pct"/>
                  <w:vAlign w:val="center"/>
                </w:tcPr>
                <w:p w14:paraId="1775C1E0">
                  <w:pPr>
                    <w:jc w:val="center"/>
                    <w:rPr>
                      <w:rFonts w:hint="eastAsia" w:ascii="宋体" w:hAnsi="宋体" w:cs="宋体"/>
                      <w:i/>
                      <w:iCs/>
                      <w:kern w:val="0"/>
                      <w:sz w:val="21"/>
                      <w:szCs w:val="21"/>
                      <w:u w:val="single"/>
                    </w:rPr>
                  </w:pPr>
                  <w:r>
                    <w:rPr>
                      <w:rFonts w:hint="eastAsia" w:ascii="宋体" w:hAnsi="宋体" w:cs="宋体"/>
                      <w:i/>
                      <w:iCs/>
                      <w:kern w:val="0"/>
                      <w:sz w:val="21"/>
                      <w:szCs w:val="21"/>
                      <w:u w:val="single"/>
                    </w:rPr>
                    <w:t>Ⅰ</w:t>
                  </w:r>
                </w:p>
              </w:tc>
              <w:tc>
                <w:tcPr>
                  <w:tcW w:w="457" w:type="pct"/>
                  <w:vAlign w:val="center"/>
                </w:tcPr>
                <w:p w14:paraId="1B9B73B0">
                  <w:pPr>
                    <w:jc w:val="center"/>
                    <w:rPr>
                      <w:rFonts w:cs="Times New Roman"/>
                      <w:i/>
                      <w:iCs/>
                      <w:kern w:val="0"/>
                      <w:sz w:val="21"/>
                      <w:szCs w:val="21"/>
                      <w:u w:val="single"/>
                    </w:rPr>
                  </w:pPr>
                  <w:r>
                    <w:rPr>
                      <w:rFonts w:cs="Times New Roman"/>
                      <w:i/>
                      <w:iCs/>
                      <w:kern w:val="0"/>
                      <w:sz w:val="21"/>
                      <w:szCs w:val="21"/>
                      <w:u w:val="single"/>
                    </w:rPr>
                    <w:t>→</w:t>
                  </w:r>
                </w:p>
              </w:tc>
              <w:tc>
                <w:tcPr>
                  <w:tcW w:w="452" w:type="pct"/>
                  <w:vAlign w:val="center"/>
                </w:tcPr>
                <w:p w14:paraId="35B1DB17">
                  <w:pPr>
                    <w:jc w:val="center"/>
                    <w:rPr>
                      <w:rFonts w:cs="Times New Roman"/>
                      <w:i/>
                      <w:iCs/>
                      <w:kern w:val="0"/>
                      <w:sz w:val="21"/>
                      <w:szCs w:val="21"/>
                      <w:u w:val="single"/>
                    </w:rPr>
                  </w:pPr>
                  <w:r>
                    <w:rPr>
                      <w:rFonts w:cs="Times New Roman"/>
                      <w:i/>
                      <w:iCs/>
                      <w:kern w:val="0"/>
                      <w:sz w:val="21"/>
                      <w:szCs w:val="21"/>
                      <w:u w:val="single"/>
                    </w:rPr>
                    <w:t>→</w:t>
                  </w:r>
                </w:p>
              </w:tc>
            </w:tr>
          </w:tbl>
          <w:p w14:paraId="0F1DD522">
            <w:pPr>
              <w:spacing w:line="360" w:lineRule="auto"/>
              <w:ind w:firstLine="422" w:firstLineChars="200"/>
            </w:pPr>
            <w:r>
              <w:rPr>
                <w:rFonts w:cs="Times New Roman"/>
                <w:b/>
                <w:bCs/>
                <w:sz w:val="21"/>
                <w:szCs w:val="18"/>
              </w:rPr>
              <w:t>注： “↑”水质有所好转， “→”水质无明显变化，“↓”水质有所下降。</w:t>
            </w:r>
          </w:p>
          <w:p w14:paraId="631F61F2">
            <w:pPr>
              <w:spacing w:line="360" w:lineRule="auto"/>
              <w:ind w:firstLine="480" w:firstLineChars="200"/>
            </w:pPr>
          </w:p>
          <w:p w14:paraId="2760C3D1">
            <w:pPr>
              <w:spacing w:line="360" w:lineRule="auto"/>
              <w:ind w:firstLine="480" w:firstLineChars="200"/>
            </w:pPr>
            <w:r>
              <w:rPr>
                <w:rFonts w:hint="eastAsia"/>
              </w:rPr>
              <w:t>从上表内容可以看出，鸭绿江水质情况总体来说较为稳定，能够满足鸭绿江水环境功能类别的水质要求。</w:t>
            </w:r>
          </w:p>
          <w:p w14:paraId="101FF891">
            <w:pPr>
              <w:spacing w:line="360" w:lineRule="auto"/>
              <w:ind w:firstLine="480" w:firstLineChars="200"/>
            </w:pPr>
            <w:r>
              <w:rPr>
                <w:rFonts w:hint="eastAsia"/>
              </w:rPr>
              <w:t>2、补充监测</w:t>
            </w:r>
          </w:p>
          <w:p w14:paraId="6EABA7CC">
            <w:pPr>
              <w:spacing w:line="360" w:lineRule="auto"/>
              <w:ind w:firstLine="480" w:firstLineChars="200"/>
            </w:pPr>
            <w:r>
              <w:rPr>
                <w:rFonts w:hint="eastAsia"/>
              </w:rPr>
              <w:t>（1）补充监测点位</w:t>
            </w:r>
          </w:p>
          <w:p w14:paraId="5ED80F4E">
            <w:pPr>
              <w:spacing w:line="360" w:lineRule="auto"/>
              <w:ind w:firstLine="480" w:firstLineChars="200"/>
            </w:pPr>
            <w:r>
              <w:rPr>
                <w:rFonts w:hint="eastAsia"/>
              </w:rPr>
              <w:t>本次评价针对本工程所在河段水质进行监测，于鸭绿江共布设2个监测断面。具体如下表所示：</w:t>
            </w:r>
          </w:p>
          <w:p w14:paraId="175BC6A6">
            <w:pPr>
              <w:spacing w:line="360" w:lineRule="auto"/>
              <w:ind w:firstLine="480" w:firstLineChars="200"/>
            </w:pPr>
          </w:p>
          <w:p w14:paraId="1A6037BF">
            <w:pPr>
              <w:jc w:val="center"/>
              <w:rPr>
                <w:b/>
              </w:rPr>
            </w:pPr>
            <w:r>
              <w:rPr>
                <w:rFonts w:hint="eastAsia" w:hAnsi="宋体"/>
                <w:b/>
              </w:rPr>
              <w:t xml:space="preserve">表39    </w:t>
            </w:r>
            <w:r>
              <w:rPr>
                <w:rFonts w:hAnsi="宋体"/>
                <w:b/>
              </w:rPr>
              <w:t>地</w:t>
            </w:r>
            <w:r>
              <w:rPr>
                <w:rFonts w:hint="eastAsia" w:hAnsi="宋体"/>
                <w:b/>
              </w:rPr>
              <w:t>表</w:t>
            </w:r>
            <w:r>
              <w:rPr>
                <w:rFonts w:hAnsi="宋体"/>
                <w:b/>
              </w:rPr>
              <w:t>水环境现状监测点布设情况一览表</w:t>
            </w:r>
          </w:p>
          <w:tbl>
            <w:tblPr>
              <w:tblStyle w:val="17"/>
              <w:tblW w:w="5000" w:type="pct"/>
              <w:tblInd w:w="0" w:type="dxa"/>
              <w:tblBorders>
                <w:top w:val="single" w:color="auto" w:sz="12"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96"/>
              <w:gridCol w:w="2591"/>
              <w:gridCol w:w="4198"/>
            </w:tblGrid>
            <w:tr w14:paraId="5CF0932F">
              <w:tblPrEx>
                <w:tblBorders>
                  <w:top w:val="single" w:color="auto"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trPr>
              <w:tc>
                <w:tcPr>
                  <w:tcW w:w="695" w:type="pct"/>
                  <w:shd w:val="clear" w:color="auto" w:fill="FFFFFF"/>
                  <w:vAlign w:val="center"/>
                </w:tcPr>
                <w:p w14:paraId="784756DA">
                  <w:pPr>
                    <w:pStyle w:val="11"/>
                    <w:spacing w:before="0" w:after="0" w:line="240" w:lineRule="auto"/>
                    <w:ind w:right="0"/>
                    <w:jc w:val="center"/>
                    <w:rPr>
                      <w:sz w:val="21"/>
                      <w:szCs w:val="21"/>
                    </w:rPr>
                  </w:pPr>
                  <w:r>
                    <w:rPr>
                      <w:rFonts w:ascii="宋体" w:hAnsi="宋体"/>
                      <w:sz w:val="21"/>
                      <w:szCs w:val="21"/>
                    </w:rPr>
                    <w:t>采样点</w:t>
                  </w:r>
                </w:p>
              </w:tc>
              <w:tc>
                <w:tcPr>
                  <w:tcW w:w="1643" w:type="pct"/>
                  <w:shd w:val="clear" w:color="auto" w:fill="FFFFFF"/>
                  <w:vAlign w:val="center"/>
                </w:tcPr>
                <w:p w14:paraId="63DBD970">
                  <w:pPr>
                    <w:pStyle w:val="11"/>
                    <w:spacing w:before="0" w:after="0" w:line="240" w:lineRule="auto"/>
                    <w:ind w:right="0"/>
                    <w:jc w:val="center"/>
                    <w:rPr>
                      <w:sz w:val="21"/>
                      <w:szCs w:val="21"/>
                    </w:rPr>
                  </w:pPr>
                  <w:r>
                    <w:rPr>
                      <w:rFonts w:hint="eastAsia"/>
                      <w:sz w:val="21"/>
                      <w:szCs w:val="21"/>
                    </w:rPr>
                    <w:t>监测点位</w:t>
                  </w:r>
                </w:p>
              </w:tc>
              <w:tc>
                <w:tcPr>
                  <w:tcW w:w="2662" w:type="pct"/>
                  <w:shd w:val="clear" w:color="auto" w:fill="FFFFFF"/>
                  <w:vAlign w:val="center"/>
                </w:tcPr>
                <w:p w14:paraId="04317B6D">
                  <w:pPr>
                    <w:pStyle w:val="11"/>
                    <w:spacing w:before="0" w:after="0" w:line="240" w:lineRule="auto"/>
                    <w:ind w:right="0"/>
                    <w:jc w:val="center"/>
                    <w:rPr>
                      <w:rFonts w:hint="eastAsia" w:ascii="宋体" w:hAnsi="宋体"/>
                      <w:sz w:val="21"/>
                      <w:szCs w:val="21"/>
                    </w:rPr>
                  </w:pPr>
                  <w:r>
                    <w:rPr>
                      <w:rFonts w:hint="eastAsia" w:ascii="宋体" w:hAnsi="宋体"/>
                      <w:sz w:val="21"/>
                      <w:szCs w:val="21"/>
                    </w:rPr>
                    <w:t>位置坐标</w:t>
                  </w:r>
                </w:p>
              </w:tc>
            </w:tr>
            <w:tr w14:paraId="1E319BDA">
              <w:tblPrEx>
                <w:tblBorders>
                  <w:top w:val="single" w:color="auto"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95" w:type="pct"/>
                  <w:shd w:val="clear" w:color="auto" w:fill="FFFFFF"/>
                  <w:vAlign w:val="center"/>
                </w:tcPr>
                <w:p w14:paraId="144B53DC">
                  <w:pPr>
                    <w:pStyle w:val="11"/>
                    <w:spacing w:before="0" w:after="0" w:line="240" w:lineRule="auto"/>
                    <w:ind w:right="0"/>
                    <w:jc w:val="center"/>
                    <w:rPr>
                      <w:sz w:val="21"/>
                      <w:szCs w:val="21"/>
                    </w:rPr>
                  </w:pPr>
                  <w:r>
                    <w:rPr>
                      <w:sz w:val="21"/>
                      <w:szCs w:val="21"/>
                    </w:rPr>
                    <w:t>1#</w:t>
                  </w:r>
                </w:p>
              </w:tc>
              <w:tc>
                <w:tcPr>
                  <w:tcW w:w="1643" w:type="pct"/>
                  <w:shd w:val="clear" w:color="auto" w:fill="FFFFFF"/>
                  <w:vAlign w:val="center"/>
                </w:tcPr>
                <w:p w14:paraId="28DCD3F9">
                  <w:pPr>
                    <w:pStyle w:val="44"/>
                    <w:rPr>
                      <w:rFonts w:ascii="宋体" w:eastAsia="宋体"/>
                      <w:szCs w:val="21"/>
                    </w:rPr>
                  </w:pPr>
                  <w:r>
                    <w:rPr>
                      <w:rFonts w:hint="eastAsia" w:ascii="宋体" w:eastAsia="宋体"/>
                      <w:szCs w:val="21"/>
                    </w:rPr>
                    <w:t>本项目上游500m处</w:t>
                  </w:r>
                </w:p>
              </w:tc>
              <w:tc>
                <w:tcPr>
                  <w:tcW w:w="2662" w:type="pct"/>
                  <w:shd w:val="clear" w:color="auto" w:fill="FFFFFF"/>
                  <w:vAlign w:val="center"/>
                </w:tcPr>
                <w:p w14:paraId="3ABCC203">
                  <w:pPr>
                    <w:pStyle w:val="44"/>
                    <w:rPr>
                      <w:rFonts w:ascii="宋体" w:eastAsia="宋体"/>
                      <w:szCs w:val="21"/>
                    </w:rPr>
                  </w:pPr>
                  <w:r>
                    <w:rPr>
                      <w:rFonts w:hint="eastAsia"/>
                      <w:szCs w:val="21"/>
                    </w:rPr>
                    <w:t>126°50′49.950″</w:t>
                  </w:r>
                  <w:r>
                    <w:rPr>
                      <w:rFonts w:hint="eastAsia" w:eastAsia="等线"/>
                      <w:szCs w:val="21"/>
                    </w:rPr>
                    <w:t>E，</w:t>
                  </w:r>
                  <w:r>
                    <w:rPr>
                      <w:rFonts w:hint="eastAsia"/>
                      <w:szCs w:val="21"/>
                    </w:rPr>
                    <w:t>41°44′40.548″</w:t>
                  </w:r>
                  <w:r>
                    <w:rPr>
                      <w:rFonts w:hint="eastAsia" w:eastAsia="宋体"/>
                      <w:szCs w:val="21"/>
                    </w:rPr>
                    <w:t>N</w:t>
                  </w:r>
                </w:p>
              </w:tc>
            </w:tr>
            <w:tr w14:paraId="7826D7B1">
              <w:tblPrEx>
                <w:tblBorders>
                  <w:top w:val="single" w:color="auto"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95" w:type="pct"/>
                  <w:shd w:val="clear" w:color="auto" w:fill="FFFFFF"/>
                  <w:vAlign w:val="center"/>
                </w:tcPr>
                <w:p w14:paraId="7034C8CB">
                  <w:pPr>
                    <w:pStyle w:val="11"/>
                    <w:spacing w:before="0" w:after="0" w:line="240" w:lineRule="auto"/>
                    <w:ind w:right="0"/>
                    <w:jc w:val="center"/>
                    <w:rPr>
                      <w:sz w:val="21"/>
                      <w:szCs w:val="21"/>
                    </w:rPr>
                  </w:pPr>
                  <w:r>
                    <w:rPr>
                      <w:rFonts w:hint="eastAsia"/>
                      <w:sz w:val="21"/>
                      <w:szCs w:val="21"/>
                    </w:rPr>
                    <w:t>2</w:t>
                  </w:r>
                  <w:r>
                    <w:rPr>
                      <w:sz w:val="21"/>
                      <w:szCs w:val="21"/>
                    </w:rPr>
                    <w:t>#</w:t>
                  </w:r>
                </w:p>
              </w:tc>
              <w:tc>
                <w:tcPr>
                  <w:tcW w:w="1643" w:type="pct"/>
                  <w:shd w:val="clear" w:color="auto" w:fill="FFFFFF"/>
                  <w:vAlign w:val="center"/>
                </w:tcPr>
                <w:p w14:paraId="34080257">
                  <w:pPr>
                    <w:pStyle w:val="44"/>
                    <w:rPr>
                      <w:rFonts w:ascii="宋体" w:eastAsia="宋体"/>
                      <w:szCs w:val="21"/>
                    </w:rPr>
                  </w:pPr>
                  <w:r>
                    <w:rPr>
                      <w:rFonts w:hint="eastAsia" w:ascii="宋体" w:eastAsia="宋体"/>
                      <w:szCs w:val="21"/>
                    </w:rPr>
                    <w:t>本项目下游1000m处</w:t>
                  </w:r>
                </w:p>
              </w:tc>
              <w:tc>
                <w:tcPr>
                  <w:tcW w:w="2662" w:type="pct"/>
                  <w:shd w:val="clear" w:color="auto" w:fill="FFFFFF"/>
                  <w:vAlign w:val="center"/>
                </w:tcPr>
                <w:p w14:paraId="324EA158">
                  <w:pPr>
                    <w:pStyle w:val="44"/>
                    <w:rPr>
                      <w:szCs w:val="21"/>
                    </w:rPr>
                  </w:pPr>
                  <w:r>
                    <w:rPr>
                      <w:rFonts w:hint="eastAsia"/>
                      <w:szCs w:val="21"/>
                    </w:rPr>
                    <w:t>126°50′30.792″</w:t>
                  </w:r>
                  <w:r>
                    <w:rPr>
                      <w:rFonts w:hint="eastAsia" w:eastAsia="等线"/>
                      <w:szCs w:val="21"/>
                    </w:rPr>
                    <w:t>E，</w:t>
                  </w:r>
                  <w:r>
                    <w:rPr>
                      <w:rFonts w:hint="eastAsia"/>
                      <w:szCs w:val="21"/>
                    </w:rPr>
                    <w:t>41°43′41.232″</w:t>
                  </w:r>
                  <w:r>
                    <w:rPr>
                      <w:rFonts w:hint="eastAsia" w:eastAsia="宋体"/>
                      <w:szCs w:val="21"/>
                    </w:rPr>
                    <w:t>N</w:t>
                  </w:r>
                </w:p>
              </w:tc>
            </w:tr>
          </w:tbl>
          <w:p w14:paraId="60358C6D">
            <w:pPr>
              <w:spacing w:line="360" w:lineRule="auto"/>
              <w:ind w:firstLine="480" w:firstLineChars="200"/>
            </w:pPr>
          </w:p>
          <w:p w14:paraId="01DE0B2D">
            <w:pPr>
              <w:spacing w:line="360" w:lineRule="auto"/>
              <w:ind w:firstLine="480" w:firstLineChars="200"/>
            </w:pPr>
            <w:r>
              <w:rPr>
                <w:rFonts w:hint="eastAsia"/>
              </w:rPr>
              <w:t>（2）监测项目</w:t>
            </w:r>
          </w:p>
          <w:p w14:paraId="526AC5D5">
            <w:pPr>
              <w:spacing w:line="360" w:lineRule="auto"/>
              <w:ind w:firstLine="480" w:firstLineChars="200"/>
            </w:pPr>
            <w:r>
              <w:rPr>
                <w:rFonts w:hint="eastAsia"/>
              </w:rPr>
              <w:t>监测项目选择pH值、COD、BOD</w:t>
            </w:r>
            <w:r>
              <w:rPr>
                <w:rFonts w:hint="eastAsia"/>
                <w:vertAlign w:val="subscript"/>
              </w:rPr>
              <w:t>5</w:t>
            </w:r>
            <w:r>
              <w:rPr>
                <w:rFonts w:hint="eastAsia"/>
              </w:rPr>
              <w:t>、氨氮、总磷、总氮、石油类、SS，共8项。</w:t>
            </w:r>
          </w:p>
          <w:p w14:paraId="252FA4C2">
            <w:pPr>
              <w:spacing w:line="360" w:lineRule="auto"/>
              <w:ind w:firstLine="480" w:firstLineChars="200"/>
            </w:pPr>
            <w:r>
              <w:rPr>
                <w:rFonts w:hint="eastAsia"/>
              </w:rPr>
              <w:t>（3）监测时间及频次</w:t>
            </w:r>
          </w:p>
          <w:p w14:paraId="7C62FC39">
            <w:pPr>
              <w:spacing w:line="360" w:lineRule="auto"/>
              <w:ind w:firstLine="480" w:firstLineChars="200"/>
            </w:pPr>
            <w:r>
              <w:rPr>
                <w:rFonts w:hint="eastAsia"/>
              </w:rPr>
              <w:t>吉林省奥洋环保科技有限公司于2025年10月监测3天，每天一次。</w:t>
            </w:r>
          </w:p>
          <w:p w14:paraId="3CF33207">
            <w:pPr>
              <w:spacing w:line="360" w:lineRule="auto"/>
              <w:ind w:firstLine="480" w:firstLineChars="200"/>
            </w:pPr>
            <w:r>
              <w:rPr>
                <w:rFonts w:hint="eastAsia"/>
              </w:rPr>
              <w:t>（4）评价标准</w:t>
            </w:r>
          </w:p>
          <w:p w14:paraId="6431D22F">
            <w:pPr>
              <w:spacing w:line="360" w:lineRule="auto"/>
              <w:ind w:firstLine="480" w:firstLineChars="200"/>
            </w:pPr>
            <w:r>
              <w:rPr>
                <w:rFonts w:hint="eastAsia"/>
              </w:rPr>
              <w:t>鸭绿江采用《地表水环境质量标准》（GB 3838-2002）中Ⅲ类标准。</w:t>
            </w:r>
          </w:p>
          <w:p w14:paraId="081B4317">
            <w:pPr>
              <w:spacing w:line="360" w:lineRule="auto"/>
              <w:ind w:firstLine="480" w:firstLineChars="200"/>
            </w:pPr>
            <w:r>
              <w:rPr>
                <w:rFonts w:hint="eastAsia"/>
              </w:rPr>
              <w:t>（5）监测结果</w:t>
            </w:r>
          </w:p>
          <w:p w14:paraId="0BCD5A9B">
            <w:pPr>
              <w:spacing w:line="360" w:lineRule="auto"/>
              <w:ind w:firstLine="480" w:firstLineChars="200"/>
            </w:pPr>
            <w:r>
              <w:rPr>
                <w:rFonts w:hint="eastAsia"/>
              </w:rPr>
              <w:t>本次监测结果详见下表：</w:t>
            </w:r>
          </w:p>
          <w:p w14:paraId="0284C94B">
            <w:pPr>
              <w:spacing w:line="360" w:lineRule="auto"/>
              <w:ind w:firstLine="480" w:firstLineChars="200"/>
            </w:pPr>
          </w:p>
          <w:p w14:paraId="7C6BF17F">
            <w:pPr>
              <w:spacing w:line="360" w:lineRule="auto"/>
              <w:ind w:firstLine="482" w:firstLineChars="200"/>
              <w:jc w:val="right"/>
            </w:pPr>
            <w:r>
              <w:rPr>
                <w:rFonts w:hint="eastAsia"/>
                <w:b/>
                <w:bCs/>
              </w:rPr>
              <w:t xml:space="preserve">表40      鸭绿江现状监测结果一览表  </w:t>
            </w:r>
            <w:r>
              <w:rPr>
                <w:rFonts w:hint="eastAsia"/>
              </w:rPr>
              <w:t>单位：mg/L，Ph无量纲</w:t>
            </w:r>
          </w:p>
          <w:tbl>
            <w:tblPr>
              <w:tblStyle w:val="5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126"/>
              <w:gridCol w:w="1128"/>
              <w:gridCol w:w="1128"/>
              <w:gridCol w:w="1128"/>
              <w:gridCol w:w="1128"/>
              <w:gridCol w:w="1123"/>
            </w:tblGrid>
            <w:tr w14:paraId="43F59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13" w:type="pct"/>
                  <w:vMerge w:val="restart"/>
                  <w:vAlign w:val="center"/>
                </w:tcPr>
                <w:p w14:paraId="2D80B610">
                  <w:pPr>
                    <w:ind w:firstLine="420" w:firstLineChars="200"/>
                    <w:rPr>
                      <w:rFonts w:cs="Times New Roman"/>
                      <w:kern w:val="0"/>
                      <w:sz w:val="21"/>
                      <w:szCs w:val="21"/>
                    </w:rPr>
                  </w:pPr>
                  <w:r>
                    <w:rPr>
                      <w:rFonts w:hint="eastAsia" w:cs="Times New Roman"/>
                      <w:kern w:val="0"/>
                      <w:sz w:val="21"/>
                      <w:szCs w:val="21"/>
                    </w:rPr>
                    <w:t>日期</w:t>
                  </w:r>
                </w:p>
                <w:p w14:paraId="604F9B42">
                  <w:pPr>
                    <w:ind w:firstLine="420" w:firstLineChars="200"/>
                    <w:rPr>
                      <w:rFonts w:cs="Times New Roman"/>
                      <w:kern w:val="0"/>
                      <w:sz w:val="21"/>
                      <w:szCs w:val="21"/>
                    </w:rPr>
                  </w:pPr>
                  <w:r>
                    <w:rPr>
                      <w:rFonts w:hint="eastAsia" w:cs="Times New Roman"/>
                      <w:kern w:val="0"/>
                      <w:sz w:val="21"/>
                      <w:szCs w:val="21"/>
                    </w:rPr>
                    <w:t>点位</w:t>
                  </w:r>
                </w:p>
                <w:p w14:paraId="67C835D3">
                  <w:pPr>
                    <w:jc w:val="center"/>
                    <w:rPr>
                      <w:rFonts w:cs="Times New Roman"/>
                      <w:kern w:val="0"/>
                      <w:sz w:val="21"/>
                      <w:szCs w:val="21"/>
                    </w:rPr>
                  </w:pPr>
                  <w:r>
                    <w:rPr>
                      <w:rFonts w:hint="eastAsia" w:cs="Times New Roman"/>
                      <w:kern w:val="0"/>
                      <w:sz w:val="21"/>
                      <w:szCs w:val="21"/>
                    </w:rPr>
                    <w:t>监测因子</w:t>
                  </w:r>
                </w:p>
              </w:tc>
              <w:tc>
                <w:tcPr>
                  <w:tcW w:w="1429" w:type="pct"/>
                  <w:gridSpan w:val="2"/>
                  <w:vAlign w:val="center"/>
                </w:tcPr>
                <w:p w14:paraId="6D1EA946">
                  <w:pPr>
                    <w:jc w:val="center"/>
                    <w:rPr>
                      <w:rFonts w:cs="Times New Roman"/>
                      <w:kern w:val="0"/>
                      <w:sz w:val="21"/>
                      <w:szCs w:val="21"/>
                    </w:rPr>
                  </w:pPr>
                  <w:r>
                    <w:rPr>
                      <w:rFonts w:hint="eastAsia" w:cs="Times New Roman"/>
                      <w:kern w:val="0"/>
                      <w:sz w:val="21"/>
                      <w:szCs w:val="21"/>
                    </w:rPr>
                    <w:t>2025.10.3</w:t>
                  </w:r>
                </w:p>
              </w:tc>
              <w:tc>
                <w:tcPr>
                  <w:tcW w:w="1430" w:type="pct"/>
                  <w:gridSpan w:val="2"/>
                  <w:vAlign w:val="center"/>
                </w:tcPr>
                <w:p w14:paraId="56A5CC14">
                  <w:pPr>
                    <w:jc w:val="center"/>
                    <w:rPr>
                      <w:rFonts w:cs="Times New Roman"/>
                      <w:kern w:val="0"/>
                      <w:sz w:val="21"/>
                      <w:szCs w:val="21"/>
                    </w:rPr>
                  </w:pPr>
                  <w:r>
                    <w:rPr>
                      <w:rFonts w:hint="eastAsia" w:cs="Times New Roman"/>
                      <w:kern w:val="0"/>
                      <w:sz w:val="21"/>
                      <w:szCs w:val="21"/>
                    </w:rPr>
                    <w:t>2025.10.4</w:t>
                  </w:r>
                </w:p>
              </w:tc>
              <w:tc>
                <w:tcPr>
                  <w:tcW w:w="1427" w:type="pct"/>
                  <w:gridSpan w:val="2"/>
                  <w:vAlign w:val="center"/>
                </w:tcPr>
                <w:p w14:paraId="6D1706E2">
                  <w:pPr>
                    <w:jc w:val="center"/>
                    <w:rPr>
                      <w:rFonts w:cs="Times New Roman"/>
                      <w:kern w:val="0"/>
                      <w:sz w:val="21"/>
                      <w:szCs w:val="21"/>
                    </w:rPr>
                  </w:pPr>
                  <w:r>
                    <w:rPr>
                      <w:rFonts w:hint="eastAsia" w:cs="Times New Roman"/>
                      <w:kern w:val="0"/>
                      <w:sz w:val="21"/>
                      <w:szCs w:val="21"/>
                    </w:rPr>
                    <w:t>2025.10.5</w:t>
                  </w:r>
                </w:p>
              </w:tc>
            </w:tr>
            <w:tr w14:paraId="31BDC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Merge w:val="continue"/>
                  <w:vAlign w:val="center"/>
                </w:tcPr>
                <w:p w14:paraId="3FCBB615">
                  <w:pPr>
                    <w:jc w:val="center"/>
                    <w:rPr>
                      <w:rFonts w:cs="Times New Roman"/>
                      <w:kern w:val="0"/>
                      <w:sz w:val="21"/>
                      <w:szCs w:val="21"/>
                    </w:rPr>
                  </w:pPr>
                </w:p>
              </w:tc>
              <w:tc>
                <w:tcPr>
                  <w:tcW w:w="714" w:type="pct"/>
                  <w:vAlign w:val="center"/>
                </w:tcPr>
                <w:p w14:paraId="05151DD9">
                  <w:pPr>
                    <w:jc w:val="center"/>
                    <w:rPr>
                      <w:rFonts w:cs="Times New Roman"/>
                      <w:kern w:val="0"/>
                      <w:sz w:val="21"/>
                      <w:szCs w:val="21"/>
                    </w:rPr>
                  </w:pPr>
                  <w:r>
                    <w:rPr>
                      <w:rFonts w:hint="eastAsia" w:cs="Times New Roman"/>
                      <w:kern w:val="0"/>
                      <w:sz w:val="21"/>
                      <w:szCs w:val="21"/>
                    </w:rPr>
                    <w:t>本项目上游500m处</w:t>
                  </w:r>
                </w:p>
              </w:tc>
              <w:tc>
                <w:tcPr>
                  <w:tcW w:w="715" w:type="pct"/>
                  <w:vAlign w:val="center"/>
                </w:tcPr>
                <w:p w14:paraId="1626B59F">
                  <w:pPr>
                    <w:jc w:val="center"/>
                    <w:rPr>
                      <w:rFonts w:cs="Times New Roman"/>
                      <w:kern w:val="0"/>
                      <w:sz w:val="21"/>
                      <w:szCs w:val="21"/>
                    </w:rPr>
                  </w:pPr>
                  <w:r>
                    <w:rPr>
                      <w:rFonts w:hint="eastAsia" w:cs="Times New Roman"/>
                      <w:kern w:val="0"/>
                      <w:sz w:val="21"/>
                      <w:szCs w:val="21"/>
                    </w:rPr>
                    <w:t>本项目下游1000m处</w:t>
                  </w:r>
                </w:p>
              </w:tc>
              <w:tc>
                <w:tcPr>
                  <w:tcW w:w="715" w:type="pct"/>
                  <w:vAlign w:val="center"/>
                </w:tcPr>
                <w:p w14:paraId="6612598B">
                  <w:pPr>
                    <w:jc w:val="center"/>
                    <w:rPr>
                      <w:rFonts w:cs="Times New Roman"/>
                      <w:kern w:val="0"/>
                      <w:sz w:val="21"/>
                      <w:szCs w:val="21"/>
                    </w:rPr>
                  </w:pPr>
                  <w:r>
                    <w:rPr>
                      <w:rFonts w:hint="eastAsia" w:cs="Times New Roman"/>
                      <w:kern w:val="0"/>
                      <w:sz w:val="21"/>
                      <w:szCs w:val="21"/>
                    </w:rPr>
                    <w:t>本项目上游500m处</w:t>
                  </w:r>
                </w:p>
              </w:tc>
              <w:tc>
                <w:tcPr>
                  <w:tcW w:w="715" w:type="pct"/>
                  <w:vAlign w:val="center"/>
                </w:tcPr>
                <w:p w14:paraId="69021FF5">
                  <w:pPr>
                    <w:jc w:val="center"/>
                    <w:rPr>
                      <w:rFonts w:cs="Times New Roman"/>
                      <w:kern w:val="0"/>
                      <w:sz w:val="21"/>
                      <w:szCs w:val="21"/>
                    </w:rPr>
                  </w:pPr>
                  <w:r>
                    <w:rPr>
                      <w:rFonts w:hint="eastAsia" w:cs="Times New Roman"/>
                      <w:kern w:val="0"/>
                      <w:sz w:val="21"/>
                      <w:szCs w:val="21"/>
                    </w:rPr>
                    <w:t>本项目下游1000m处</w:t>
                  </w:r>
                </w:p>
              </w:tc>
              <w:tc>
                <w:tcPr>
                  <w:tcW w:w="715" w:type="pct"/>
                  <w:vAlign w:val="center"/>
                </w:tcPr>
                <w:p w14:paraId="1190DA84">
                  <w:pPr>
                    <w:jc w:val="center"/>
                    <w:rPr>
                      <w:rFonts w:cs="Times New Roman"/>
                      <w:kern w:val="0"/>
                      <w:sz w:val="21"/>
                      <w:szCs w:val="21"/>
                    </w:rPr>
                  </w:pPr>
                  <w:r>
                    <w:rPr>
                      <w:rFonts w:hint="eastAsia" w:cs="Times New Roman"/>
                      <w:kern w:val="0"/>
                      <w:sz w:val="21"/>
                      <w:szCs w:val="21"/>
                    </w:rPr>
                    <w:t>本项目上游500m处</w:t>
                  </w:r>
                </w:p>
              </w:tc>
              <w:tc>
                <w:tcPr>
                  <w:tcW w:w="712" w:type="pct"/>
                  <w:vAlign w:val="center"/>
                </w:tcPr>
                <w:p w14:paraId="7D1BABA1">
                  <w:pPr>
                    <w:jc w:val="center"/>
                    <w:rPr>
                      <w:rFonts w:cs="Times New Roman"/>
                      <w:kern w:val="0"/>
                      <w:sz w:val="21"/>
                      <w:szCs w:val="21"/>
                    </w:rPr>
                  </w:pPr>
                  <w:r>
                    <w:rPr>
                      <w:rFonts w:hint="eastAsia" w:cs="Times New Roman"/>
                      <w:kern w:val="0"/>
                      <w:sz w:val="21"/>
                      <w:szCs w:val="21"/>
                    </w:rPr>
                    <w:t>本项目下游1000m处</w:t>
                  </w:r>
                </w:p>
              </w:tc>
            </w:tr>
            <w:tr w14:paraId="07296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58ECCA6D">
                  <w:pPr>
                    <w:jc w:val="center"/>
                    <w:rPr>
                      <w:rFonts w:cs="Times New Roman"/>
                      <w:kern w:val="0"/>
                      <w:sz w:val="21"/>
                      <w:szCs w:val="21"/>
                    </w:rPr>
                  </w:pPr>
                  <w:r>
                    <w:rPr>
                      <w:rFonts w:cs="Times New Roman"/>
                      <w:kern w:val="0"/>
                      <w:sz w:val="21"/>
                      <w:szCs w:val="21"/>
                    </w:rPr>
                    <w:t>pH</w:t>
                  </w:r>
                </w:p>
              </w:tc>
              <w:tc>
                <w:tcPr>
                  <w:tcW w:w="714" w:type="pct"/>
                  <w:vAlign w:val="center"/>
                </w:tcPr>
                <w:p w14:paraId="0F1EA67F">
                  <w:pPr>
                    <w:jc w:val="center"/>
                    <w:rPr>
                      <w:rFonts w:cs="Times New Roman"/>
                      <w:kern w:val="0"/>
                      <w:sz w:val="21"/>
                      <w:szCs w:val="21"/>
                    </w:rPr>
                  </w:pPr>
                  <w:r>
                    <w:rPr>
                      <w:rFonts w:hint="eastAsia" w:cs="Times New Roman"/>
                      <w:kern w:val="0"/>
                      <w:sz w:val="21"/>
                      <w:szCs w:val="21"/>
                    </w:rPr>
                    <w:t>7.0</w:t>
                  </w:r>
                </w:p>
              </w:tc>
              <w:tc>
                <w:tcPr>
                  <w:tcW w:w="715" w:type="pct"/>
                  <w:vAlign w:val="center"/>
                </w:tcPr>
                <w:p w14:paraId="25E60305">
                  <w:pPr>
                    <w:jc w:val="center"/>
                    <w:rPr>
                      <w:rFonts w:cs="Times New Roman"/>
                      <w:kern w:val="0"/>
                      <w:sz w:val="21"/>
                      <w:szCs w:val="21"/>
                    </w:rPr>
                  </w:pPr>
                  <w:r>
                    <w:rPr>
                      <w:rFonts w:hint="eastAsia" w:cs="Times New Roman"/>
                      <w:kern w:val="0"/>
                      <w:sz w:val="21"/>
                      <w:szCs w:val="21"/>
                    </w:rPr>
                    <w:t>6.9</w:t>
                  </w:r>
                </w:p>
              </w:tc>
              <w:tc>
                <w:tcPr>
                  <w:tcW w:w="715" w:type="pct"/>
                  <w:vAlign w:val="center"/>
                </w:tcPr>
                <w:p w14:paraId="040EA917">
                  <w:pPr>
                    <w:jc w:val="center"/>
                    <w:rPr>
                      <w:rFonts w:cs="Times New Roman"/>
                      <w:kern w:val="0"/>
                      <w:sz w:val="21"/>
                      <w:szCs w:val="21"/>
                    </w:rPr>
                  </w:pPr>
                  <w:r>
                    <w:rPr>
                      <w:rFonts w:hint="eastAsia" w:cs="Times New Roman"/>
                      <w:kern w:val="0"/>
                      <w:sz w:val="21"/>
                      <w:szCs w:val="21"/>
                    </w:rPr>
                    <w:t>7.0</w:t>
                  </w:r>
                </w:p>
              </w:tc>
              <w:tc>
                <w:tcPr>
                  <w:tcW w:w="715" w:type="pct"/>
                  <w:vAlign w:val="center"/>
                </w:tcPr>
                <w:p w14:paraId="41799BC4">
                  <w:pPr>
                    <w:jc w:val="center"/>
                    <w:rPr>
                      <w:rFonts w:cs="Times New Roman"/>
                      <w:kern w:val="0"/>
                      <w:sz w:val="21"/>
                      <w:szCs w:val="21"/>
                    </w:rPr>
                  </w:pPr>
                  <w:r>
                    <w:rPr>
                      <w:rFonts w:hint="eastAsia" w:cs="Times New Roman"/>
                      <w:kern w:val="0"/>
                      <w:sz w:val="21"/>
                      <w:szCs w:val="21"/>
                    </w:rPr>
                    <w:t>6.9</w:t>
                  </w:r>
                </w:p>
              </w:tc>
              <w:tc>
                <w:tcPr>
                  <w:tcW w:w="715" w:type="pct"/>
                  <w:vAlign w:val="center"/>
                </w:tcPr>
                <w:p w14:paraId="715981D2">
                  <w:pPr>
                    <w:jc w:val="center"/>
                    <w:rPr>
                      <w:rFonts w:cs="Times New Roman"/>
                      <w:kern w:val="0"/>
                      <w:sz w:val="21"/>
                      <w:szCs w:val="21"/>
                    </w:rPr>
                  </w:pPr>
                  <w:r>
                    <w:rPr>
                      <w:rFonts w:hint="eastAsia" w:cs="Times New Roman"/>
                      <w:kern w:val="0"/>
                      <w:sz w:val="21"/>
                      <w:szCs w:val="21"/>
                    </w:rPr>
                    <w:t>6.9</w:t>
                  </w:r>
                </w:p>
              </w:tc>
              <w:tc>
                <w:tcPr>
                  <w:tcW w:w="712" w:type="pct"/>
                  <w:vAlign w:val="center"/>
                </w:tcPr>
                <w:p w14:paraId="11D64A68">
                  <w:pPr>
                    <w:jc w:val="center"/>
                    <w:rPr>
                      <w:rFonts w:cs="Times New Roman"/>
                      <w:kern w:val="0"/>
                      <w:sz w:val="21"/>
                      <w:szCs w:val="21"/>
                    </w:rPr>
                  </w:pPr>
                  <w:r>
                    <w:rPr>
                      <w:rFonts w:hint="eastAsia" w:cs="Times New Roman"/>
                      <w:kern w:val="0"/>
                      <w:sz w:val="21"/>
                      <w:szCs w:val="21"/>
                    </w:rPr>
                    <w:t>6.9</w:t>
                  </w:r>
                </w:p>
              </w:tc>
            </w:tr>
            <w:tr w14:paraId="3D302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59C59A28">
                  <w:pPr>
                    <w:jc w:val="center"/>
                    <w:rPr>
                      <w:rFonts w:cs="Times New Roman"/>
                      <w:kern w:val="0"/>
                      <w:sz w:val="21"/>
                      <w:szCs w:val="21"/>
                    </w:rPr>
                  </w:pPr>
                  <w:r>
                    <w:rPr>
                      <w:rFonts w:hint="eastAsia" w:cs="Times New Roman"/>
                      <w:kern w:val="0"/>
                      <w:sz w:val="21"/>
                      <w:szCs w:val="21"/>
                    </w:rPr>
                    <w:t>COD</w:t>
                  </w:r>
                </w:p>
              </w:tc>
              <w:tc>
                <w:tcPr>
                  <w:tcW w:w="714" w:type="pct"/>
                  <w:vAlign w:val="center"/>
                </w:tcPr>
                <w:p w14:paraId="0CB7CBDF">
                  <w:pPr>
                    <w:jc w:val="center"/>
                    <w:rPr>
                      <w:rFonts w:cs="Times New Roman"/>
                      <w:kern w:val="0"/>
                      <w:sz w:val="21"/>
                      <w:szCs w:val="21"/>
                    </w:rPr>
                  </w:pPr>
                  <w:r>
                    <w:rPr>
                      <w:rFonts w:hint="eastAsia" w:cs="Times New Roman"/>
                      <w:kern w:val="0"/>
                      <w:sz w:val="21"/>
                      <w:szCs w:val="21"/>
                    </w:rPr>
                    <w:t>11</w:t>
                  </w:r>
                </w:p>
              </w:tc>
              <w:tc>
                <w:tcPr>
                  <w:tcW w:w="715" w:type="pct"/>
                  <w:vAlign w:val="center"/>
                </w:tcPr>
                <w:p w14:paraId="0214ED9A">
                  <w:pPr>
                    <w:jc w:val="center"/>
                    <w:rPr>
                      <w:rFonts w:cs="Times New Roman"/>
                      <w:kern w:val="0"/>
                      <w:sz w:val="21"/>
                      <w:szCs w:val="21"/>
                    </w:rPr>
                  </w:pPr>
                  <w:r>
                    <w:rPr>
                      <w:rFonts w:hint="eastAsia" w:cs="Times New Roman"/>
                      <w:kern w:val="0"/>
                      <w:sz w:val="21"/>
                      <w:szCs w:val="21"/>
                    </w:rPr>
                    <w:t>14</w:t>
                  </w:r>
                </w:p>
              </w:tc>
              <w:tc>
                <w:tcPr>
                  <w:tcW w:w="715" w:type="pct"/>
                  <w:vAlign w:val="center"/>
                </w:tcPr>
                <w:p w14:paraId="77EBDA46">
                  <w:pPr>
                    <w:jc w:val="center"/>
                    <w:rPr>
                      <w:rFonts w:cs="Times New Roman"/>
                      <w:kern w:val="0"/>
                      <w:sz w:val="21"/>
                      <w:szCs w:val="21"/>
                    </w:rPr>
                  </w:pPr>
                  <w:r>
                    <w:rPr>
                      <w:rFonts w:hint="eastAsia" w:cs="Times New Roman"/>
                      <w:kern w:val="0"/>
                      <w:sz w:val="21"/>
                      <w:szCs w:val="21"/>
                    </w:rPr>
                    <w:t>12</w:t>
                  </w:r>
                </w:p>
              </w:tc>
              <w:tc>
                <w:tcPr>
                  <w:tcW w:w="715" w:type="pct"/>
                  <w:vAlign w:val="center"/>
                </w:tcPr>
                <w:p w14:paraId="2E21AB84">
                  <w:pPr>
                    <w:jc w:val="center"/>
                    <w:rPr>
                      <w:rFonts w:cs="Times New Roman"/>
                      <w:kern w:val="0"/>
                      <w:sz w:val="21"/>
                      <w:szCs w:val="21"/>
                    </w:rPr>
                  </w:pPr>
                  <w:r>
                    <w:rPr>
                      <w:rFonts w:hint="eastAsia" w:cs="Times New Roman"/>
                      <w:kern w:val="0"/>
                      <w:sz w:val="21"/>
                      <w:szCs w:val="21"/>
                    </w:rPr>
                    <w:t>13</w:t>
                  </w:r>
                </w:p>
              </w:tc>
              <w:tc>
                <w:tcPr>
                  <w:tcW w:w="715" w:type="pct"/>
                  <w:vAlign w:val="center"/>
                </w:tcPr>
                <w:p w14:paraId="5CBDA9B6">
                  <w:pPr>
                    <w:jc w:val="center"/>
                    <w:rPr>
                      <w:rFonts w:cs="Times New Roman"/>
                      <w:kern w:val="0"/>
                      <w:sz w:val="21"/>
                      <w:szCs w:val="21"/>
                    </w:rPr>
                  </w:pPr>
                  <w:r>
                    <w:rPr>
                      <w:rFonts w:hint="eastAsia" w:cs="Times New Roman"/>
                      <w:kern w:val="0"/>
                      <w:sz w:val="21"/>
                      <w:szCs w:val="21"/>
                    </w:rPr>
                    <w:t>11</w:t>
                  </w:r>
                </w:p>
              </w:tc>
              <w:tc>
                <w:tcPr>
                  <w:tcW w:w="712" w:type="pct"/>
                  <w:vAlign w:val="center"/>
                </w:tcPr>
                <w:p w14:paraId="7324A53F">
                  <w:pPr>
                    <w:jc w:val="center"/>
                    <w:rPr>
                      <w:rFonts w:cs="Times New Roman"/>
                      <w:kern w:val="0"/>
                      <w:sz w:val="21"/>
                      <w:szCs w:val="21"/>
                    </w:rPr>
                  </w:pPr>
                  <w:r>
                    <w:rPr>
                      <w:rFonts w:hint="eastAsia" w:cs="Times New Roman"/>
                      <w:kern w:val="0"/>
                      <w:sz w:val="21"/>
                      <w:szCs w:val="21"/>
                    </w:rPr>
                    <w:t>14</w:t>
                  </w:r>
                </w:p>
              </w:tc>
            </w:tr>
            <w:tr w14:paraId="0FF5A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7AD46FA4">
                  <w:pPr>
                    <w:jc w:val="center"/>
                    <w:rPr>
                      <w:rFonts w:cs="Times New Roman"/>
                      <w:kern w:val="0"/>
                      <w:sz w:val="21"/>
                      <w:szCs w:val="21"/>
                    </w:rPr>
                  </w:pPr>
                  <w:r>
                    <w:rPr>
                      <w:rFonts w:hint="eastAsia" w:cs="Times New Roman"/>
                      <w:kern w:val="0"/>
                      <w:sz w:val="21"/>
                      <w:szCs w:val="21"/>
                    </w:rPr>
                    <w:t>BOD</w:t>
                  </w:r>
                  <w:r>
                    <w:rPr>
                      <w:rFonts w:hint="eastAsia" w:cs="Times New Roman"/>
                      <w:kern w:val="0"/>
                      <w:sz w:val="21"/>
                      <w:szCs w:val="21"/>
                      <w:vertAlign w:val="subscript"/>
                    </w:rPr>
                    <w:t>5</w:t>
                  </w:r>
                </w:p>
              </w:tc>
              <w:tc>
                <w:tcPr>
                  <w:tcW w:w="714" w:type="pct"/>
                  <w:vAlign w:val="center"/>
                </w:tcPr>
                <w:p w14:paraId="42CBECB3">
                  <w:pPr>
                    <w:jc w:val="center"/>
                    <w:rPr>
                      <w:rFonts w:cs="Times New Roman"/>
                      <w:kern w:val="0"/>
                      <w:sz w:val="21"/>
                      <w:szCs w:val="21"/>
                    </w:rPr>
                  </w:pPr>
                  <w:r>
                    <w:rPr>
                      <w:rFonts w:hint="eastAsia" w:cs="Times New Roman"/>
                      <w:kern w:val="0"/>
                      <w:sz w:val="21"/>
                      <w:szCs w:val="21"/>
                    </w:rPr>
                    <w:t>2.1</w:t>
                  </w:r>
                </w:p>
              </w:tc>
              <w:tc>
                <w:tcPr>
                  <w:tcW w:w="715" w:type="pct"/>
                  <w:vAlign w:val="center"/>
                </w:tcPr>
                <w:p w14:paraId="24446E43">
                  <w:pPr>
                    <w:jc w:val="center"/>
                    <w:rPr>
                      <w:rFonts w:cs="Times New Roman"/>
                      <w:kern w:val="0"/>
                      <w:sz w:val="21"/>
                      <w:szCs w:val="21"/>
                    </w:rPr>
                  </w:pPr>
                  <w:r>
                    <w:rPr>
                      <w:rFonts w:hint="eastAsia" w:cs="Times New Roman"/>
                      <w:kern w:val="0"/>
                      <w:sz w:val="21"/>
                      <w:szCs w:val="21"/>
                    </w:rPr>
                    <w:t>2.5</w:t>
                  </w:r>
                </w:p>
              </w:tc>
              <w:tc>
                <w:tcPr>
                  <w:tcW w:w="715" w:type="pct"/>
                  <w:vAlign w:val="center"/>
                </w:tcPr>
                <w:p w14:paraId="7046D502">
                  <w:pPr>
                    <w:jc w:val="center"/>
                    <w:rPr>
                      <w:rFonts w:cs="Times New Roman"/>
                      <w:kern w:val="0"/>
                      <w:sz w:val="21"/>
                      <w:szCs w:val="21"/>
                    </w:rPr>
                  </w:pPr>
                  <w:r>
                    <w:rPr>
                      <w:rFonts w:hint="eastAsia" w:cs="Times New Roman"/>
                      <w:kern w:val="0"/>
                      <w:sz w:val="21"/>
                      <w:szCs w:val="21"/>
                    </w:rPr>
                    <w:t>2.3</w:t>
                  </w:r>
                </w:p>
              </w:tc>
              <w:tc>
                <w:tcPr>
                  <w:tcW w:w="715" w:type="pct"/>
                  <w:vAlign w:val="center"/>
                </w:tcPr>
                <w:p w14:paraId="6866914E">
                  <w:pPr>
                    <w:jc w:val="center"/>
                    <w:rPr>
                      <w:rFonts w:cs="Times New Roman"/>
                      <w:kern w:val="0"/>
                      <w:sz w:val="21"/>
                      <w:szCs w:val="21"/>
                    </w:rPr>
                  </w:pPr>
                  <w:r>
                    <w:rPr>
                      <w:rFonts w:hint="eastAsia" w:cs="Times New Roman"/>
                      <w:kern w:val="0"/>
                      <w:sz w:val="21"/>
                      <w:szCs w:val="21"/>
                    </w:rPr>
                    <w:t>2.4</w:t>
                  </w:r>
                </w:p>
              </w:tc>
              <w:tc>
                <w:tcPr>
                  <w:tcW w:w="715" w:type="pct"/>
                  <w:vAlign w:val="center"/>
                </w:tcPr>
                <w:p w14:paraId="41E1469C">
                  <w:pPr>
                    <w:jc w:val="center"/>
                    <w:rPr>
                      <w:rFonts w:cs="Times New Roman"/>
                      <w:kern w:val="0"/>
                      <w:sz w:val="21"/>
                      <w:szCs w:val="21"/>
                    </w:rPr>
                  </w:pPr>
                  <w:r>
                    <w:rPr>
                      <w:rFonts w:hint="eastAsia" w:cs="Times New Roman"/>
                      <w:kern w:val="0"/>
                      <w:sz w:val="21"/>
                      <w:szCs w:val="21"/>
                    </w:rPr>
                    <w:t>2.1</w:t>
                  </w:r>
                </w:p>
              </w:tc>
              <w:tc>
                <w:tcPr>
                  <w:tcW w:w="712" w:type="pct"/>
                  <w:vAlign w:val="center"/>
                </w:tcPr>
                <w:p w14:paraId="7A5EB060">
                  <w:pPr>
                    <w:jc w:val="center"/>
                    <w:rPr>
                      <w:rFonts w:cs="Times New Roman"/>
                      <w:kern w:val="0"/>
                      <w:sz w:val="21"/>
                      <w:szCs w:val="21"/>
                    </w:rPr>
                  </w:pPr>
                  <w:r>
                    <w:rPr>
                      <w:rFonts w:hint="eastAsia" w:cs="Times New Roman"/>
                      <w:kern w:val="0"/>
                      <w:sz w:val="21"/>
                      <w:szCs w:val="21"/>
                    </w:rPr>
                    <w:t>2.4</w:t>
                  </w:r>
                </w:p>
              </w:tc>
            </w:tr>
            <w:tr w14:paraId="4CF6C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5D875648">
                  <w:pPr>
                    <w:jc w:val="center"/>
                    <w:rPr>
                      <w:rFonts w:cs="Times New Roman"/>
                      <w:kern w:val="0"/>
                      <w:sz w:val="21"/>
                      <w:szCs w:val="21"/>
                    </w:rPr>
                  </w:pPr>
                  <w:r>
                    <w:rPr>
                      <w:rFonts w:hint="eastAsia" w:cs="Times New Roman"/>
                      <w:kern w:val="0"/>
                      <w:sz w:val="21"/>
                      <w:szCs w:val="21"/>
                    </w:rPr>
                    <w:t>NH</w:t>
                  </w:r>
                  <w:r>
                    <w:rPr>
                      <w:rFonts w:hint="eastAsia" w:cs="Times New Roman"/>
                      <w:kern w:val="0"/>
                      <w:sz w:val="21"/>
                      <w:szCs w:val="21"/>
                      <w:vertAlign w:val="subscript"/>
                    </w:rPr>
                    <w:t>3</w:t>
                  </w:r>
                  <w:r>
                    <w:rPr>
                      <w:rFonts w:hint="eastAsia" w:cs="Times New Roman"/>
                      <w:kern w:val="0"/>
                      <w:sz w:val="21"/>
                      <w:szCs w:val="21"/>
                    </w:rPr>
                    <w:t>-N</w:t>
                  </w:r>
                </w:p>
              </w:tc>
              <w:tc>
                <w:tcPr>
                  <w:tcW w:w="714" w:type="pct"/>
                  <w:vAlign w:val="center"/>
                </w:tcPr>
                <w:p w14:paraId="2C05EBAA">
                  <w:pPr>
                    <w:jc w:val="center"/>
                    <w:rPr>
                      <w:rFonts w:cs="Times New Roman"/>
                      <w:kern w:val="0"/>
                      <w:sz w:val="21"/>
                      <w:szCs w:val="21"/>
                    </w:rPr>
                  </w:pPr>
                  <w:r>
                    <w:rPr>
                      <w:rFonts w:hint="eastAsia" w:cs="Times New Roman"/>
                      <w:kern w:val="0"/>
                      <w:sz w:val="21"/>
                      <w:szCs w:val="21"/>
                    </w:rPr>
                    <w:t>0.085</w:t>
                  </w:r>
                </w:p>
              </w:tc>
              <w:tc>
                <w:tcPr>
                  <w:tcW w:w="715" w:type="pct"/>
                  <w:vAlign w:val="center"/>
                </w:tcPr>
                <w:p w14:paraId="7A2E949F">
                  <w:pPr>
                    <w:jc w:val="center"/>
                    <w:rPr>
                      <w:rFonts w:cs="Times New Roman"/>
                      <w:kern w:val="0"/>
                      <w:sz w:val="21"/>
                      <w:szCs w:val="21"/>
                    </w:rPr>
                  </w:pPr>
                  <w:r>
                    <w:rPr>
                      <w:rFonts w:hint="eastAsia" w:cs="Times New Roman"/>
                      <w:kern w:val="0"/>
                      <w:sz w:val="21"/>
                      <w:szCs w:val="21"/>
                    </w:rPr>
                    <w:t>0.142</w:t>
                  </w:r>
                </w:p>
              </w:tc>
              <w:tc>
                <w:tcPr>
                  <w:tcW w:w="715" w:type="pct"/>
                  <w:vAlign w:val="center"/>
                </w:tcPr>
                <w:p w14:paraId="68089CFB">
                  <w:pPr>
                    <w:jc w:val="center"/>
                    <w:rPr>
                      <w:rFonts w:cs="Times New Roman"/>
                      <w:kern w:val="0"/>
                      <w:sz w:val="21"/>
                      <w:szCs w:val="21"/>
                    </w:rPr>
                  </w:pPr>
                  <w:r>
                    <w:rPr>
                      <w:rFonts w:hint="eastAsia" w:cs="Times New Roman"/>
                      <w:kern w:val="0"/>
                      <w:sz w:val="21"/>
                      <w:szCs w:val="21"/>
                    </w:rPr>
                    <w:t>0.096</w:t>
                  </w:r>
                </w:p>
              </w:tc>
              <w:tc>
                <w:tcPr>
                  <w:tcW w:w="715" w:type="pct"/>
                  <w:vAlign w:val="center"/>
                </w:tcPr>
                <w:p w14:paraId="2D7B47E4">
                  <w:pPr>
                    <w:jc w:val="center"/>
                    <w:rPr>
                      <w:rFonts w:cs="Times New Roman"/>
                      <w:kern w:val="0"/>
                      <w:sz w:val="21"/>
                      <w:szCs w:val="21"/>
                    </w:rPr>
                  </w:pPr>
                  <w:r>
                    <w:rPr>
                      <w:rFonts w:hint="eastAsia" w:cs="Times New Roman"/>
                      <w:kern w:val="0"/>
                      <w:sz w:val="21"/>
                      <w:szCs w:val="21"/>
                    </w:rPr>
                    <w:t>0.138</w:t>
                  </w:r>
                </w:p>
              </w:tc>
              <w:tc>
                <w:tcPr>
                  <w:tcW w:w="715" w:type="pct"/>
                  <w:vAlign w:val="center"/>
                </w:tcPr>
                <w:p w14:paraId="6D81AF39">
                  <w:pPr>
                    <w:jc w:val="center"/>
                    <w:rPr>
                      <w:rFonts w:cs="Times New Roman"/>
                      <w:kern w:val="0"/>
                      <w:sz w:val="21"/>
                      <w:szCs w:val="21"/>
                    </w:rPr>
                  </w:pPr>
                  <w:r>
                    <w:rPr>
                      <w:rFonts w:hint="eastAsia" w:cs="Times New Roman"/>
                      <w:kern w:val="0"/>
                      <w:sz w:val="21"/>
                      <w:szCs w:val="21"/>
                    </w:rPr>
                    <w:t>0.091</w:t>
                  </w:r>
                </w:p>
              </w:tc>
              <w:tc>
                <w:tcPr>
                  <w:tcW w:w="712" w:type="pct"/>
                  <w:vAlign w:val="center"/>
                </w:tcPr>
                <w:p w14:paraId="232BFCCB">
                  <w:pPr>
                    <w:jc w:val="center"/>
                    <w:rPr>
                      <w:rFonts w:cs="Times New Roman"/>
                      <w:kern w:val="0"/>
                      <w:sz w:val="21"/>
                      <w:szCs w:val="21"/>
                    </w:rPr>
                  </w:pPr>
                  <w:r>
                    <w:rPr>
                      <w:rFonts w:hint="eastAsia" w:cs="Times New Roman"/>
                      <w:kern w:val="0"/>
                      <w:sz w:val="21"/>
                      <w:szCs w:val="21"/>
                    </w:rPr>
                    <w:t>0.150</w:t>
                  </w:r>
                </w:p>
              </w:tc>
            </w:tr>
            <w:tr w14:paraId="1787A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42E5F871">
                  <w:pPr>
                    <w:jc w:val="center"/>
                    <w:rPr>
                      <w:rFonts w:cs="Times New Roman"/>
                      <w:kern w:val="0"/>
                      <w:sz w:val="21"/>
                      <w:szCs w:val="21"/>
                    </w:rPr>
                  </w:pPr>
                  <w:r>
                    <w:rPr>
                      <w:rFonts w:hint="eastAsia" w:cs="Times New Roman"/>
                      <w:kern w:val="0"/>
                      <w:sz w:val="21"/>
                      <w:szCs w:val="21"/>
                    </w:rPr>
                    <w:t>TP</w:t>
                  </w:r>
                </w:p>
              </w:tc>
              <w:tc>
                <w:tcPr>
                  <w:tcW w:w="714" w:type="pct"/>
                  <w:vAlign w:val="center"/>
                </w:tcPr>
                <w:p w14:paraId="0B78F234">
                  <w:pPr>
                    <w:jc w:val="center"/>
                    <w:rPr>
                      <w:rFonts w:cs="Times New Roman"/>
                      <w:kern w:val="0"/>
                      <w:sz w:val="21"/>
                      <w:szCs w:val="21"/>
                    </w:rPr>
                  </w:pPr>
                  <w:r>
                    <w:rPr>
                      <w:rFonts w:hint="eastAsia" w:cs="Times New Roman"/>
                      <w:kern w:val="0"/>
                      <w:sz w:val="21"/>
                      <w:szCs w:val="21"/>
                    </w:rPr>
                    <w:t>0.02</w:t>
                  </w:r>
                </w:p>
              </w:tc>
              <w:tc>
                <w:tcPr>
                  <w:tcW w:w="715" w:type="pct"/>
                  <w:vAlign w:val="center"/>
                </w:tcPr>
                <w:p w14:paraId="39F05EA0">
                  <w:pPr>
                    <w:jc w:val="center"/>
                    <w:rPr>
                      <w:rFonts w:cs="Times New Roman"/>
                      <w:kern w:val="0"/>
                      <w:sz w:val="21"/>
                      <w:szCs w:val="21"/>
                    </w:rPr>
                  </w:pPr>
                  <w:r>
                    <w:rPr>
                      <w:rFonts w:hint="eastAsia" w:cs="Times New Roman"/>
                      <w:kern w:val="0"/>
                      <w:sz w:val="21"/>
                      <w:szCs w:val="21"/>
                    </w:rPr>
                    <w:t>0.03</w:t>
                  </w:r>
                </w:p>
              </w:tc>
              <w:tc>
                <w:tcPr>
                  <w:tcW w:w="715" w:type="pct"/>
                  <w:vAlign w:val="center"/>
                </w:tcPr>
                <w:p w14:paraId="556B00A2">
                  <w:pPr>
                    <w:jc w:val="center"/>
                    <w:rPr>
                      <w:rFonts w:cs="Times New Roman"/>
                      <w:kern w:val="0"/>
                      <w:sz w:val="21"/>
                      <w:szCs w:val="21"/>
                    </w:rPr>
                  </w:pPr>
                  <w:r>
                    <w:rPr>
                      <w:rFonts w:hint="eastAsia" w:cs="Times New Roman"/>
                      <w:kern w:val="0"/>
                      <w:sz w:val="21"/>
                      <w:szCs w:val="21"/>
                    </w:rPr>
                    <w:t>0.03</w:t>
                  </w:r>
                </w:p>
              </w:tc>
              <w:tc>
                <w:tcPr>
                  <w:tcW w:w="715" w:type="pct"/>
                  <w:vAlign w:val="center"/>
                </w:tcPr>
                <w:p w14:paraId="05041EE5">
                  <w:pPr>
                    <w:jc w:val="center"/>
                    <w:rPr>
                      <w:rFonts w:cs="Times New Roman"/>
                      <w:kern w:val="0"/>
                      <w:sz w:val="21"/>
                      <w:szCs w:val="21"/>
                    </w:rPr>
                  </w:pPr>
                  <w:r>
                    <w:rPr>
                      <w:rFonts w:hint="eastAsia" w:cs="Times New Roman"/>
                      <w:kern w:val="0"/>
                      <w:sz w:val="21"/>
                      <w:szCs w:val="21"/>
                    </w:rPr>
                    <w:t>0.04</w:t>
                  </w:r>
                </w:p>
              </w:tc>
              <w:tc>
                <w:tcPr>
                  <w:tcW w:w="715" w:type="pct"/>
                  <w:vAlign w:val="center"/>
                </w:tcPr>
                <w:p w14:paraId="0A21FB14">
                  <w:pPr>
                    <w:jc w:val="center"/>
                    <w:rPr>
                      <w:rFonts w:cs="Times New Roman"/>
                      <w:kern w:val="0"/>
                      <w:sz w:val="21"/>
                      <w:szCs w:val="21"/>
                    </w:rPr>
                  </w:pPr>
                  <w:r>
                    <w:rPr>
                      <w:rFonts w:hint="eastAsia" w:cs="Times New Roman"/>
                      <w:kern w:val="0"/>
                      <w:sz w:val="21"/>
                      <w:szCs w:val="21"/>
                    </w:rPr>
                    <w:t>0.02</w:t>
                  </w:r>
                </w:p>
              </w:tc>
              <w:tc>
                <w:tcPr>
                  <w:tcW w:w="712" w:type="pct"/>
                  <w:vAlign w:val="center"/>
                </w:tcPr>
                <w:p w14:paraId="54A9F778">
                  <w:pPr>
                    <w:jc w:val="center"/>
                    <w:rPr>
                      <w:rFonts w:cs="Times New Roman"/>
                      <w:kern w:val="0"/>
                      <w:sz w:val="21"/>
                      <w:szCs w:val="21"/>
                    </w:rPr>
                  </w:pPr>
                  <w:r>
                    <w:rPr>
                      <w:rFonts w:hint="eastAsia" w:cs="Times New Roman"/>
                      <w:kern w:val="0"/>
                      <w:sz w:val="21"/>
                      <w:szCs w:val="21"/>
                    </w:rPr>
                    <w:t>0.03</w:t>
                  </w:r>
                </w:p>
              </w:tc>
            </w:tr>
            <w:tr w14:paraId="34ECC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1032FCC1">
                  <w:pPr>
                    <w:jc w:val="center"/>
                    <w:rPr>
                      <w:rFonts w:cs="Times New Roman"/>
                      <w:kern w:val="0"/>
                      <w:sz w:val="21"/>
                      <w:szCs w:val="21"/>
                    </w:rPr>
                  </w:pPr>
                  <w:r>
                    <w:rPr>
                      <w:rFonts w:hint="eastAsia" w:cs="Times New Roman"/>
                      <w:kern w:val="0"/>
                      <w:sz w:val="21"/>
                      <w:szCs w:val="21"/>
                    </w:rPr>
                    <w:t>TN</w:t>
                  </w:r>
                </w:p>
              </w:tc>
              <w:tc>
                <w:tcPr>
                  <w:tcW w:w="714" w:type="pct"/>
                  <w:vAlign w:val="center"/>
                </w:tcPr>
                <w:p w14:paraId="0F173DCD">
                  <w:pPr>
                    <w:jc w:val="center"/>
                    <w:rPr>
                      <w:rFonts w:cs="Times New Roman"/>
                      <w:kern w:val="0"/>
                      <w:sz w:val="21"/>
                      <w:szCs w:val="21"/>
                    </w:rPr>
                  </w:pPr>
                  <w:r>
                    <w:rPr>
                      <w:rFonts w:hint="eastAsia" w:cs="Times New Roman"/>
                      <w:kern w:val="0"/>
                      <w:sz w:val="21"/>
                      <w:szCs w:val="21"/>
                    </w:rPr>
                    <w:t>0.18</w:t>
                  </w:r>
                </w:p>
              </w:tc>
              <w:tc>
                <w:tcPr>
                  <w:tcW w:w="715" w:type="pct"/>
                  <w:vAlign w:val="center"/>
                </w:tcPr>
                <w:p w14:paraId="09AA921B">
                  <w:pPr>
                    <w:jc w:val="center"/>
                    <w:rPr>
                      <w:rFonts w:cs="Times New Roman"/>
                      <w:kern w:val="0"/>
                      <w:sz w:val="21"/>
                      <w:szCs w:val="21"/>
                    </w:rPr>
                  </w:pPr>
                  <w:r>
                    <w:rPr>
                      <w:rFonts w:hint="eastAsia" w:cs="Times New Roman"/>
                      <w:kern w:val="0"/>
                      <w:sz w:val="21"/>
                      <w:szCs w:val="21"/>
                    </w:rPr>
                    <w:t>0.26</w:t>
                  </w:r>
                </w:p>
              </w:tc>
              <w:tc>
                <w:tcPr>
                  <w:tcW w:w="715" w:type="pct"/>
                  <w:vAlign w:val="center"/>
                </w:tcPr>
                <w:p w14:paraId="6FB3C4DC">
                  <w:pPr>
                    <w:jc w:val="center"/>
                    <w:rPr>
                      <w:rFonts w:cs="Times New Roman"/>
                      <w:kern w:val="0"/>
                      <w:sz w:val="21"/>
                      <w:szCs w:val="21"/>
                    </w:rPr>
                  </w:pPr>
                  <w:r>
                    <w:rPr>
                      <w:rFonts w:hint="eastAsia" w:cs="Times New Roman"/>
                      <w:kern w:val="0"/>
                      <w:sz w:val="21"/>
                      <w:szCs w:val="21"/>
                    </w:rPr>
                    <w:t>0.18</w:t>
                  </w:r>
                </w:p>
              </w:tc>
              <w:tc>
                <w:tcPr>
                  <w:tcW w:w="715" w:type="pct"/>
                  <w:vAlign w:val="center"/>
                </w:tcPr>
                <w:p w14:paraId="5E942ED2">
                  <w:pPr>
                    <w:jc w:val="center"/>
                    <w:rPr>
                      <w:rFonts w:cs="Times New Roman"/>
                      <w:kern w:val="0"/>
                      <w:sz w:val="21"/>
                      <w:szCs w:val="21"/>
                    </w:rPr>
                  </w:pPr>
                  <w:r>
                    <w:rPr>
                      <w:rFonts w:hint="eastAsia" w:cs="Times New Roman"/>
                      <w:kern w:val="0"/>
                      <w:sz w:val="21"/>
                      <w:szCs w:val="21"/>
                    </w:rPr>
                    <w:t>0.27</w:t>
                  </w:r>
                </w:p>
              </w:tc>
              <w:tc>
                <w:tcPr>
                  <w:tcW w:w="715" w:type="pct"/>
                  <w:vAlign w:val="center"/>
                </w:tcPr>
                <w:p w14:paraId="75D514B7">
                  <w:pPr>
                    <w:jc w:val="center"/>
                    <w:rPr>
                      <w:rFonts w:cs="Times New Roman"/>
                      <w:kern w:val="0"/>
                      <w:sz w:val="21"/>
                      <w:szCs w:val="21"/>
                    </w:rPr>
                  </w:pPr>
                  <w:r>
                    <w:rPr>
                      <w:rFonts w:hint="eastAsia" w:cs="Times New Roman"/>
                      <w:kern w:val="0"/>
                      <w:sz w:val="21"/>
                      <w:szCs w:val="21"/>
                    </w:rPr>
                    <w:t>0.17</w:t>
                  </w:r>
                </w:p>
              </w:tc>
              <w:tc>
                <w:tcPr>
                  <w:tcW w:w="712" w:type="pct"/>
                  <w:vAlign w:val="center"/>
                </w:tcPr>
                <w:p w14:paraId="0A8895F0">
                  <w:pPr>
                    <w:jc w:val="center"/>
                    <w:rPr>
                      <w:rFonts w:cs="Times New Roman"/>
                      <w:kern w:val="0"/>
                      <w:sz w:val="21"/>
                      <w:szCs w:val="21"/>
                    </w:rPr>
                  </w:pPr>
                  <w:r>
                    <w:rPr>
                      <w:rFonts w:hint="eastAsia" w:cs="Times New Roman"/>
                      <w:kern w:val="0"/>
                      <w:sz w:val="21"/>
                      <w:szCs w:val="21"/>
                    </w:rPr>
                    <w:t>0.31</w:t>
                  </w:r>
                </w:p>
              </w:tc>
            </w:tr>
            <w:tr w14:paraId="79B03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0BC6426E">
                  <w:pPr>
                    <w:jc w:val="center"/>
                    <w:rPr>
                      <w:rFonts w:cs="Times New Roman"/>
                      <w:kern w:val="0"/>
                      <w:sz w:val="21"/>
                      <w:szCs w:val="21"/>
                    </w:rPr>
                  </w:pPr>
                  <w:r>
                    <w:rPr>
                      <w:rFonts w:hint="eastAsia" w:cs="Times New Roman"/>
                      <w:kern w:val="0"/>
                      <w:sz w:val="21"/>
                      <w:szCs w:val="21"/>
                    </w:rPr>
                    <w:t>石油类</w:t>
                  </w:r>
                </w:p>
              </w:tc>
              <w:tc>
                <w:tcPr>
                  <w:tcW w:w="714" w:type="pct"/>
                  <w:vAlign w:val="center"/>
                </w:tcPr>
                <w:p w14:paraId="4FEF1C2C">
                  <w:pPr>
                    <w:jc w:val="center"/>
                    <w:rPr>
                      <w:rFonts w:cs="Times New Roman"/>
                      <w:kern w:val="0"/>
                      <w:sz w:val="21"/>
                      <w:szCs w:val="21"/>
                    </w:rPr>
                  </w:pPr>
                  <w:r>
                    <w:rPr>
                      <w:rFonts w:hint="eastAsia" w:cs="Times New Roman"/>
                      <w:kern w:val="0"/>
                      <w:sz w:val="21"/>
                      <w:szCs w:val="21"/>
                    </w:rPr>
                    <w:t>0.01L</w:t>
                  </w:r>
                </w:p>
              </w:tc>
              <w:tc>
                <w:tcPr>
                  <w:tcW w:w="715" w:type="pct"/>
                  <w:vAlign w:val="center"/>
                </w:tcPr>
                <w:p w14:paraId="2318B641">
                  <w:pPr>
                    <w:jc w:val="center"/>
                    <w:rPr>
                      <w:rFonts w:cs="Times New Roman"/>
                      <w:kern w:val="0"/>
                      <w:sz w:val="21"/>
                      <w:szCs w:val="21"/>
                    </w:rPr>
                  </w:pPr>
                  <w:r>
                    <w:rPr>
                      <w:rFonts w:hint="eastAsia" w:cs="Times New Roman"/>
                      <w:kern w:val="0"/>
                      <w:sz w:val="21"/>
                      <w:szCs w:val="21"/>
                    </w:rPr>
                    <w:t>0.01L</w:t>
                  </w:r>
                </w:p>
              </w:tc>
              <w:tc>
                <w:tcPr>
                  <w:tcW w:w="715" w:type="pct"/>
                  <w:vAlign w:val="center"/>
                </w:tcPr>
                <w:p w14:paraId="06148F2B">
                  <w:pPr>
                    <w:jc w:val="center"/>
                    <w:rPr>
                      <w:rFonts w:cs="Times New Roman"/>
                      <w:kern w:val="0"/>
                      <w:sz w:val="21"/>
                      <w:szCs w:val="21"/>
                    </w:rPr>
                  </w:pPr>
                  <w:r>
                    <w:rPr>
                      <w:rFonts w:hint="eastAsia" w:cs="Times New Roman"/>
                      <w:kern w:val="0"/>
                      <w:sz w:val="21"/>
                      <w:szCs w:val="21"/>
                    </w:rPr>
                    <w:t>0.01L</w:t>
                  </w:r>
                </w:p>
              </w:tc>
              <w:tc>
                <w:tcPr>
                  <w:tcW w:w="715" w:type="pct"/>
                  <w:vAlign w:val="center"/>
                </w:tcPr>
                <w:p w14:paraId="5DC516E6">
                  <w:pPr>
                    <w:jc w:val="center"/>
                    <w:rPr>
                      <w:rFonts w:cs="Times New Roman"/>
                      <w:kern w:val="0"/>
                      <w:sz w:val="21"/>
                      <w:szCs w:val="21"/>
                    </w:rPr>
                  </w:pPr>
                  <w:r>
                    <w:rPr>
                      <w:rFonts w:hint="eastAsia" w:cs="Times New Roman"/>
                      <w:kern w:val="0"/>
                      <w:sz w:val="21"/>
                      <w:szCs w:val="21"/>
                    </w:rPr>
                    <w:t>0.01L</w:t>
                  </w:r>
                </w:p>
              </w:tc>
              <w:tc>
                <w:tcPr>
                  <w:tcW w:w="715" w:type="pct"/>
                  <w:vAlign w:val="center"/>
                </w:tcPr>
                <w:p w14:paraId="6D0C4AD2">
                  <w:pPr>
                    <w:jc w:val="center"/>
                    <w:rPr>
                      <w:rFonts w:cs="Times New Roman"/>
                      <w:kern w:val="0"/>
                      <w:sz w:val="21"/>
                      <w:szCs w:val="21"/>
                    </w:rPr>
                  </w:pPr>
                  <w:r>
                    <w:rPr>
                      <w:rFonts w:hint="eastAsia" w:cs="Times New Roman"/>
                      <w:kern w:val="0"/>
                      <w:sz w:val="21"/>
                      <w:szCs w:val="21"/>
                    </w:rPr>
                    <w:t>0.01L</w:t>
                  </w:r>
                </w:p>
              </w:tc>
              <w:tc>
                <w:tcPr>
                  <w:tcW w:w="712" w:type="pct"/>
                  <w:vAlign w:val="center"/>
                </w:tcPr>
                <w:p w14:paraId="0B9F4F41">
                  <w:pPr>
                    <w:jc w:val="center"/>
                    <w:rPr>
                      <w:rFonts w:cs="Times New Roman"/>
                      <w:kern w:val="0"/>
                      <w:sz w:val="21"/>
                      <w:szCs w:val="21"/>
                    </w:rPr>
                  </w:pPr>
                  <w:r>
                    <w:rPr>
                      <w:rFonts w:hint="eastAsia" w:cs="Times New Roman"/>
                      <w:kern w:val="0"/>
                      <w:sz w:val="21"/>
                      <w:szCs w:val="21"/>
                    </w:rPr>
                    <w:t>0.01L</w:t>
                  </w:r>
                </w:p>
              </w:tc>
            </w:tr>
            <w:tr w14:paraId="02A6E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3" w:type="pct"/>
                  <w:vAlign w:val="center"/>
                </w:tcPr>
                <w:p w14:paraId="268BADAB">
                  <w:pPr>
                    <w:jc w:val="center"/>
                    <w:rPr>
                      <w:rFonts w:cs="Times New Roman"/>
                      <w:kern w:val="0"/>
                      <w:sz w:val="21"/>
                      <w:szCs w:val="21"/>
                    </w:rPr>
                  </w:pPr>
                  <w:r>
                    <w:rPr>
                      <w:rFonts w:hint="eastAsia" w:cs="Times New Roman"/>
                      <w:kern w:val="0"/>
                      <w:sz w:val="21"/>
                      <w:szCs w:val="21"/>
                    </w:rPr>
                    <w:t>SS</w:t>
                  </w:r>
                </w:p>
              </w:tc>
              <w:tc>
                <w:tcPr>
                  <w:tcW w:w="714" w:type="pct"/>
                  <w:vAlign w:val="center"/>
                </w:tcPr>
                <w:p w14:paraId="5792482B">
                  <w:pPr>
                    <w:jc w:val="center"/>
                    <w:rPr>
                      <w:rFonts w:cs="Times New Roman"/>
                      <w:kern w:val="0"/>
                      <w:sz w:val="21"/>
                      <w:szCs w:val="21"/>
                    </w:rPr>
                  </w:pPr>
                  <w:r>
                    <w:rPr>
                      <w:rFonts w:hint="eastAsia" w:cs="Times New Roman"/>
                      <w:kern w:val="0"/>
                      <w:sz w:val="21"/>
                      <w:szCs w:val="21"/>
                    </w:rPr>
                    <w:t>13</w:t>
                  </w:r>
                </w:p>
              </w:tc>
              <w:tc>
                <w:tcPr>
                  <w:tcW w:w="715" w:type="pct"/>
                  <w:vAlign w:val="center"/>
                </w:tcPr>
                <w:p w14:paraId="21E78BAA">
                  <w:pPr>
                    <w:jc w:val="center"/>
                    <w:rPr>
                      <w:rFonts w:cs="Times New Roman"/>
                      <w:kern w:val="0"/>
                      <w:sz w:val="21"/>
                      <w:szCs w:val="21"/>
                    </w:rPr>
                  </w:pPr>
                  <w:r>
                    <w:rPr>
                      <w:rFonts w:hint="eastAsia" w:cs="Times New Roman"/>
                      <w:kern w:val="0"/>
                      <w:sz w:val="21"/>
                      <w:szCs w:val="21"/>
                    </w:rPr>
                    <w:t>16</w:t>
                  </w:r>
                </w:p>
              </w:tc>
              <w:tc>
                <w:tcPr>
                  <w:tcW w:w="715" w:type="pct"/>
                  <w:vAlign w:val="center"/>
                </w:tcPr>
                <w:p w14:paraId="4AE5BDC4">
                  <w:pPr>
                    <w:jc w:val="center"/>
                    <w:rPr>
                      <w:rFonts w:cs="Times New Roman"/>
                      <w:kern w:val="0"/>
                      <w:sz w:val="21"/>
                      <w:szCs w:val="21"/>
                    </w:rPr>
                  </w:pPr>
                  <w:r>
                    <w:rPr>
                      <w:rFonts w:hint="eastAsia" w:cs="Times New Roman"/>
                      <w:kern w:val="0"/>
                      <w:sz w:val="21"/>
                      <w:szCs w:val="21"/>
                    </w:rPr>
                    <w:t>13</w:t>
                  </w:r>
                </w:p>
              </w:tc>
              <w:tc>
                <w:tcPr>
                  <w:tcW w:w="715" w:type="pct"/>
                  <w:vAlign w:val="center"/>
                </w:tcPr>
                <w:p w14:paraId="6AADED34">
                  <w:pPr>
                    <w:jc w:val="center"/>
                    <w:rPr>
                      <w:rFonts w:cs="Times New Roman"/>
                      <w:kern w:val="0"/>
                      <w:sz w:val="21"/>
                      <w:szCs w:val="21"/>
                    </w:rPr>
                  </w:pPr>
                  <w:r>
                    <w:rPr>
                      <w:rFonts w:hint="eastAsia" w:cs="Times New Roman"/>
                      <w:kern w:val="0"/>
                      <w:sz w:val="21"/>
                      <w:szCs w:val="21"/>
                    </w:rPr>
                    <w:t>15</w:t>
                  </w:r>
                </w:p>
              </w:tc>
              <w:tc>
                <w:tcPr>
                  <w:tcW w:w="715" w:type="pct"/>
                  <w:vAlign w:val="center"/>
                </w:tcPr>
                <w:p w14:paraId="2D71DE66">
                  <w:pPr>
                    <w:jc w:val="center"/>
                    <w:rPr>
                      <w:rFonts w:cs="Times New Roman"/>
                      <w:kern w:val="0"/>
                      <w:sz w:val="21"/>
                      <w:szCs w:val="21"/>
                    </w:rPr>
                  </w:pPr>
                  <w:r>
                    <w:rPr>
                      <w:rFonts w:hint="eastAsia" w:cs="Times New Roman"/>
                      <w:kern w:val="0"/>
                      <w:sz w:val="21"/>
                      <w:szCs w:val="21"/>
                    </w:rPr>
                    <w:t>12</w:t>
                  </w:r>
                </w:p>
              </w:tc>
              <w:tc>
                <w:tcPr>
                  <w:tcW w:w="712" w:type="pct"/>
                  <w:vAlign w:val="center"/>
                </w:tcPr>
                <w:p w14:paraId="046DC839">
                  <w:pPr>
                    <w:jc w:val="center"/>
                    <w:rPr>
                      <w:rFonts w:cs="Times New Roman"/>
                      <w:kern w:val="0"/>
                      <w:sz w:val="21"/>
                      <w:szCs w:val="21"/>
                    </w:rPr>
                  </w:pPr>
                  <w:r>
                    <w:rPr>
                      <w:rFonts w:hint="eastAsia" w:cs="Times New Roman"/>
                      <w:kern w:val="0"/>
                      <w:sz w:val="21"/>
                      <w:szCs w:val="21"/>
                    </w:rPr>
                    <w:t>16</w:t>
                  </w:r>
                </w:p>
              </w:tc>
            </w:tr>
          </w:tbl>
          <w:p w14:paraId="3CC270C4">
            <w:pPr>
              <w:spacing w:line="360" w:lineRule="auto"/>
              <w:ind w:firstLine="480" w:firstLineChars="200"/>
            </w:pPr>
            <w:r>
              <w:rPr>
                <w:rFonts w:hint="eastAsia"/>
              </w:rPr>
              <w:t>（6）评价结果及分析</w:t>
            </w:r>
          </w:p>
          <w:p w14:paraId="5486577F">
            <w:pPr>
              <w:spacing w:line="360" w:lineRule="auto"/>
              <w:ind w:firstLine="480" w:firstLineChars="200"/>
            </w:pPr>
            <w:r>
              <w:rPr>
                <w:rFonts w:hint="eastAsia"/>
              </w:rPr>
              <w:t>采用标准指数法对各断面水质监测结果进行评价，各采样断面的标准指数计算结果见下表：</w:t>
            </w:r>
          </w:p>
          <w:p w14:paraId="79F96A0B">
            <w:pPr>
              <w:spacing w:line="360" w:lineRule="auto"/>
              <w:ind w:firstLine="480" w:firstLineChars="200"/>
            </w:pPr>
          </w:p>
          <w:p w14:paraId="66103C5D">
            <w:pPr>
              <w:spacing w:line="360" w:lineRule="auto"/>
              <w:jc w:val="center"/>
              <w:rPr>
                <w:b/>
                <w:bCs/>
              </w:rPr>
            </w:pPr>
            <w:r>
              <w:rPr>
                <w:rFonts w:hint="eastAsia"/>
                <w:b/>
                <w:bCs/>
              </w:rPr>
              <w:t>表41     评价结果一览表</w:t>
            </w:r>
          </w:p>
          <w:tbl>
            <w:tblPr>
              <w:tblStyle w:val="5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134"/>
              <w:gridCol w:w="1276"/>
              <w:gridCol w:w="2177"/>
              <w:gridCol w:w="2177"/>
            </w:tblGrid>
            <w:tr w14:paraId="21656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58A0A3F0">
                  <w:pPr>
                    <w:jc w:val="center"/>
                    <w:rPr>
                      <w:rFonts w:cs="Times New Roman"/>
                      <w:b/>
                      <w:bCs/>
                      <w:kern w:val="0"/>
                      <w:sz w:val="21"/>
                      <w:szCs w:val="21"/>
                    </w:rPr>
                  </w:pPr>
                  <w:r>
                    <w:rPr>
                      <w:rFonts w:hint="eastAsia" w:cs="Times New Roman"/>
                      <w:b/>
                      <w:bCs/>
                      <w:kern w:val="0"/>
                      <w:sz w:val="21"/>
                      <w:szCs w:val="21"/>
                    </w:rPr>
                    <w:t>序号</w:t>
                  </w:r>
                </w:p>
              </w:tc>
              <w:tc>
                <w:tcPr>
                  <w:tcW w:w="1134" w:type="dxa"/>
                  <w:vMerge w:val="restart"/>
                  <w:vAlign w:val="center"/>
                </w:tcPr>
                <w:p w14:paraId="25BE06C1">
                  <w:pPr>
                    <w:jc w:val="center"/>
                    <w:rPr>
                      <w:rFonts w:cs="Times New Roman"/>
                      <w:b/>
                      <w:bCs/>
                      <w:kern w:val="0"/>
                      <w:sz w:val="21"/>
                      <w:szCs w:val="21"/>
                    </w:rPr>
                  </w:pPr>
                  <w:r>
                    <w:rPr>
                      <w:rFonts w:hint="eastAsia" w:cs="Times New Roman"/>
                      <w:b/>
                      <w:bCs/>
                      <w:kern w:val="0"/>
                      <w:sz w:val="21"/>
                      <w:szCs w:val="21"/>
                    </w:rPr>
                    <w:t>污染因子</w:t>
                  </w:r>
                </w:p>
              </w:tc>
              <w:tc>
                <w:tcPr>
                  <w:tcW w:w="1276" w:type="dxa"/>
                  <w:vMerge w:val="restart"/>
                  <w:vAlign w:val="center"/>
                </w:tcPr>
                <w:p w14:paraId="0615E86B">
                  <w:pPr>
                    <w:jc w:val="center"/>
                    <w:rPr>
                      <w:rFonts w:cs="Times New Roman"/>
                      <w:b/>
                      <w:bCs/>
                      <w:kern w:val="0"/>
                      <w:sz w:val="21"/>
                      <w:szCs w:val="21"/>
                    </w:rPr>
                  </w:pPr>
                  <w:r>
                    <w:rPr>
                      <w:rFonts w:hint="eastAsia" w:cs="Times New Roman"/>
                      <w:b/>
                      <w:bCs/>
                      <w:kern w:val="0"/>
                      <w:sz w:val="21"/>
                      <w:szCs w:val="21"/>
                    </w:rPr>
                    <w:t>评价内容</w:t>
                  </w:r>
                </w:p>
              </w:tc>
              <w:tc>
                <w:tcPr>
                  <w:tcW w:w="4354" w:type="dxa"/>
                  <w:gridSpan w:val="2"/>
                  <w:vAlign w:val="center"/>
                </w:tcPr>
                <w:p w14:paraId="42DC884A">
                  <w:pPr>
                    <w:jc w:val="center"/>
                    <w:rPr>
                      <w:rFonts w:cs="Times New Roman"/>
                      <w:b/>
                      <w:bCs/>
                      <w:kern w:val="0"/>
                      <w:sz w:val="21"/>
                      <w:szCs w:val="21"/>
                    </w:rPr>
                  </w:pPr>
                  <w:r>
                    <w:rPr>
                      <w:rFonts w:hint="eastAsia" w:cs="Times New Roman"/>
                      <w:b/>
                      <w:bCs/>
                      <w:kern w:val="0"/>
                      <w:sz w:val="21"/>
                      <w:szCs w:val="21"/>
                    </w:rPr>
                    <w:t>评价结果</w:t>
                  </w:r>
                </w:p>
              </w:tc>
            </w:tr>
            <w:tr w14:paraId="548D4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17A95D18">
                  <w:pPr>
                    <w:jc w:val="center"/>
                    <w:rPr>
                      <w:rFonts w:cs="Times New Roman"/>
                      <w:b/>
                      <w:bCs/>
                      <w:kern w:val="0"/>
                      <w:sz w:val="21"/>
                      <w:szCs w:val="21"/>
                    </w:rPr>
                  </w:pPr>
                </w:p>
              </w:tc>
              <w:tc>
                <w:tcPr>
                  <w:tcW w:w="1134" w:type="dxa"/>
                  <w:vMerge w:val="continue"/>
                  <w:vAlign w:val="center"/>
                </w:tcPr>
                <w:p w14:paraId="57652A2C">
                  <w:pPr>
                    <w:jc w:val="center"/>
                    <w:rPr>
                      <w:rFonts w:cs="Times New Roman"/>
                      <w:b/>
                      <w:bCs/>
                      <w:kern w:val="0"/>
                      <w:sz w:val="21"/>
                      <w:szCs w:val="21"/>
                    </w:rPr>
                  </w:pPr>
                </w:p>
              </w:tc>
              <w:tc>
                <w:tcPr>
                  <w:tcW w:w="1276" w:type="dxa"/>
                  <w:vMerge w:val="continue"/>
                  <w:vAlign w:val="center"/>
                </w:tcPr>
                <w:p w14:paraId="5F0FCCA0">
                  <w:pPr>
                    <w:jc w:val="center"/>
                    <w:rPr>
                      <w:rFonts w:cs="Times New Roman"/>
                      <w:b/>
                      <w:bCs/>
                      <w:kern w:val="0"/>
                      <w:sz w:val="21"/>
                      <w:szCs w:val="21"/>
                    </w:rPr>
                  </w:pPr>
                </w:p>
              </w:tc>
              <w:tc>
                <w:tcPr>
                  <w:tcW w:w="2177" w:type="dxa"/>
                  <w:vAlign w:val="center"/>
                </w:tcPr>
                <w:p w14:paraId="7C29EC84">
                  <w:pPr>
                    <w:jc w:val="center"/>
                    <w:rPr>
                      <w:rFonts w:cs="Times New Roman"/>
                      <w:b/>
                      <w:bCs/>
                      <w:kern w:val="0"/>
                      <w:sz w:val="21"/>
                      <w:szCs w:val="21"/>
                    </w:rPr>
                  </w:pPr>
                  <w:r>
                    <w:rPr>
                      <w:rFonts w:hint="eastAsia" w:cs="Times New Roman"/>
                      <w:b/>
                      <w:bCs/>
                      <w:kern w:val="0"/>
                      <w:sz w:val="21"/>
                      <w:szCs w:val="21"/>
                    </w:rPr>
                    <w:t>本项目上游500m处</w:t>
                  </w:r>
                </w:p>
              </w:tc>
              <w:tc>
                <w:tcPr>
                  <w:tcW w:w="2177" w:type="dxa"/>
                  <w:vAlign w:val="center"/>
                </w:tcPr>
                <w:p w14:paraId="6F636E59">
                  <w:pPr>
                    <w:rPr>
                      <w:rFonts w:cs="Times New Roman"/>
                      <w:b/>
                      <w:bCs/>
                      <w:kern w:val="0"/>
                      <w:sz w:val="21"/>
                      <w:szCs w:val="21"/>
                    </w:rPr>
                  </w:pPr>
                  <w:r>
                    <w:rPr>
                      <w:rFonts w:hint="eastAsia" w:cs="Times New Roman"/>
                      <w:b/>
                      <w:bCs/>
                      <w:kern w:val="0"/>
                      <w:sz w:val="21"/>
                      <w:szCs w:val="21"/>
                    </w:rPr>
                    <w:t>本项目下游1000m处</w:t>
                  </w:r>
                </w:p>
              </w:tc>
            </w:tr>
            <w:tr w14:paraId="63F25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49261613">
                  <w:pPr>
                    <w:jc w:val="center"/>
                    <w:rPr>
                      <w:rFonts w:cs="Times New Roman"/>
                      <w:kern w:val="0"/>
                      <w:sz w:val="21"/>
                      <w:szCs w:val="21"/>
                    </w:rPr>
                  </w:pPr>
                  <w:r>
                    <w:rPr>
                      <w:rFonts w:hint="eastAsia" w:cs="Times New Roman"/>
                      <w:kern w:val="0"/>
                      <w:sz w:val="21"/>
                      <w:szCs w:val="21"/>
                    </w:rPr>
                    <w:t>1</w:t>
                  </w:r>
                </w:p>
              </w:tc>
              <w:tc>
                <w:tcPr>
                  <w:tcW w:w="1134" w:type="dxa"/>
                  <w:vMerge w:val="restart"/>
                  <w:vAlign w:val="center"/>
                </w:tcPr>
                <w:p w14:paraId="5529BE4D">
                  <w:pPr>
                    <w:jc w:val="center"/>
                    <w:rPr>
                      <w:rFonts w:cs="Times New Roman"/>
                      <w:kern w:val="0"/>
                      <w:sz w:val="21"/>
                      <w:szCs w:val="21"/>
                    </w:rPr>
                  </w:pPr>
                  <w:r>
                    <w:rPr>
                      <w:rFonts w:hint="eastAsia" w:cs="Times New Roman"/>
                      <w:kern w:val="0"/>
                      <w:sz w:val="21"/>
                      <w:szCs w:val="21"/>
                    </w:rPr>
                    <w:t>pH</w:t>
                  </w:r>
                </w:p>
              </w:tc>
              <w:tc>
                <w:tcPr>
                  <w:tcW w:w="1276" w:type="dxa"/>
                  <w:vAlign w:val="center"/>
                </w:tcPr>
                <w:p w14:paraId="3D76834A">
                  <w:pPr>
                    <w:jc w:val="center"/>
                    <w:rPr>
                      <w:rFonts w:cs="Times New Roman"/>
                      <w:kern w:val="0"/>
                      <w:sz w:val="21"/>
                      <w:szCs w:val="21"/>
                    </w:rPr>
                  </w:pPr>
                  <w:r>
                    <w:rPr>
                      <w:rFonts w:cs="Times New Roman"/>
                      <w:kern w:val="0"/>
                      <w:sz w:val="21"/>
                      <w:szCs w:val="21"/>
                    </w:rPr>
                    <w:t>指数范围</w:t>
                  </w:r>
                </w:p>
              </w:tc>
              <w:tc>
                <w:tcPr>
                  <w:tcW w:w="2177" w:type="dxa"/>
                  <w:vAlign w:val="center"/>
                </w:tcPr>
                <w:p w14:paraId="06977644">
                  <w:pPr>
                    <w:jc w:val="center"/>
                    <w:rPr>
                      <w:rFonts w:cs="Times New Roman"/>
                      <w:kern w:val="0"/>
                      <w:sz w:val="21"/>
                      <w:szCs w:val="21"/>
                    </w:rPr>
                  </w:pPr>
                  <w:r>
                    <w:rPr>
                      <w:rFonts w:hint="eastAsia" w:cs="Times New Roman"/>
                      <w:kern w:val="0"/>
                      <w:sz w:val="21"/>
                      <w:szCs w:val="21"/>
                    </w:rPr>
                    <w:t>0-0.1</w:t>
                  </w:r>
                </w:p>
              </w:tc>
              <w:tc>
                <w:tcPr>
                  <w:tcW w:w="2177" w:type="dxa"/>
                  <w:vAlign w:val="center"/>
                </w:tcPr>
                <w:p w14:paraId="7BA0D402">
                  <w:pPr>
                    <w:jc w:val="center"/>
                    <w:rPr>
                      <w:rFonts w:cs="Times New Roman"/>
                      <w:kern w:val="0"/>
                      <w:sz w:val="21"/>
                      <w:szCs w:val="21"/>
                    </w:rPr>
                  </w:pPr>
                  <w:r>
                    <w:rPr>
                      <w:rFonts w:hint="eastAsia" w:cs="Times New Roman"/>
                      <w:kern w:val="0"/>
                      <w:sz w:val="21"/>
                      <w:szCs w:val="21"/>
                    </w:rPr>
                    <w:t>0.1</w:t>
                  </w:r>
                </w:p>
              </w:tc>
            </w:tr>
            <w:tr w14:paraId="579F1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62316AF8">
                  <w:pPr>
                    <w:jc w:val="center"/>
                    <w:rPr>
                      <w:rFonts w:cs="Times New Roman"/>
                      <w:kern w:val="0"/>
                      <w:sz w:val="21"/>
                      <w:szCs w:val="21"/>
                    </w:rPr>
                  </w:pPr>
                </w:p>
              </w:tc>
              <w:tc>
                <w:tcPr>
                  <w:tcW w:w="1134" w:type="dxa"/>
                  <w:vMerge w:val="continue"/>
                  <w:vAlign w:val="center"/>
                </w:tcPr>
                <w:p w14:paraId="1CE186C2">
                  <w:pPr>
                    <w:jc w:val="center"/>
                    <w:rPr>
                      <w:rFonts w:cs="Times New Roman"/>
                      <w:kern w:val="0"/>
                      <w:sz w:val="21"/>
                      <w:szCs w:val="21"/>
                    </w:rPr>
                  </w:pPr>
                </w:p>
              </w:tc>
              <w:tc>
                <w:tcPr>
                  <w:tcW w:w="1276" w:type="dxa"/>
                  <w:vAlign w:val="center"/>
                </w:tcPr>
                <w:p w14:paraId="12FB9214">
                  <w:pPr>
                    <w:jc w:val="center"/>
                    <w:rPr>
                      <w:rFonts w:cs="Times New Roman"/>
                      <w:kern w:val="0"/>
                      <w:sz w:val="21"/>
                      <w:szCs w:val="21"/>
                    </w:rPr>
                  </w:pPr>
                  <w:r>
                    <w:rPr>
                      <w:rFonts w:cs="Times New Roman"/>
                      <w:kern w:val="0"/>
                      <w:sz w:val="21"/>
                      <w:szCs w:val="21"/>
                    </w:rPr>
                    <w:t>最大指数</w:t>
                  </w:r>
                </w:p>
              </w:tc>
              <w:tc>
                <w:tcPr>
                  <w:tcW w:w="2177" w:type="dxa"/>
                  <w:vAlign w:val="center"/>
                </w:tcPr>
                <w:p w14:paraId="581FB553">
                  <w:pPr>
                    <w:jc w:val="center"/>
                    <w:rPr>
                      <w:rFonts w:cs="Times New Roman"/>
                      <w:kern w:val="0"/>
                      <w:sz w:val="21"/>
                      <w:szCs w:val="21"/>
                    </w:rPr>
                  </w:pPr>
                  <w:r>
                    <w:rPr>
                      <w:rFonts w:hint="eastAsia" w:cs="Times New Roman"/>
                      <w:kern w:val="0"/>
                      <w:sz w:val="21"/>
                      <w:szCs w:val="21"/>
                    </w:rPr>
                    <w:t>0.1</w:t>
                  </w:r>
                </w:p>
              </w:tc>
              <w:tc>
                <w:tcPr>
                  <w:tcW w:w="2177" w:type="dxa"/>
                  <w:vAlign w:val="center"/>
                </w:tcPr>
                <w:p w14:paraId="537C037F">
                  <w:pPr>
                    <w:jc w:val="center"/>
                    <w:rPr>
                      <w:rFonts w:cs="Times New Roman"/>
                      <w:kern w:val="0"/>
                      <w:sz w:val="21"/>
                      <w:szCs w:val="21"/>
                    </w:rPr>
                  </w:pPr>
                  <w:r>
                    <w:rPr>
                      <w:rFonts w:hint="eastAsia" w:cs="Times New Roman"/>
                      <w:kern w:val="0"/>
                      <w:sz w:val="21"/>
                      <w:szCs w:val="21"/>
                    </w:rPr>
                    <w:t>0.1</w:t>
                  </w:r>
                </w:p>
              </w:tc>
            </w:tr>
            <w:tr w14:paraId="5561E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0C57573E">
                  <w:pPr>
                    <w:jc w:val="center"/>
                    <w:rPr>
                      <w:rFonts w:cs="Times New Roman"/>
                      <w:kern w:val="0"/>
                      <w:sz w:val="21"/>
                      <w:szCs w:val="21"/>
                    </w:rPr>
                  </w:pPr>
                </w:p>
              </w:tc>
              <w:tc>
                <w:tcPr>
                  <w:tcW w:w="1134" w:type="dxa"/>
                  <w:vMerge w:val="continue"/>
                  <w:vAlign w:val="center"/>
                </w:tcPr>
                <w:p w14:paraId="0DBA8E4A">
                  <w:pPr>
                    <w:jc w:val="center"/>
                    <w:rPr>
                      <w:rFonts w:cs="Times New Roman"/>
                      <w:kern w:val="0"/>
                      <w:sz w:val="21"/>
                      <w:szCs w:val="21"/>
                    </w:rPr>
                  </w:pPr>
                </w:p>
              </w:tc>
              <w:tc>
                <w:tcPr>
                  <w:tcW w:w="1276" w:type="dxa"/>
                  <w:vAlign w:val="center"/>
                </w:tcPr>
                <w:p w14:paraId="48F1592A">
                  <w:pPr>
                    <w:jc w:val="center"/>
                    <w:rPr>
                      <w:rFonts w:cs="Times New Roman"/>
                      <w:kern w:val="0"/>
                      <w:sz w:val="21"/>
                      <w:szCs w:val="21"/>
                    </w:rPr>
                  </w:pPr>
                  <w:r>
                    <w:rPr>
                      <w:rFonts w:cs="Times New Roman"/>
                      <w:kern w:val="0"/>
                      <w:sz w:val="21"/>
                      <w:szCs w:val="21"/>
                    </w:rPr>
                    <w:t>是否超标</w:t>
                  </w:r>
                </w:p>
              </w:tc>
              <w:tc>
                <w:tcPr>
                  <w:tcW w:w="2177" w:type="dxa"/>
                  <w:vAlign w:val="center"/>
                </w:tcPr>
                <w:p w14:paraId="6DF68782">
                  <w:pPr>
                    <w:jc w:val="center"/>
                    <w:rPr>
                      <w:rFonts w:cs="Times New Roman"/>
                      <w:kern w:val="0"/>
                      <w:sz w:val="21"/>
                      <w:szCs w:val="21"/>
                    </w:rPr>
                  </w:pPr>
                  <w:r>
                    <w:rPr>
                      <w:rFonts w:hint="eastAsia" w:cs="Times New Roman"/>
                      <w:kern w:val="0"/>
                      <w:sz w:val="21"/>
                      <w:szCs w:val="21"/>
                    </w:rPr>
                    <w:t>否</w:t>
                  </w:r>
                </w:p>
              </w:tc>
              <w:tc>
                <w:tcPr>
                  <w:tcW w:w="2177" w:type="dxa"/>
                  <w:vAlign w:val="center"/>
                </w:tcPr>
                <w:p w14:paraId="25B96B9B">
                  <w:pPr>
                    <w:jc w:val="center"/>
                    <w:rPr>
                      <w:rFonts w:cs="Times New Roman"/>
                      <w:kern w:val="0"/>
                      <w:sz w:val="21"/>
                      <w:szCs w:val="21"/>
                    </w:rPr>
                  </w:pPr>
                  <w:r>
                    <w:rPr>
                      <w:rFonts w:hint="eastAsia" w:cs="Times New Roman"/>
                      <w:kern w:val="0"/>
                      <w:sz w:val="21"/>
                      <w:szCs w:val="21"/>
                    </w:rPr>
                    <w:t>否</w:t>
                  </w:r>
                </w:p>
              </w:tc>
            </w:tr>
            <w:tr w14:paraId="0ACD1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285B1A42">
                  <w:pPr>
                    <w:jc w:val="center"/>
                    <w:rPr>
                      <w:rFonts w:cs="Times New Roman"/>
                      <w:kern w:val="0"/>
                      <w:sz w:val="21"/>
                      <w:szCs w:val="21"/>
                    </w:rPr>
                  </w:pPr>
                  <w:r>
                    <w:rPr>
                      <w:rFonts w:hint="eastAsia" w:cs="Times New Roman"/>
                      <w:kern w:val="0"/>
                      <w:sz w:val="21"/>
                      <w:szCs w:val="21"/>
                    </w:rPr>
                    <w:t>2</w:t>
                  </w:r>
                </w:p>
              </w:tc>
              <w:tc>
                <w:tcPr>
                  <w:tcW w:w="1134" w:type="dxa"/>
                  <w:vMerge w:val="restart"/>
                  <w:vAlign w:val="center"/>
                </w:tcPr>
                <w:p w14:paraId="4A0B0D0C">
                  <w:pPr>
                    <w:jc w:val="center"/>
                    <w:rPr>
                      <w:rFonts w:cs="Times New Roman"/>
                      <w:kern w:val="0"/>
                      <w:sz w:val="21"/>
                      <w:szCs w:val="21"/>
                      <w:highlight w:val="yellow"/>
                    </w:rPr>
                  </w:pPr>
                  <w:r>
                    <w:rPr>
                      <w:rFonts w:hint="eastAsia" w:cs="Times New Roman"/>
                      <w:kern w:val="0"/>
                      <w:sz w:val="21"/>
                      <w:szCs w:val="21"/>
                    </w:rPr>
                    <w:t>COD</w:t>
                  </w:r>
                </w:p>
              </w:tc>
              <w:tc>
                <w:tcPr>
                  <w:tcW w:w="1276" w:type="dxa"/>
                  <w:vAlign w:val="center"/>
                </w:tcPr>
                <w:p w14:paraId="2500729B">
                  <w:pPr>
                    <w:jc w:val="center"/>
                    <w:rPr>
                      <w:rFonts w:cs="Times New Roman"/>
                      <w:kern w:val="0"/>
                      <w:sz w:val="21"/>
                      <w:szCs w:val="21"/>
                    </w:rPr>
                  </w:pPr>
                  <w:r>
                    <w:rPr>
                      <w:rFonts w:cs="Times New Roman"/>
                      <w:kern w:val="0"/>
                      <w:sz w:val="21"/>
                      <w:szCs w:val="21"/>
                    </w:rPr>
                    <w:t>指数范围</w:t>
                  </w:r>
                </w:p>
              </w:tc>
              <w:tc>
                <w:tcPr>
                  <w:tcW w:w="2177" w:type="dxa"/>
                  <w:vAlign w:val="center"/>
                </w:tcPr>
                <w:p w14:paraId="1D3977B5">
                  <w:pPr>
                    <w:jc w:val="center"/>
                    <w:rPr>
                      <w:rFonts w:cs="Times New Roman"/>
                      <w:kern w:val="0"/>
                      <w:sz w:val="21"/>
                      <w:szCs w:val="21"/>
                    </w:rPr>
                  </w:pPr>
                  <w:r>
                    <w:rPr>
                      <w:rFonts w:hint="eastAsia" w:cs="Times New Roman"/>
                      <w:kern w:val="0"/>
                      <w:sz w:val="21"/>
                      <w:szCs w:val="21"/>
                    </w:rPr>
                    <w:t>0.55-0.6</w:t>
                  </w:r>
                </w:p>
              </w:tc>
              <w:tc>
                <w:tcPr>
                  <w:tcW w:w="2177" w:type="dxa"/>
                  <w:vAlign w:val="center"/>
                </w:tcPr>
                <w:p w14:paraId="40B21499">
                  <w:pPr>
                    <w:jc w:val="center"/>
                    <w:rPr>
                      <w:rFonts w:cs="Times New Roman"/>
                      <w:kern w:val="0"/>
                      <w:sz w:val="21"/>
                      <w:szCs w:val="21"/>
                    </w:rPr>
                  </w:pPr>
                  <w:r>
                    <w:rPr>
                      <w:rFonts w:hint="eastAsia" w:cs="Times New Roman"/>
                      <w:kern w:val="0"/>
                      <w:sz w:val="21"/>
                      <w:szCs w:val="21"/>
                    </w:rPr>
                    <w:t>0.65-0.7</w:t>
                  </w:r>
                </w:p>
              </w:tc>
            </w:tr>
            <w:tr w14:paraId="1AF04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788970E7">
                  <w:pPr>
                    <w:jc w:val="center"/>
                    <w:rPr>
                      <w:rFonts w:cs="Times New Roman"/>
                      <w:kern w:val="0"/>
                      <w:sz w:val="21"/>
                      <w:szCs w:val="21"/>
                    </w:rPr>
                  </w:pPr>
                </w:p>
              </w:tc>
              <w:tc>
                <w:tcPr>
                  <w:tcW w:w="1134" w:type="dxa"/>
                  <w:vMerge w:val="continue"/>
                  <w:vAlign w:val="center"/>
                </w:tcPr>
                <w:p w14:paraId="4BBD3BFD">
                  <w:pPr>
                    <w:jc w:val="center"/>
                    <w:rPr>
                      <w:rFonts w:cs="Times New Roman"/>
                      <w:kern w:val="0"/>
                      <w:sz w:val="21"/>
                      <w:szCs w:val="21"/>
                      <w:highlight w:val="yellow"/>
                    </w:rPr>
                  </w:pPr>
                </w:p>
              </w:tc>
              <w:tc>
                <w:tcPr>
                  <w:tcW w:w="1276" w:type="dxa"/>
                  <w:vAlign w:val="center"/>
                </w:tcPr>
                <w:p w14:paraId="35B32C4E">
                  <w:pPr>
                    <w:jc w:val="center"/>
                    <w:rPr>
                      <w:rFonts w:cs="Times New Roman"/>
                      <w:kern w:val="0"/>
                      <w:sz w:val="21"/>
                      <w:szCs w:val="21"/>
                    </w:rPr>
                  </w:pPr>
                  <w:r>
                    <w:rPr>
                      <w:rFonts w:cs="Times New Roman"/>
                      <w:kern w:val="0"/>
                      <w:sz w:val="21"/>
                      <w:szCs w:val="21"/>
                    </w:rPr>
                    <w:t>最大指数</w:t>
                  </w:r>
                </w:p>
              </w:tc>
              <w:tc>
                <w:tcPr>
                  <w:tcW w:w="2177" w:type="dxa"/>
                  <w:vAlign w:val="center"/>
                </w:tcPr>
                <w:p w14:paraId="35B78C8B">
                  <w:pPr>
                    <w:jc w:val="center"/>
                    <w:rPr>
                      <w:rFonts w:cs="Times New Roman"/>
                      <w:kern w:val="0"/>
                      <w:sz w:val="21"/>
                      <w:szCs w:val="21"/>
                    </w:rPr>
                  </w:pPr>
                  <w:r>
                    <w:rPr>
                      <w:rFonts w:hint="eastAsia" w:cs="Times New Roman"/>
                      <w:kern w:val="0"/>
                      <w:sz w:val="21"/>
                      <w:szCs w:val="21"/>
                    </w:rPr>
                    <w:t>0.6</w:t>
                  </w:r>
                </w:p>
              </w:tc>
              <w:tc>
                <w:tcPr>
                  <w:tcW w:w="2177" w:type="dxa"/>
                  <w:vAlign w:val="center"/>
                </w:tcPr>
                <w:p w14:paraId="5D979306">
                  <w:pPr>
                    <w:jc w:val="center"/>
                    <w:rPr>
                      <w:rFonts w:cs="Times New Roman"/>
                      <w:kern w:val="0"/>
                      <w:sz w:val="21"/>
                      <w:szCs w:val="21"/>
                    </w:rPr>
                  </w:pPr>
                  <w:r>
                    <w:rPr>
                      <w:rFonts w:hint="eastAsia" w:cs="Times New Roman"/>
                      <w:kern w:val="0"/>
                      <w:sz w:val="21"/>
                      <w:szCs w:val="21"/>
                    </w:rPr>
                    <w:t>0.7</w:t>
                  </w:r>
                </w:p>
              </w:tc>
            </w:tr>
            <w:tr w14:paraId="3F296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0F03A3B8">
                  <w:pPr>
                    <w:jc w:val="center"/>
                    <w:rPr>
                      <w:rFonts w:cs="Times New Roman"/>
                      <w:kern w:val="0"/>
                      <w:sz w:val="21"/>
                      <w:szCs w:val="21"/>
                    </w:rPr>
                  </w:pPr>
                </w:p>
              </w:tc>
              <w:tc>
                <w:tcPr>
                  <w:tcW w:w="1134" w:type="dxa"/>
                  <w:vMerge w:val="continue"/>
                  <w:vAlign w:val="center"/>
                </w:tcPr>
                <w:p w14:paraId="19AC76CE">
                  <w:pPr>
                    <w:jc w:val="center"/>
                    <w:rPr>
                      <w:rFonts w:cs="Times New Roman"/>
                      <w:kern w:val="0"/>
                      <w:sz w:val="21"/>
                      <w:szCs w:val="21"/>
                      <w:highlight w:val="yellow"/>
                    </w:rPr>
                  </w:pPr>
                </w:p>
              </w:tc>
              <w:tc>
                <w:tcPr>
                  <w:tcW w:w="1276" w:type="dxa"/>
                  <w:vAlign w:val="center"/>
                </w:tcPr>
                <w:p w14:paraId="08566FB7">
                  <w:pPr>
                    <w:jc w:val="center"/>
                    <w:rPr>
                      <w:rFonts w:cs="Times New Roman"/>
                      <w:kern w:val="0"/>
                      <w:sz w:val="21"/>
                      <w:szCs w:val="21"/>
                    </w:rPr>
                  </w:pPr>
                  <w:r>
                    <w:rPr>
                      <w:rFonts w:cs="Times New Roman"/>
                      <w:kern w:val="0"/>
                      <w:sz w:val="21"/>
                      <w:szCs w:val="21"/>
                    </w:rPr>
                    <w:t>是否超标</w:t>
                  </w:r>
                </w:p>
              </w:tc>
              <w:tc>
                <w:tcPr>
                  <w:tcW w:w="2177" w:type="dxa"/>
                  <w:vAlign w:val="center"/>
                </w:tcPr>
                <w:p w14:paraId="77087FC4">
                  <w:pPr>
                    <w:jc w:val="center"/>
                    <w:rPr>
                      <w:rFonts w:cs="Times New Roman"/>
                      <w:kern w:val="0"/>
                      <w:sz w:val="21"/>
                      <w:szCs w:val="21"/>
                    </w:rPr>
                  </w:pPr>
                  <w:r>
                    <w:rPr>
                      <w:rFonts w:hint="eastAsia" w:cs="Times New Roman"/>
                      <w:kern w:val="0"/>
                      <w:sz w:val="21"/>
                      <w:szCs w:val="21"/>
                    </w:rPr>
                    <w:t>否</w:t>
                  </w:r>
                </w:p>
              </w:tc>
              <w:tc>
                <w:tcPr>
                  <w:tcW w:w="2177" w:type="dxa"/>
                  <w:vAlign w:val="center"/>
                </w:tcPr>
                <w:p w14:paraId="1C1A7C90">
                  <w:pPr>
                    <w:jc w:val="center"/>
                    <w:rPr>
                      <w:rFonts w:cs="Times New Roman"/>
                      <w:kern w:val="0"/>
                      <w:sz w:val="21"/>
                      <w:szCs w:val="21"/>
                    </w:rPr>
                  </w:pPr>
                  <w:r>
                    <w:rPr>
                      <w:rFonts w:hint="eastAsia" w:cs="Times New Roman"/>
                      <w:kern w:val="0"/>
                      <w:sz w:val="21"/>
                      <w:szCs w:val="21"/>
                    </w:rPr>
                    <w:t>否</w:t>
                  </w:r>
                </w:p>
              </w:tc>
            </w:tr>
            <w:tr w14:paraId="4EABE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331254EE">
                  <w:pPr>
                    <w:jc w:val="center"/>
                    <w:rPr>
                      <w:rFonts w:cs="Times New Roman"/>
                      <w:kern w:val="0"/>
                      <w:sz w:val="21"/>
                      <w:szCs w:val="21"/>
                    </w:rPr>
                  </w:pPr>
                  <w:r>
                    <w:rPr>
                      <w:rFonts w:hint="eastAsia" w:cs="Times New Roman"/>
                      <w:kern w:val="0"/>
                      <w:sz w:val="21"/>
                      <w:szCs w:val="21"/>
                    </w:rPr>
                    <w:t>3</w:t>
                  </w:r>
                </w:p>
              </w:tc>
              <w:tc>
                <w:tcPr>
                  <w:tcW w:w="1134" w:type="dxa"/>
                  <w:vMerge w:val="restart"/>
                  <w:vAlign w:val="center"/>
                </w:tcPr>
                <w:p w14:paraId="615101B4">
                  <w:pPr>
                    <w:jc w:val="center"/>
                    <w:rPr>
                      <w:rFonts w:cs="Times New Roman"/>
                      <w:kern w:val="0"/>
                      <w:sz w:val="21"/>
                      <w:szCs w:val="21"/>
                      <w:highlight w:val="yellow"/>
                    </w:rPr>
                  </w:pPr>
                  <w:r>
                    <w:rPr>
                      <w:rFonts w:hint="eastAsia" w:cs="Times New Roman"/>
                      <w:kern w:val="0"/>
                      <w:sz w:val="21"/>
                      <w:szCs w:val="21"/>
                    </w:rPr>
                    <w:t>BOD</w:t>
                  </w:r>
                  <w:r>
                    <w:rPr>
                      <w:rFonts w:hint="eastAsia" w:cs="Times New Roman"/>
                      <w:kern w:val="0"/>
                      <w:sz w:val="21"/>
                      <w:szCs w:val="21"/>
                      <w:vertAlign w:val="subscript"/>
                    </w:rPr>
                    <w:t>5</w:t>
                  </w:r>
                </w:p>
              </w:tc>
              <w:tc>
                <w:tcPr>
                  <w:tcW w:w="1276" w:type="dxa"/>
                  <w:vAlign w:val="center"/>
                </w:tcPr>
                <w:p w14:paraId="7BBB4F06">
                  <w:pPr>
                    <w:jc w:val="center"/>
                    <w:rPr>
                      <w:rFonts w:cs="Times New Roman"/>
                      <w:kern w:val="0"/>
                      <w:sz w:val="21"/>
                      <w:szCs w:val="21"/>
                    </w:rPr>
                  </w:pPr>
                  <w:r>
                    <w:rPr>
                      <w:rFonts w:cs="Times New Roman"/>
                      <w:kern w:val="0"/>
                      <w:sz w:val="21"/>
                      <w:szCs w:val="21"/>
                    </w:rPr>
                    <w:t>指数范围</w:t>
                  </w:r>
                </w:p>
              </w:tc>
              <w:tc>
                <w:tcPr>
                  <w:tcW w:w="2177" w:type="dxa"/>
                  <w:vAlign w:val="center"/>
                </w:tcPr>
                <w:p w14:paraId="5BD383F3">
                  <w:pPr>
                    <w:jc w:val="center"/>
                    <w:rPr>
                      <w:rFonts w:cs="Times New Roman"/>
                      <w:kern w:val="0"/>
                      <w:sz w:val="21"/>
                      <w:szCs w:val="21"/>
                    </w:rPr>
                  </w:pPr>
                  <w:r>
                    <w:rPr>
                      <w:rFonts w:hint="eastAsia" w:cs="Times New Roman"/>
                      <w:kern w:val="0"/>
                      <w:sz w:val="21"/>
                      <w:szCs w:val="21"/>
                    </w:rPr>
                    <w:t>0.53-0.58</w:t>
                  </w:r>
                </w:p>
              </w:tc>
              <w:tc>
                <w:tcPr>
                  <w:tcW w:w="2177" w:type="dxa"/>
                  <w:vAlign w:val="center"/>
                </w:tcPr>
                <w:p w14:paraId="5C79FB56">
                  <w:pPr>
                    <w:jc w:val="center"/>
                    <w:rPr>
                      <w:rFonts w:cs="Times New Roman"/>
                      <w:kern w:val="0"/>
                      <w:sz w:val="21"/>
                      <w:szCs w:val="21"/>
                    </w:rPr>
                  </w:pPr>
                  <w:r>
                    <w:rPr>
                      <w:rFonts w:hint="eastAsia" w:cs="Times New Roman"/>
                      <w:kern w:val="0"/>
                      <w:sz w:val="21"/>
                      <w:szCs w:val="21"/>
                    </w:rPr>
                    <w:t>0.6-0.63</w:t>
                  </w:r>
                </w:p>
              </w:tc>
            </w:tr>
            <w:tr w14:paraId="7BE1D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33EE9A6A">
                  <w:pPr>
                    <w:jc w:val="center"/>
                    <w:rPr>
                      <w:rFonts w:cs="Times New Roman"/>
                      <w:kern w:val="0"/>
                      <w:sz w:val="21"/>
                      <w:szCs w:val="21"/>
                    </w:rPr>
                  </w:pPr>
                </w:p>
              </w:tc>
              <w:tc>
                <w:tcPr>
                  <w:tcW w:w="1134" w:type="dxa"/>
                  <w:vMerge w:val="continue"/>
                  <w:vAlign w:val="center"/>
                </w:tcPr>
                <w:p w14:paraId="63A6AA60">
                  <w:pPr>
                    <w:jc w:val="center"/>
                    <w:rPr>
                      <w:rFonts w:cs="Times New Roman"/>
                      <w:kern w:val="0"/>
                      <w:sz w:val="21"/>
                      <w:szCs w:val="21"/>
                    </w:rPr>
                  </w:pPr>
                </w:p>
              </w:tc>
              <w:tc>
                <w:tcPr>
                  <w:tcW w:w="1276" w:type="dxa"/>
                  <w:vAlign w:val="center"/>
                </w:tcPr>
                <w:p w14:paraId="0BE304DD">
                  <w:pPr>
                    <w:jc w:val="center"/>
                    <w:rPr>
                      <w:rFonts w:cs="Times New Roman"/>
                      <w:kern w:val="0"/>
                      <w:sz w:val="21"/>
                      <w:szCs w:val="21"/>
                    </w:rPr>
                  </w:pPr>
                  <w:r>
                    <w:rPr>
                      <w:rFonts w:cs="Times New Roman"/>
                      <w:kern w:val="0"/>
                      <w:sz w:val="21"/>
                      <w:szCs w:val="21"/>
                    </w:rPr>
                    <w:t>最大指数</w:t>
                  </w:r>
                </w:p>
              </w:tc>
              <w:tc>
                <w:tcPr>
                  <w:tcW w:w="2177" w:type="dxa"/>
                  <w:vAlign w:val="center"/>
                </w:tcPr>
                <w:p w14:paraId="1F3E398D">
                  <w:pPr>
                    <w:jc w:val="center"/>
                    <w:rPr>
                      <w:rFonts w:cs="Times New Roman"/>
                      <w:kern w:val="0"/>
                      <w:sz w:val="21"/>
                      <w:szCs w:val="21"/>
                    </w:rPr>
                  </w:pPr>
                  <w:r>
                    <w:rPr>
                      <w:rFonts w:hint="eastAsia" w:cs="Times New Roman"/>
                      <w:kern w:val="0"/>
                      <w:sz w:val="21"/>
                      <w:szCs w:val="21"/>
                    </w:rPr>
                    <w:t>0.58</w:t>
                  </w:r>
                </w:p>
              </w:tc>
              <w:tc>
                <w:tcPr>
                  <w:tcW w:w="2177" w:type="dxa"/>
                  <w:vAlign w:val="center"/>
                </w:tcPr>
                <w:p w14:paraId="31329098">
                  <w:pPr>
                    <w:jc w:val="center"/>
                    <w:rPr>
                      <w:rFonts w:cs="Times New Roman"/>
                      <w:kern w:val="0"/>
                      <w:sz w:val="21"/>
                      <w:szCs w:val="21"/>
                    </w:rPr>
                  </w:pPr>
                  <w:r>
                    <w:rPr>
                      <w:rFonts w:hint="eastAsia" w:cs="Times New Roman"/>
                      <w:kern w:val="0"/>
                      <w:sz w:val="21"/>
                      <w:szCs w:val="21"/>
                    </w:rPr>
                    <w:t>0.63</w:t>
                  </w:r>
                </w:p>
              </w:tc>
            </w:tr>
            <w:tr w14:paraId="0056B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2306DF5C">
                  <w:pPr>
                    <w:jc w:val="center"/>
                    <w:rPr>
                      <w:rFonts w:cs="Times New Roman"/>
                      <w:kern w:val="0"/>
                      <w:sz w:val="21"/>
                      <w:szCs w:val="21"/>
                    </w:rPr>
                  </w:pPr>
                </w:p>
              </w:tc>
              <w:tc>
                <w:tcPr>
                  <w:tcW w:w="1134" w:type="dxa"/>
                  <w:vMerge w:val="continue"/>
                  <w:vAlign w:val="center"/>
                </w:tcPr>
                <w:p w14:paraId="59B396D3">
                  <w:pPr>
                    <w:jc w:val="center"/>
                    <w:rPr>
                      <w:rFonts w:cs="Times New Roman"/>
                      <w:kern w:val="0"/>
                      <w:sz w:val="21"/>
                      <w:szCs w:val="21"/>
                    </w:rPr>
                  </w:pPr>
                </w:p>
              </w:tc>
              <w:tc>
                <w:tcPr>
                  <w:tcW w:w="1276" w:type="dxa"/>
                  <w:vAlign w:val="center"/>
                </w:tcPr>
                <w:p w14:paraId="59AE04A7">
                  <w:pPr>
                    <w:jc w:val="center"/>
                    <w:rPr>
                      <w:rFonts w:cs="Times New Roman"/>
                      <w:kern w:val="0"/>
                      <w:sz w:val="21"/>
                      <w:szCs w:val="21"/>
                    </w:rPr>
                  </w:pPr>
                  <w:r>
                    <w:rPr>
                      <w:rFonts w:cs="Times New Roman"/>
                      <w:kern w:val="0"/>
                      <w:sz w:val="21"/>
                      <w:szCs w:val="21"/>
                    </w:rPr>
                    <w:t>是否超标</w:t>
                  </w:r>
                </w:p>
              </w:tc>
              <w:tc>
                <w:tcPr>
                  <w:tcW w:w="2177" w:type="dxa"/>
                  <w:vAlign w:val="center"/>
                </w:tcPr>
                <w:p w14:paraId="03F55902">
                  <w:pPr>
                    <w:jc w:val="center"/>
                    <w:rPr>
                      <w:rFonts w:cs="Times New Roman"/>
                      <w:kern w:val="0"/>
                      <w:sz w:val="21"/>
                      <w:szCs w:val="21"/>
                    </w:rPr>
                  </w:pPr>
                  <w:r>
                    <w:rPr>
                      <w:rFonts w:hint="eastAsia" w:cs="Times New Roman"/>
                      <w:kern w:val="0"/>
                      <w:sz w:val="21"/>
                      <w:szCs w:val="21"/>
                    </w:rPr>
                    <w:t>否</w:t>
                  </w:r>
                </w:p>
              </w:tc>
              <w:tc>
                <w:tcPr>
                  <w:tcW w:w="2177" w:type="dxa"/>
                  <w:vAlign w:val="center"/>
                </w:tcPr>
                <w:p w14:paraId="76644923">
                  <w:pPr>
                    <w:jc w:val="center"/>
                    <w:rPr>
                      <w:rFonts w:cs="Times New Roman"/>
                      <w:kern w:val="0"/>
                      <w:sz w:val="21"/>
                      <w:szCs w:val="21"/>
                    </w:rPr>
                  </w:pPr>
                  <w:r>
                    <w:rPr>
                      <w:rFonts w:hint="eastAsia" w:cs="Times New Roman"/>
                      <w:kern w:val="0"/>
                      <w:sz w:val="21"/>
                      <w:szCs w:val="21"/>
                    </w:rPr>
                    <w:t>否</w:t>
                  </w:r>
                </w:p>
              </w:tc>
            </w:tr>
            <w:tr w14:paraId="7BFB6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19063E62">
                  <w:pPr>
                    <w:jc w:val="center"/>
                    <w:rPr>
                      <w:rFonts w:cs="Times New Roman"/>
                      <w:kern w:val="0"/>
                      <w:sz w:val="21"/>
                      <w:szCs w:val="21"/>
                    </w:rPr>
                  </w:pPr>
                  <w:r>
                    <w:rPr>
                      <w:rFonts w:hint="eastAsia" w:cs="Times New Roman"/>
                      <w:kern w:val="0"/>
                      <w:sz w:val="21"/>
                      <w:szCs w:val="21"/>
                    </w:rPr>
                    <w:t>4</w:t>
                  </w:r>
                </w:p>
              </w:tc>
              <w:tc>
                <w:tcPr>
                  <w:tcW w:w="1134" w:type="dxa"/>
                  <w:vMerge w:val="restart"/>
                  <w:vAlign w:val="center"/>
                </w:tcPr>
                <w:p w14:paraId="1F93F4D8">
                  <w:pPr>
                    <w:jc w:val="center"/>
                    <w:rPr>
                      <w:rFonts w:cs="Times New Roman"/>
                      <w:kern w:val="0"/>
                      <w:sz w:val="21"/>
                      <w:szCs w:val="21"/>
                    </w:rPr>
                  </w:pPr>
                  <w:r>
                    <w:rPr>
                      <w:rFonts w:hint="eastAsia" w:cs="Times New Roman"/>
                      <w:kern w:val="0"/>
                      <w:sz w:val="21"/>
                      <w:szCs w:val="21"/>
                    </w:rPr>
                    <w:t>NH</w:t>
                  </w:r>
                  <w:r>
                    <w:rPr>
                      <w:rFonts w:hint="eastAsia" w:cs="Times New Roman"/>
                      <w:kern w:val="0"/>
                      <w:sz w:val="21"/>
                      <w:szCs w:val="21"/>
                      <w:vertAlign w:val="subscript"/>
                    </w:rPr>
                    <w:t>3</w:t>
                  </w:r>
                  <w:r>
                    <w:rPr>
                      <w:rFonts w:hint="eastAsia" w:cs="Times New Roman"/>
                      <w:kern w:val="0"/>
                      <w:sz w:val="21"/>
                      <w:szCs w:val="21"/>
                    </w:rPr>
                    <w:t>-N</w:t>
                  </w:r>
                </w:p>
              </w:tc>
              <w:tc>
                <w:tcPr>
                  <w:tcW w:w="1276" w:type="dxa"/>
                  <w:vAlign w:val="center"/>
                </w:tcPr>
                <w:p w14:paraId="0A24D001">
                  <w:pPr>
                    <w:jc w:val="center"/>
                    <w:rPr>
                      <w:rFonts w:cs="Times New Roman"/>
                      <w:kern w:val="0"/>
                      <w:sz w:val="21"/>
                      <w:szCs w:val="21"/>
                    </w:rPr>
                  </w:pPr>
                  <w:r>
                    <w:rPr>
                      <w:rFonts w:cs="Times New Roman"/>
                      <w:kern w:val="0"/>
                      <w:sz w:val="21"/>
                      <w:szCs w:val="21"/>
                    </w:rPr>
                    <w:t>指数范围</w:t>
                  </w:r>
                </w:p>
              </w:tc>
              <w:tc>
                <w:tcPr>
                  <w:tcW w:w="2177" w:type="dxa"/>
                  <w:vAlign w:val="center"/>
                </w:tcPr>
                <w:p w14:paraId="414C71A2">
                  <w:pPr>
                    <w:jc w:val="center"/>
                    <w:rPr>
                      <w:rFonts w:cs="Times New Roman"/>
                      <w:kern w:val="0"/>
                      <w:sz w:val="21"/>
                      <w:szCs w:val="21"/>
                    </w:rPr>
                  </w:pPr>
                  <w:r>
                    <w:rPr>
                      <w:rFonts w:hint="eastAsia" w:cs="Times New Roman"/>
                      <w:kern w:val="0"/>
                      <w:sz w:val="21"/>
                      <w:szCs w:val="21"/>
                    </w:rPr>
                    <w:t>0.085-0.096</w:t>
                  </w:r>
                </w:p>
              </w:tc>
              <w:tc>
                <w:tcPr>
                  <w:tcW w:w="2177" w:type="dxa"/>
                  <w:vAlign w:val="center"/>
                </w:tcPr>
                <w:p w14:paraId="2CB02154">
                  <w:pPr>
                    <w:jc w:val="center"/>
                    <w:rPr>
                      <w:rFonts w:cs="Times New Roman"/>
                      <w:kern w:val="0"/>
                      <w:sz w:val="21"/>
                      <w:szCs w:val="21"/>
                    </w:rPr>
                  </w:pPr>
                  <w:r>
                    <w:rPr>
                      <w:rFonts w:hint="eastAsia" w:cs="Times New Roman"/>
                      <w:kern w:val="0"/>
                      <w:sz w:val="21"/>
                      <w:szCs w:val="21"/>
                    </w:rPr>
                    <w:t>0.138-0.150</w:t>
                  </w:r>
                </w:p>
              </w:tc>
            </w:tr>
            <w:tr w14:paraId="362F6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7690D9E2">
                  <w:pPr>
                    <w:jc w:val="center"/>
                    <w:rPr>
                      <w:rFonts w:cs="Times New Roman"/>
                      <w:kern w:val="0"/>
                      <w:sz w:val="21"/>
                      <w:szCs w:val="21"/>
                    </w:rPr>
                  </w:pPr>
                </w:p>
              </w:tc>
              <w:tc>
                <w:tcPr>
                  <w:tcW w:w="1134" w:type="dxa"/>
                  <w:vMerge w:val="continue"/>
                  <w:vAlign w:val="center"/>
                </w:tcPr>
                <w:p w14:paraId="2E03B69A">
                  <w:pPr>
                    <w:jc w:val="center"/>
                    <w:rPr>
                      <w:rFonts w:cs="Times New Roman"/>
                      <w:kern w:val="0"/>
                      <w:sz w:val="21"/>
                      <w:szCs w:val="21"/>
                    </w:rPr>
                  </w:pPr>
                </w:p>
              </w:tc>
              <w:tc>
                <w:tcPr>
                  <w:tcW w:w="1276" w:type="dxa"/>
                  <w:vAlign w:val="center"/>
                </w:tcPr>
                <w:p w14:paraId="5F810364">
                  <w:pPr>
                    <w:jc w:val="center"/>
                    <w:rPr>
                      <w:rFonts w:cs="Times New Roman"/>
                      <w:kern w:val="0"/>
                      <w:sz w:val="21"/>
                      <w:szCs w:val="21"/>
                    </w:rPr>
                  </w:pPr>
                  <w:r>
                    <w:rPr>
                      <w:rFonts w:cs="Times New Roman"/>
                      <w:kern w:val="0"/>
                      <w:sz w:val="21"/>
                      <w:szCs w:val="21"/>
                    </w:rPr>
                    <w:t>最大指数</w:t>
                  </w:r>
                </w:p>
              </w:tc>
              <w:tc>
                <w:tcPr>
                  <w:tcW w:w="2177" w:type="dxa"/>
                  <w:vAlign w:val="center"/>
                </w:tcPr>
                <w:p w14:paraId="736BFE2C">
                  <w:pPr>
                    <w:jc w:val="center"/>
                    <w:rPr>
                      <w:rFonts w:cs="Times New Roman"/>
                      <w:kern w:val="0"/>
                      <w:sz w:val="21"/>
                      <w:szCs w:val="21"/>
                    </w:rPr>
                  </w:pPr>
                  <w:r>
                    <w:rPr>
                      <w:rFonts w:hint="eastAsia" w:cs="Times New Roman"/>
                      <w:kern w:val="0"/>
                      <w:sz w:val="21"/>
                      <w:szCs w:val="21"/>
                    </w:rPr>
                    <w:t>0.096</w:t>
                  </w:r>
                </w:p>
              </w:tc>
              <w:tc>
                <w:tcPr>
                  <w:tcW w:w="2177" w:type="dxa"/>
                  <w:vAlign w:val="center"/>
                </w:tcPr>
                <w:p w14:paraId="1102DEF0">
                  <w:pPr>
                    <w:jc w:val="center"/>
                    <w:rPr>
                      <w:rFonts w:cs="Times New Roman"/>
                      <w:kern w:val="0"/>
                      <w:sz w:val="21"/>
                      <w:szCs w:val="21"/>
                    </w:rPr>
                  </w:pPr>
                  <w:r>
                    <w:rPr>
                      <w:rFonts w:hint="eastAsia" w:cs="Times New Roman"/>
                      <w:kern w:val="0"/>
                      <w:sz w:val="21"/>
                      <w:szCs w:val="21"/>
                    </w:rPr>
                    <w:t>0.150</w:t>
                  </w:r>
                </w:p>
              </w:tc>
            </w:tr>
            <w:tr w14:paraId="536EB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53B17356">
                  <w:pPr>
                    <w:jc w:val="center"/>
                    <w:rPr>
                      <w:rFonts w:cs="Times New Roman"/>
                      <w:kern w:val="0"/>
                      <w:sz w:val="21"/>
                      <w:szCs w:val="21"/>
                    </w:rPr>
                  </w:pPr>
                </w:p>
              </w:tc>
              <w:tc>
                <w:tcPr>
                  <w:tcW w:w="1134" w:type="dxa"/>
                  <w:vMerge w:val="continue"/>
                  <w:vAlign w:val="center"/>
                </w:tcPr>
                <w:p w14:paraId="59A29E74">
                  <w:pPr>
                    <w:jc w:val="center"/>
                    <w:rPr>
                      <w:rFonts w:cs="Times New Roman"/>
                      <w:kern w:val="0"/>
                      <w:sz w:val="21"/>
                      <w:szCs w:val="21"/>
                    </w:rPr>
                  </w:pPr>
                </w:p>
              </w:tc>
              <w:tc>
                <w:tcPr>
                  <w:tcW w:w="1276" w:type="dxa"/>
                  <w:vAlign w:val="center"/>
                </w:tcPr>
                <w:p w14:paraId="4EA5BDC7">
                  <w:pPr>
                    <w:jc w:val="center"/>
                    <w:rPr>
                      <w:rFonts w:cs="Times New Roman"/>
                      <w:kern w:val="0"/>
                      <w:sz w:val="21"/>
                      <w:szCs w:val="21"/>
                    </w:rPr>
                  </w:pPr>
                  <w:r>
                    <w:rPr>
                      <w:rFonts w:cs="Times New Roman"/>
                      <w:kern w:val="0"/>
                      <w:sz w:val="21"/>
                      <w:szCs w:val="21"/>
                    </w:rPr>
                    <w:t>是否超标</w:t>
                  </w:r>
                </w:p>
              </w:tc>
              <w:tc>
                <w:tcPr>
                  <w:tcW w:w="2177" w:type="dxa"/>
                  <w:vAlign w:val="center"/>
                </w:tcPr>
                <w:p w14:paraId="476E5BE0">
                  <w:pPr>
                    <w:jc w:val="center"/>
                    <w:rPr>
                      <w:rFonts w:cs="Times New Roman"/>
                      <w:kern w:val="0"/>
                      <w:sz w:val="21"/>
                      <w:szCs w:val="21"/>
                    </w:rPr>
                  </w:pPr>
                  <w:r>
                    <w:rPr>
                      <w:rFonts w:hint="eastAsia" w:cs="Times New Roman"/>
                      <w:kern w:val="0"/>
                      <w:sz w:val="21"/>
                      <w:szCs w:val="21"/>
                    </w:rPr>
                    <w:t>否</w:t>
                  </w:r>
                </w:p>
              </w:tc>
              <w:tc>
                <w:tcPr>
                  <w:tcW w:w="2177" w:type="dxa"/>
                  <w:vAlign w:val="center"/>
                </w:tcPr>
                <w:p w14:paraId="6FC77F62">
                  <w:pPr>
                    <w:jc w:val="center"/>
                    <w:rPr>
                      <w:rFonts w:cs="Times New Roman"/>
                      <w:kern w:val="0"/>
                      <w:sz w:val="21"/>
                      <w:szCs w:val="21"/>
                    </w:rPr>
                  </w:pPr>
                  <w:r>
                    <w:rPr>
                      <w:rFonts w:hint="eastAsia" w:cs="Times New Roman"/>
                      <w:kern w:val="0"/>
                      <w:sz w:val="21"/>
                      <w:szCs w:val="21"/>
                    </w:rPr>
                    <w:t>否</w:t>
                  </w:r>
                </w:p>
              </w:tc>
            </w:tr>
            <w:tr w14:paraId="0224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59B1A796">
                  <w:pPr>
                    <w:jc w:val="center"/>
                    <w:rPr>
                      <w:rFonts w:cs="Times New Roman"/>
                      <w:kern w:val="0"/>
                      <w:sz w:val="21"/>
                      <w:szCs w:val="21"/>
                    </w:rPr>
                  </w:pPr>
                  <w:r>
                    <w:rPr>
                      <w:rFonts w:hint="eastAsia" w:cs="Times New Roman"/>
                      <w:kern w:val="0"/>
                      <w:sz w:val="21"/>
                      <w:szCs w:val="21"/>
                    </w:rPr>
                    <w:t>5</w:t>
                  </w:r>
                </w:p>
              </w:tc>
              <w:tc>
                <w:tcPr>
                  <w:tcW w:w="1134" w:type="dxa"/>
                  <w:vMerge w:val="restart"/>
                  <w:vAlign w:val="center"/>
                </w:tcPr>
                <w:p w14:paraId="0F77148A">
                  <w:pPr>
                    <w:jc w:val="center"/>
                    <w:rPr>
                      <w:rFonts w:cs="Times New Roman"/>
                      <w:kern w:val="0"/>
                      <w:sz w:val="21"/>
                      <w:szCs w:val="21"/>
                    </w:rPr>
                  </w:pPr>
                  <w:r>
                    <w:rPr>
                      <w:rFonts w:hint="eastAsia" w:cs="Times New Roman"/>
                      <w:kern w:val="0"/>
                      <w:sz w:val="21"/>
                      <w:szCs w:val="21"/>
                    </w:rPr>
                    <w:t>TP</w:t>
                  </w:r>
                </w:p>
              </w:tc>
              <w:tc>
                <w:tcPr>
                  <w:tcW w:w="1276" w:type="dxa"/>
                  <w:vAlign w:val="center"/>
                </w:tcPr>
                <w:p w14:paraId="665BACF3">
                  <w:pPr>
                    <w:jc w:val="center"/>
                    <w:rPr>
                      <w:rFonts w:cs="Times New Roman"/>
                      <w:kern w:val="0"/>
                      <w:sz w:val="21"/>
                      <w:szCs w:val="21"/>
                    </w:rPr>
                  </w:pPr>
                  <w:r>
                    <w:rPr>
                      <w:rFonts w:cs="Times New Roman"/>
                      <w:kern w:val="0"/>
                      <w:sz w:val="21"/>
                      <w:szCs w:val="21"/>
                    </w:rPr>
                    <w:t>指数范围</w:t>
                  </w:r>
                </w:p>
              </w:tc>
              <w:tc>
                <w:tcPr>
                  <w:tcW w:w="2177" w:type="dxa"/>
                  <w:vAlign w:val="center"/>
                </w:tcPr>
                <w:p w14:paraId="6606D6AB">
                  <w:pPr>
                    <w:jc w:val="center"/>
                    <w:rPr>
                      <w:rFonts w:cs="Times New Roman"/>
                      <w:kern w:val="0"/>
                      <w:sz w:val="21"/>
                      <w:szCs w:val="21"/>
                    </w:rPr>
                  </w:pPr>
                  <w:r>
                    <w:rPr>
                      <w:rFonts w:hint="eastAsia" w:cs="Times New Roman"/>
                      <w:kern w:val="0"/>
                      <w:sz w:val="21"/>
                      <w:szCs w:val="21"/>
                    </w:rPr>
                    <w:t>0.10-0.15</w:t>
                  </w:r>
                </w:p>
              </w:tc>
              <w:tc>
                <w:tcPr>
                  <w:tcW w:w="2177" w:type="dxa"/>
                  <w:vAlign w:val="center"/>
                </w:tcPr>
                <w:p w14:paraId="2F6649A5">
                  <w:pPr>
                    <w:jc w:val="center"/>
                    <w:rPr>
                      <w:rFonts w:cs="Times New Roman"/>
                      <w:kern w:val="0"/>
                      <w:sz w:val="21"/>
                      <w:szCs w:val="21"/>
                    </w:rPr>
                  </w:pPr>
                  <w:r>
                    <w:rPr>
                      <w:rFonts w:hint="eastAsia" w:cs="Times New Roman"/>
                      <w:kern w:val="0"/>
                      <w:sz w:val="21"/>
                      <w:szCs w:val="21"/>
                    </w:rPr>
                    <w:t>0.15-0.20</w:t>
                  </w:r>
                </w:p>
              </w:tc>
            </w:tr>
            <w:tr w14:paraId="508F4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3BDAB938">
                  <w:pPr>
                    <w:jc w:val="center"/>
                    <w:rPr>
                      <w:rFonts w:cs="Times New Roman"/>
                      <w:kern w:val="0"/>
                      <w:sz w:val="21"/>
                      <w:szCs w:val="21"/>
                    </w:rPr>
                  </w:pPr>
                </w:p>
              </w:tc>
              <w:tc>
                <w:tcPr>
                  <w:tcW w:w="1134" w:type="dxa"/>
                  <w:vMerge w:val="continue"/>
                  <w:vAlign w:val="center"/>
                </w:tcPr>
                <w:p w14:paraId="51007342">
                  <w:pPr>
                    <w:jc w:val="center"/>
                    <w:rPr>
                      <w:rFonts w:cs="Times New Roman"/>
                      <w:kern w:val="0"/>
                      <w:sz w:val="21"/>
                      <w:szCs w:val="21"/>
                    </w:rPr>
                  </w:pPr>
                </w:p>
              </w:tc>
              <w:tc>
                <w:tcPr>
                  <w:tcW w:w="1276" w:type="dxa"/>
                  <w:vAlign w:val="center"/>
                </w:tcPr>
                <w:p w14:paraId="19529A9F">
                  <w:pPr>
                    <w:jc w:val="center"/>
                    <w:rPr>
                      <w:rFonts w:cs="Times New Roman"/>
                      <w:kern w:val="0"/>
                      <w:sz w:val="21"/>
                      <w:szCs w:val="21"/>
                    </w:rPr>
                  </w:pPr>
                  <w:r>
                    <w:rPr>
                      <w:rFonts w:cs="Times New Roman"/>
                      <w:kern w:val="0"/>
                      <w:sz w:val="21"/>
                      <w:szCs w:val="21"/>
                    </w:rPr>
                    <w:t>最大指数</w:t>
                  </w:r>
                </w:p>
              </w:tc>
              <w:tc>
                <w:tcPr>
                  <w:tcW w:w="2177" w:type="dxa"/>
                  <w:vAlign w:val="center"/>
                </w:tcPr>
                <w:p w14:paraId="110291F8">
                  <w:pPr>
                    <w:jc w:val="center"/>
                    <w:rPr>
                      <w:rFonts w:cs="Times New Roman"/>
                      <w:kern w:val="0"/>
                      <w:sz w:val="21"/>
                      <w:szCs w:val="21"/>
                    </w:rPr>
                  </w:pPr>
                  <w:r>
                    <w:rPr>
                      <w:rFonts w:hint="eastAsia" w:cs="Times New Roman"/>
                      <w:kern w:val="0"/>
                      <w:sz w:val="21"/>
                      <w:szCs w:val="21"/>
                    </w:rPr>
                    <w:t>0.15</w:t>
                  </w:r>
                </w:p>
              </w:tc>
              <w:tc>
                <w:tcPr>
                  <w:tcW w:w="2177" w:type="dxa"/>
                  <w:vAlign w:val="center"/>
                </w:tcPr>
                <w:p w14:paraId="2AA68028">
                  <w:pPr>
                    <w:jc w:val="center"/>
                    <w:rPr>
                      <w:rFonts w:cs="Times New Roman"/>
                      <w:kern w:val="0"/>
                      <w:sz w:val="21"/>
                      <w:szCs w:val="21"/>
                    </w:rPr>
                  </w:pPr>
                  <w:r>
                    <w:rPr>
                      <w:rFonts w:hint="eastAsia" w:cs="Times New Roman"/>
                      <w:kern w:val="0"/>
                      <w:sz w:val="21"/>
                      <w:szCs w:val="21"/>
                    </w:rPr>
                    <w:t>0.20</w:t>
                  </w:r>
                </w:p>
              </w:tc>
            </w:tr>
            <w:tr w14:paraId="27D9B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2397A4B5">
                  <w:pPr>
                    <w:jc w:val="center"/>
                    <w:rPr>
                      <w:rFonts w:cs="Times New Roman"/>
                      <w:kern w:val="0"/>
                      <w:sz w:val="21"/>
                      <w:szCs w:val="21"/>
                    </w:rPr>
                  </w:pPr>
                </w:p>
              </w:tc>
              <w:tc>
                <w:tcPr>
                  <w:tcW w:w="1134" w:type="dxa"/>
                  <w:vMerge w:val="continue"/>
                  <w:vAlign w:val="center"/>
                </w:tcPr>
                <w:p w14:paraId="0B967445">
                  <w:pPr>
                    <w:jc w:val="center"/>
                    <w:rPr>
                      <w:rFonts w:cs="Times New Roman"/>
                      <w:kern w:val="0"/>
                      <w:sz w:val="21"/>
                      <w:szCs w:val="21"/>
                    </w:rPr>
                  </w:pPr>
                </w:p>
              </w:tc>
              <w:tc>
                <w:tcPr>
                  <w:tcW w:w="1276" w:type="dxa"/>
                  <w:vAlign w:val="center"/>
                </w:tcPr>
                <w:p w14:paraId="25F73D9B">
                  <w:pPr>
                    <w:jc w:val="center"/>
                    <w:rPr>
                      <w:rFonts w:cs="Times New Roman"/>
                      <w:kern w:val="0"/>
                      <w:sz w:val="21"/>
                      <w:szCs w:val="21"/>
                    </w:rPr>
                  </w:pPr>
                  <w:r>
                    <w:rPr>
                      <w:rFonts w:cs="Times New Roman"/>
                      <w:kern w:val="0"/>
                      <w:sz w:val="21"/>
                      <w:szCs w:val="21"/>
                    </w:rPr>
                    <w:t>是否超标</w:t>
                  </w:r>
                </w:p>
              </w:tc>
              <w:tc>
                <w:tcPr>
                  <w:tcW w:w="2177" w:type="dxa"/>
                  <w:vAlign w:val="center"/>
                </w:tcPr>
                <w:p w14:paraId="1903222D">
                  <w:pPr>
                    <w:jc w:val="center"/>
                    <w:rPr>
                      <w:rFonts w:cs="Times New Roman"/>
                      <w:kern w:val="0"/>
                      <w:sz w:val="21"/>
                      <w:szCs w:val="21"/>
                    </w:rPr>
                  </w:pPr>
                  <w:r>
                    <w:rPr>
                      <w:rFonts w:hint="eastAsia" w:cs="Times New Roman"/>
                      <w:kern w:val="0"/>
                      <w:sz w:val="21"/>
                      <w:szCs w:val="21"/>
                    </w:rPr>
                    <w:t>否</w:t>
                  </w:r>
                </w:p>
              </w:tc>
              <w:tc>
                <w:tcPr>
                  <w:tcW w:w="2177" w:type="dxa"/>
                  <w:vAlign w:val="center"/>
                </w:tcPr>
                <w:p w14:paraId="2842DB09">
                  <w:pPr>
                    <w:jc w:val="center"/>
                    <w:rPr>
                      <w:rFonts w:cs="Times New Roman"/>
                      <w:kern w:val="0"/>
                      <w:sz w:val="21"/>
                      <w:szCs w:val="21"/>
                    </w:rPr>
                  </w:pPr>
                  <w:r>
                    <w:rPr>
                      <w:rFonts w:hint="eastAsia" w:cs="Times New Roman"/>
                      <w:kern w:val="0"/>
                      <w:sz w:val="21"/>
                      <w:szCs w:val="21"/>
                    </w:rPr>
                    <w:t>否</w:t>
                  </w:r>
                </w:p>
              </w:tc>
            </w:tr>
            <w:tr w14:paraId="7E3F2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66045458">
                  <w:pPr>
                    <w:jc w:val="center"/>
                    <w:rPr>
                      <w:rFonts w:cs="Times New Roman"/>
                      <w:kern w:val="0"/>
                      <w:sz w:val="21"/>
                      <w:szCs w:val="21"/>
                    </w:rPr>
                  </w:pPr>
                  <w:r>
                    <w:rPr>
                      <w:rFonts w:hint="eastAsia" w:cs="Times New Roman"/>
                      <w:kern w:val="0"/>
                      <w:sz w:val="21"/>
                      <w:szCs w:val="21"/>
                    </w:rPr>
                    <w:t>6</w:t>
                  </w:r>
                </w:p>
              </w:tc>
              <w:tc>
                <w:tcPr>
                  <w:tcW w:w="1134" w:type="dxa"/>
                  <w:vMerge w:val="restart"/>
                  <w:vAlign w:val="center"/>
                </w:tcPr>
                <w:p w14:paraId="4F24A7E2">
                  <w:pPr>
                    <w:jc w:val="center"/>
                    <w:rPr>
                      <w:rFonts w:cs="Times New Roman"/>
                      <w:kern w:val="0"/>
                      <w:sz w:val="21"/>
                      <w:szCs w:val="21"/>
                    </w:rPr>
                  </w:pPr>
                  <w:r>
                    <w:rPr>
                      <w:rFonts w:hint="eastAsia" w:cs="Times New Roman"/>
                      <w:kern w:val="0"/>
                      <w:sz w:val="21"/>
                      <w:szCs w:val="21"/>
                    </w:rPr>
                    <w:t>TN</w:t>
                  </w:r>
                </w:p>
              </w:tc>
              <w:tc>
                <w:tcPr>
                  <w:tcW w:w="1276" w:type="dxa"/>
                  <w:vAlign w:val="center"/>
                </w:tcPr>
                <w:p w14:paraId="4C4962DD">
                  <w:pPr>
                    <w:jc w:val="center"/>
                    <w:rPr>
                      <w:rFonts w:cs="Times New Roman"/>
                      <w:kern w:val="0"/>
                      <w:sz w:val="21"/>
                      <w:szCs w:val="21"/>
                    </w:rPr>
                  </w:pPr>
                  <w:r>
                    <w:rPr>
                      <w:rFonts w:cs="Times New Roman"/>
                      <w:kern w:val="0"/>
                      <w:sz w:val="21"/>
                      <w:szCs w:val="21"/>
                    </w:rPr>
                    <w:t>指数范围</w:t>
                  </w:r>
                </w:p>
              </w:tc>
              <w:tc>
                <w:tcPr>
                  <w:tcW w:w="2177" w:type="dxa"/>
                  <w:vAlign w:val="center"/>
                </w:tcPr>
                <w:p w14:paraId="3662A95A">
                  <w:pPr>
                    <w:jc w:val="center"/>
                    <w:rPr>
                      <w:rFonts w:cs="Times New Roman"/>
                      <w:kern w:val="0"/>
                      <w:sz w:val="21"/>
                      <w:szCs w:val="21"/>
                    </w:rPr>
                  </w:pPr>
                  <w:r>
                    <w:rPr>
                      <w:rFonts w:hint="eastAsia" w:cs="Times New Roman"/>
                      <w:kern w:val="0"/>
                      <w:sz w:val="21"/>
                      <w:szCs w:val="21"/>
                    </w:rPr>
                    <w:t>0.17-0.18</w:t>
                  </w:r>
                </w:p>
              </w:tc>
              <w:tc>
                <w:tcPr>
                  <w:tcW w:w="2177" w:type="dxa"/>
                  <w:vAlign w:val="center"/>
                </w:tcPr>
                <w:p w14:paraId="0207BF36">
                  <w:pPr>
                    <w:jc w:val="center"/>
                    <w:rPr>
                      <w:rFonts w:cs="Times New Roman"/>
                      <w:kern w:val="0"/>
                      <w:sz w:val="21"/>
                      <w:szCs w:val="21"/>
                    </w:rPr>
                  </w:pPr>
                  <w:r>
                    <w:rPr>
                      <w:rFonts w:hint="eastAsia" w:cs="Times New Roman"/>
                      <w:kern w:val="0"/>
                      <w:sz w:val="21"/>
                      <w:szCs w:val="21"/>
                    </w:rPr>
                    <w:t>0.26-0.31</w:t>
                  </w:r>
                </w:p>
              </w:tc>
            </w:tr>
            <w:tr w14:paraId="74750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570C3516">
                  <w:pPr>
                    <w:jc w:val="center"/>
                    <w:rPr>
                      <w:rFonts w:cs="Times New Roman"/>
                      <w:kern w:val="0"/>
                      <w:sz w:val="21"/>
                      <w:szCs w:val="21"/>
                    </w:rPr>
                  </w:pPr>
                </w:p>
              </w:tc>
              <w:tc>
                <w:tcPr>
                  <w:tcW w:w="1134" w:type="dxa"/>
                  <w:vMerge w:val="continue"/>
                  <w:vAlign w:val="center"/>
                </w:tcPr>
                <w:p w14:paraId="0A5D5E4B">
                  <w:pPr>
                    <w:jc w:val="center"/>
                    <w:rPr>
                      <w:rFonts w:cs="Times New Roman"/>
                      <w:kern w:val="0"/>
                      <w:sz w:val="21"/>
                      <w:szCs w:val="21"/>
                    </w:rPr>
                  </w:pPr>
                </w:p>
              </w:tc>
              <w:tc>
                <w:tcPr>
                  <w:tcW w:w="1276" w:type="dxa"/>
                  <w:vAlign w:val="center"/>
                </w:tcPr>
                <w:p w14:paraId="3AF719CB">
                  <w:pPr>
                    <w:jc w:val="center"/>
                    <w:rPr>
                      <w:rFonts w:cs="Times New Roman"/>
                      <w:kern w:val="0"/>
                      <w:sz w:val="21"/>
                      <w:szCs w:val="21"/>
                    </w:rPr>
                  </w:pPr>
                  <w:r>
                    <w:rPr>
                      <w:rFonts w:cs="Times New Roman"/>
                      <w:kern w:val="0"/>
                      <w:sz w:val="21"/>
                      <w:szCs w:val="21"/>
                    </w:rPr>
                    <w:t>最大指数</w:t>
                  </w:r>
                </w:p>
              </w:tc>
              <w:tc>
                <w:tcPr>
                  <w:tcW w:w="2177" w:type="dxa"/>
                  <w:vAlign w:val="center"/>
                </w:tcPr>
                <w:p w14:paraId="34A56394">
                  <w:pPr>
                    <w:jc w:val="center"/>
                    <w:rPr>
                      <w:rFonts w:cs="Times New Roman"/>
                      <w:kern w:val="0"/>
                      <w:sz w:val="21"/>
                      <w:szCs w:val="21"/>
                    </w:rPr>
                  </w:pPr>
                  <w:r>
                    <w:rPr>
                      <w:rFonts w:hint="eastAsia" w:cs="Times New Roman"/>
                      <w:kern w:val="0"/>
                      <w:sz w:val="21"/>
                      <w:szCs w:val="21"/>
                    </w:rPr>
                    <w:t>0.18</w:t>
                  </w:r>
                </w:p>
              </w:tc>
              <w:tc>
                <w:tcPr>
                  <w:tcW w:w="2177" w:type="dxa"/>
                  <w:vAlign w:val="center"/>
                </w:tcPr>
                <w:p w14:paraId="47E9EEA5">
                  <w:pPr>
                    <w:jc w:val="center"/>
                    <w:rPr>
                      <w:rFonts w:cs="Times New Roman"/>
                      <w:kern w:val="0"/>
                      <w:sz w:val="21"/>
                      <w:szCs w:val="21"/>
                    </w:rPr>
                  </w:pPr>
                  <w:r>
                    <w:rPr>
                      <w:rFonts w:hint="eastAsia" w:cs="Times New Roman"/>
                      <w:kern w:val="0"/>
                      <w:sz w:val="21"/>
                      <w:szCs w:val="21"/>
                    </w:rPr>
                    <w:t>0.31</w:t>
                  </w:r>
                </w:p>
              </w:tc>
            </w:tr>
            <w:tr w14:paraId="7EB5D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4994C8DD">
                  <w:pPr>
                    <w:jc w:val="center"/>
                    <w:rPr>
                      <w:rFonts w:cs="Times New Roman"/>
                      <w:kern w:val="0"/>
                      <w:sz w:val="21"/>
                      <w:szCs w:val="21"/>
                    </w:rPr>
                  </w:pPr>
                </w:p>
              </w:tc>
              <w:tc>
                <w:tcPr>
                  <w:tcW w:w="1134" w:type="dxa"/>
                  <w:vMerge w:val="continue"/>
                  <w:vAlign w:val="center"/>
                </w:tcPr>
                <w:p w14:paraId="6BEA9170">
                  <w:pPr>
                    <w:jc w:val="center"/>
                    <w:rPr>
                      <w:rFonts w:cs="Times New Roman"/>
                      <w:kern w:val="0"/>
                      <w:sz w:val="21"/>
                      <w:szCs w:val="21"/>
                    </w:rPr>
                  </w:pPr>
                </w:p>
              </w:tc>
              <w:tc>
                <w:tcPr>
                  <w:tcW w:w="1276" w:type="dxa"/>
                  <w:vAlign w:val="center"/>
                </w:tcPr>
                <w:p w14:paraId="20DA56A6">
                  <w:pPr>
                    <w:jc w:val="center"/>
                    <w:rPr>
                      <w:rFonts w:cs="Times New Roman"/>
                      <w:kern w:val="0"/>
                      <w:sz w:val="21"/>
                      <w:szCs w:val="21"/>
                    </w:rPr>
                  </w:pPr>
                  <w:r>
                    <w:rPr>
                      <w:rFonts w:cs="Times New Roman"/>
                      <w:kern w:val="0"/>
                      <w:sz w:val="21"/>
                      <w:szCs w:val="21"/>
                    </w:rPr>
                    <w:t>是否超标</w:t>
                  </w:r>
                </w:p>
              </w:tc>
              <w:tc>
                <w:tcPr>
                  <w:tcW w:w="2177" w:type="dxa"/>
                  <w:vAlign w:val="center"/>
                </w:tcPr>
                <w:p w14:paraId="733AD393">
                  <w:pPr>
                    <w:jc w:val="center"/>
                    <w:rPr>
                      <w:rFonts w:cs="Times New Roman"/>
                      <w:kern w:val="0"/>
                      <w:sz w:val="21"/>
                      <w:szCs w:val="21"/>
                    </w:rPr>
                  </w:pPr>
                  <w:r>
                    <w:rPr>
                      <w:rFonts w:hint="eastAsia" w:cs="Times New Roman"/>
                      <w:kern w:val="0"/>
                      <w:sz w:val="21"/>
                      <w:szCs w:val="21"/>
                    </w:rPr>
                    <w:t>否</w:t>
                  </w:r>
                </w:p>
              </w:tc>
              <w:tc>
                <w:tcPr>
                  <w:tcW w:w="2177" w:type="dxa"/>
                  <w:vAlign w:val="center"/>
                </w:tcPr>
                <w:p w14:paraId="32D3B43A">
                  <w:pPr>
                    <w:jc w:val="center"/>
                    <w:rPr>
                      <w:rFonts w:cs="Times New Roman"/>
                      <w:kern w:val="0"/>
                      <w:sz w:val="21"/>
                      <w:szCs w:val="21"/>
                    </w:rPr>
                  </w:pPr>
                  <w:r>
                    <w:rPr>
                      <w:rFonts w:hint="eastAsia" w:cs="Times New Roman"/>
                      <w:kern w:val="0"/>
                      <w:sz w:val="21"/>
                      <w:szCs w:val="21"/>
                    </w:rPr>
                    <w:t>否</w:t>
                  </w:r>
                </w:p>
              </w:tc>
            </w:tr>
            <w:tr w14:paraId="79B50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213CD91E">
                  <w:pPr>
                    <w:jc w:val="center"/>
                    <w:rPr>
                      <w:rFonts w:cs="Times New Roman"/>
                      <w:kern w:val="0"/>
                      <w:sz w:val="21"/>
                      <w:szCs w:val="21"/>
                    </w:rPr>
                  </w:pPr>
                  <w:r>
                    <w:rPr>
                      <w:rFonts w:hint="eastAsia" w:cs="Times New Roman"/>
                      <w:kern w:val="0"/>
                      <w:sz w:val="21"/>
                      <w:szCs w:val="21"/>
                    </w:rPr>
                    <w:t>7</w:t>
                  </w:r>
                </w:p>
              </w:tc>
              <w:tc>
                <w:tcPr>
                  <w:tcW w:w="1134" w:type="dxa"/>
                  <w:vMerge w:val="restart"/>
                  <w:vAlign w:val="center"/>
                </w:tcPr>
                <w:p w14:paraId="36620FC4">
                  <w:pPr>
                    <w:jc w:val="center"/>
                    <w:rPr>
                      <w:rFonts w:cs="Times New Roman"/>
                      <w:kern w:val="0"/>
                      <w:sz w:val="21"/>
                      <w:szCs w:val="21"/>
                    </w:rPr>
                  </w:pPr>
                  <w:r>
                    <w:rPr>
                      <w:rFonts w:hint="eastAsia" w:cs="Times New Roman"/>
                      <w:kern w:val="0"/>
                      <w:sz w:val="21"/>
                      <w:szCs w:val="21"/>
                    </w:rPr>
                    <w:t>石油类</w:t>
                  </w:r>
                </w:p>
              </w:tc>
              <w:tc>
                <w:tcPr>
                  <w:tcW w:w="1276" w:type="dxa"/>
                  <w:vAlign w:val="center"/>
                </w:tcPr>
                <w:p w14:paraId="6B03B10F">
                  <w:pPr>
                    <w:jc w:val="center"/>
                    <w:rPr>
                      <w:rFonts w:cs="Times New Roman"/>
                      <w:kern w:val="0"/>
                      <w:sz w:val="21"/>
                      <w:szCs w:val="21"/>
                    </w:rPr>
                  </w:pPr>
                  <w:r>
                    <w:rPr>
                      <w:rFonts w:cs="Times New Roman"/>
                      <w:kern w:val="0"/>
                      <w:sz w:val="21"/>
                      <w:szCs w:val="21"/>
                    </w:rPr>
                    <w:t>指数范围</w:t>
                  </w:r>
                </w:p>
              </w:tc>
              <w:tc>
                <w:tcPr>
                  <w:tcW w:w="2177" w:type="dxa"/>
                  <w:vAlign w:val="center"/>
                </w:tcPr>
                <w:p w14:paraId="07AC8B02">
                  <w:pPr>
                    <w:jc w:val="center"/>
                    <w:rPr>
                      <w:rFonts w:cs="Times New Roman"/>
                      <w:kern w:val="0"/>
                      <w:sz w:val="21"/>
                      <w:szCs w:val="21"/>
                    </w:rPr>
                  </w:pPr>
                  <w:r>
                    <w:rPr>
                      <w:rFonts w:hint="eastAsia" w:cs="Times New Roman"/>
                      <w:kern w:val="0"/>
                      <w:sz w:val="21"/>
                      <w:szCs w:val="21"/>
                    </w:rPr>
                    <w:t>/</w:t>
                  </w:r>
                </w:p>
              </w:tc>
              <w:tc>
                <w:tcPr>
                  <w:tcW w:w="2177" w:type="dxa"/>
                  <w:vAlign w:val="center"/>
                </w:tcPr>
                <w:p w14:paraId="015D7744">
                  <w:pPr>
                    <w:jc w:val="center"/>
                    <w:rPr>
                      <w:rFonts w:cs="Times New Roman"/>
                      <w:kern w:val="0"/>
                      <w:sz w:val="21"/>
                      <w:szCs w:val="21"/>
                    </w:rPr>
                  </w:pPr>
                  <w:r>
                    <w:rPr>
                      <w:rFonts w:hint="eastAsia" w:cs="Times New Roman"/>
                      <w:kern w:val="0"/>
                      <w:sz w:val="21"/>
                      <w:szCs w:val="21"/>
                    </w:rPr>
                    <w:t>/</w:t>
                  </w:r>
                </w:p>
              </w:tc>
            </w:tr>
            <w:tr w14:paraId="61AF5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477CD9F4">
                  <w:pPr>
                    <w:jc w:val="center"/>
                    <w:rPr>
                      <w:rFonts w:cs="Times New Roman"/>
                      <w:kern w:val="0"/>
                      <w:sz w:val="21"/>
                      <w:szCs w:val="21"/>
                    </w:rPr>
                  </w:pPr>
                </w:p>
              </w:tc>
              <w:tc>
                <w:tcPr>
                  <w:tcW w:w="1134" w:type="dxa"/>
                  <w:vMerge w:val="continue"/>
                  <w:vAlign w:val="center"/>
                </w:tcPr>
                <w:p w14:paraId="1BC252F7">
                  <w:pPr>
                    <w:jc w:val="center"/>
                    <w:rPr>
                      <w:rFonts w:cs="Times New Roman"/>
                      <w:kern w:val="0"/>
                      <w:sz w:val="21"/>
                      <w:szCs w:val="21"/>
                    </w:rPr>
                  </w:pPr>
                </w:p>
              </w:tc>
              <w:tc>
                <w:tcPr>
                  <w:tcW w:w="1276" w:type="dxa"/>
                  <w:vAlign w:val="center"/>
                </w:tcPr>
                <w:p w14:paraId="08F581BC">
                  <w:pPr>
                    <w:jc w:val="center"/>
                    <w:rPr>
                      <w:rFonts w:cs="Times New Roman"/>
                      <w:kern w:val="0"/>
                      <w:sz w:val="21"/>
                      <w:szCs w:val="21"/>
                    </w:rPr>
                  </w:pPr>
                  <w:r>
                    <w:rPr>
                      <w:rFonts w:cs="Times New Roman"/>
                      <w:kern w:val="0"/>
                      <w:sz w:val="21"/>
                      <w:szCs w:val="21"/>
                    </w:rPr>
                    <w:t>最大指数</w:t>
                  </w:r>
                </w:p>
              </w:tc>
              <w:tc>
                <w:tcPr>
                  <w:tcW w:w="2177" w:type="dxa"/>
                  <w:vAlign w:val="center"/>
                </w:tcPr>
                <w:p w14:paraId="4D7EBF05">
                  <w:pPr>
                    <w:jc w:val="center"/>
                    <w:rPr>
                      <w:rFonts w:cs="Times New Roman"/>
                      <w:kern w:val="0"/>
                      <w:sz w:val="21"/>
                      <w:szCs w:val="21"/>
                    </w:rPr>
                  </w:pPr>
                  <w:r>
                    <w:rPr>
                      <w:rFonts w:hint="eastAsia" w:cs="Times New Roman"/>
                      <w:kern w:val="0"/>
                      <w:sz w:val="21"/>
                      <w:szCs w:val="21"/>
                    </w:rPr>
                    <w:t>/</w:t>
                  </w:r>
                </w:p>
              </w:tc>
              <w:tc>
                <w:tcPr>
                  <w:tcW w:w="2177" w:type="dxa"/>
                  <w:vAlign w:val="center"/>
                </w:tcPr>
                <w:p w14:paraId="127305BA">
                  <w:pPr>
                    <w:jc w:val="center"/>
                    <w:rPr>
                      <w:rFonts w:cs="Times New Roman"/>
                      <w:kern w:val="0"/>
                      <w:sz w:val="21"/>
                      <w:szCs w:val="21"/>
                    </w:rPr>
                  </w:pPr>
                  <w:r>
                    <w:rPr>
                      <w:rFonts w:hint="eastAsia" w:cs="Times New Roman"/>
                      <w:kern w:val="0"/>
                      <w:sz w:val="21"/>
                      <w:szCs w:val="21"/>
                    </w:rPr>
                    <w:t>/</w:t>
                  </w:r>
                </w:p>
              </w:tc>
            </w:tr>
            <w:tr w14:paraId="0D48D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0FBF7B09">
                  <w:pPr>
                    <w:jc w:val="center"/>
                    <w:rPr>
                      <w:rFonts w:cs="Times New Roman"/>
                      <w:kern w:val="0"/>
                      <w:sz w:val="21"/>
                      <w:szCs w:val="21"/>
                    </w:rPr>
                  </w:pPr>
                </w:p>
              </w:tc>
              <w:tc>
                <w:tcPr>
                  <w:tcW w:w="1134" w:type="dxa"/>
                  <w:vMerge w:val="continue"/>
                  <w:vAlign w:val="center"/>
                </w:tcPr>
                <w:p w14:paraId="3FDFC75C">
                  <w:pPr>
                    <w:jc w:val="center"/>
                    <w:rPr>
                      <w:rFonts w:cs="Times New Roman"/>
                      <w:kern w:val="0"/>
                      <w:sz w:val="21"/>
                      <w:szCs w:val="21"/>
                    </w:rPr>
                  </w:pPr>
                </w:p>
              </w:tc>
              <w:tc>
                <w:tcPr>
                  <w:tcW w:w="1276" w:type="dxa"/>
                  <w:vAlign w:val="center"/>
                </w:tcPr>
                <w:p w14:paraId="06EFEC04">
                  <w:pPr>
                    <w:jc w:val="center"/>
                    <w:rPr>
                      <w:rFonts w:cs="Times New Roman"/>
                      <w:kern w:val="0"/>
                      <w:sz w:val="21"/>
                      <w:szCs w:val="21"/>
                    </w:rPr>
                  </w:pPr>
                  <w:r>
                    <w:rPr>
                      <w:rFonts w:cs="Times New Roman"/>
                      <w:kern w:val="0"/>
                      <w:sz w:val="21"/>
                      <w:szCs w:val="21"/>
                    </w:rPr>
                    <w:t>是否超标</w:t>
                  </w:r>
                </w:p>
              </w:tc>
              <w:tc>
                <w:tcPr>
                  <w:tcW w:w="2177" w:type="dxa"/>
                  <w:vAlign w:val="center"/>
                </w:tcPr>
                <w:p w14:paraId="3D3E15E4">
                  <w:pPr>
                    <w:jc w:val="center"/>
                    <w:rPr>
                      <w:rFonts w:cs="Times New Roman"/>
                      <w:kern w:val="0"/>
                      <w:sz w:val="21"/>
                      <w:szCs w:val="21"/>
                    </w:rPr>
                  </w:pPr>
                  <w:r>
                    <w:rPr>
                      <w:rFonts w:hint="eastAsia" w:cs="Times New Roman"/>
                      <w:kern w:val="0"/>
                      <w:sz w:val="21"/>
                      <w:szCs w:val="21"/>
                    </w:rPr>
                    <w:t>否</w:t>
                  </w:r>
                </w:p>
              </w:tc>
              <w:tc>
                <w:tcPr>
                  <w:tcW w:w="2177" w:type="dxa"/>
                  <w:vAlign w:val="center"/>
                </w:tcPr>
                <w:p w14:paraId="11DAADC3">
                  <w:pPr>
                    <w:jc w:val="center"/>
                    <w:rPr>
                      <w:rFonts w:cs="Times New Roman"/>
                      <w:kern w:val="0"/>
                      <w:sz w:val="21"/>
                      <w:szCs w:val="21"/>
                    </w:rPr>
                  </w:pPr>
                  <w:r>
                    <w:rPr>
                      <w:rFonts w:hint="eastAsia" w:cs="Times New Roman"/>
                      <w:kern w:val="0"/>
                      <w:sz w:val="21"/>
                      <w:szCs w:val="21"/>
                    </w:rPr>
                    <w:t>否</w:t>
                  </w:r>
                </w:p>
              </w:tc>
            </w:tr>
            <w:tr w14:paraId="1FD97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restart"/>
                  <w:vAlign w:val="center"/>
                </w:tcPr>
                <w:p w14:paraId="1B62E706">
                  <w:pPr>
                    <w:jc w:val="center"/>
                    <w:rPr>
                      <w:rFonts w:cs="Times New Roman"/>
                      <w:kern w:val="0"/>
                      <w:sz w:val="21"/>
                      <w:szCs w:val="21"/>
                    </w:rPr>
                  </w:pPr>
                  <w:r>
                    <w:rPr>
                      <w:rFonts w:hint="eastAsia" w:cs="Times New Roman"/>
                      <w:kern w:val="0"/>
                      <w:sz w:val="21"/>
                      <w:szCs w:val="21"/>
                    </w:rPr>
                    <w:t>8</w:t>
                  </w:r>
                </w:p>
              </w:tc>
              <w:tc>
                <w:tcPr>
                  <w:tcW w:w="1134" w:type="dxa"/>
                  <w:vMerge w:val="restart"/>
                  <w:vAlign w:val="center"/>
                </w:tcPr>
                <w:p w14:paraId="3C457F56">
                  <w:pPr>
                    <w:jc w:val="center"/>
                    <w:rPr>
                      <w:rFonts w:cs="Times New Roman"/>
                      <w:kern w:val="0"/>
                      <w:sz w:val="21"/>
                      <w:szCs w:val="21"/>
                    </w:rPr>
                  </w:pPr>
                  <w:r>
                    <w:rPr>
                      <w:rFonts w:hint="eastAsia" w:cs="Times New Roman"/>
                      <w:kern w:val="0"/>
                      <w:sz w:val="21"/>
                      <w:szCs w:val="21"/>
                    </w:rPr>
                    <w:t>SS</w:t>
                  </w:r>
                </w:p>
              </w:tc>
              <w:tc>
                <w:tcPr>
                  <w:tcW w:w="1276" w:type="dxa"/>
                  <w:vAlign w:val="center"/>
                </w:tcPr>
                <w:p w14:paraId="5132DBE2">
                  <w:pPr>
                    <w:jc w:val="center"/>
                    <w:rPr>
                      <w:rFonts w:cs="Times New Roman"/>
                      <w:kern w:val="0"/>
                      <w:sz w:val="21"/>
                      <w:szCs w:val="21"/>
                    </w:rPr>
                  </w:pPr>
                  <w:r>
                    <w:rPr>
                      <w:rFonts w:cs="Times New Roman"/>
                      <w:kern w:val="0"/>
                      <w:sz w:val="21"/>
                      <w:szCs w:val="21"/>
                    </w:rPr>
                    <w:t>指数范围</w:t>
                  </w:r>
                </w:p>
              </w:tc>
              <w:tc>
                <w:tcPr>
                  <w:tcW w:w="2177" w:type="dxa"/>
                  <w:vAlign w:val="center"/>
                </w:tcPr>
                <w:p w14:paraId="272A5E8B">
                  <w:pPr>
                    <w:jc w:val="center"/>
                    <w:rPr>
                      <w:rFonts w:cs="Times New Roman"/>
                      <w:kern w:val="0"/>
                      <w:sz w:val="21"/>
                      <w:szCs w:val="21"/>
                    </w:rPr>
                  </w:pPr>
                  <w:r>
                    <w:rPr>
                      <w:rFonts w:hint="eastAsia" w:cs="Times New Roman"/>
                      <w:kern w:val="0"/>
                      <w:sz w:val="21"/>
                      <w:szCs w:val="21"/>
                    </w:rPr>
                    <w:t>0.48-0.52</w:t>
                  </w:r>
                </w:p>
              </w:tc>
              <w:tc>
                <w:tcPr>
                  <w:tcW w:w="2177" w:type="dxa"/>
                  <w:vAlign w:val="center"/>
                </w:tcPr>
                <w:p w14:paraId="1F79D47D">
                  <w:pPr>
                    <w:jc w:val="center"/>
                    <w:rPr>
                      <w:rFonts w:cs="Times New Roman"/>
                      <w:kern w:val="0"/>
                      <w:sz w:val="21"/>
                      <w:szCs w:val="21"/>
                    </w:rPr>
                  </w:pPr>
                  <w:r>
                    <w:rPr>
                      <w:rFonts w:hint="eastAsia" w:cs="Times New Roman"/>
                      <w:kern w:val="0"/>
                      <w:sz w:val="21"/>
                      <w:szCs w:val="21"/>
                    </w:rPr>
                    <w:t>0.6-0.64</w:t>
                  </w:r>
                </w:p>
              </w:tc>
            </w:tr>
            <w:tr w14:paraId="76026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152D1CB7">
                  <w:pPr>
                    <w:jc w:val="center"/>
                    <w:rPr>
                      <w:rFonts w:cs="Times New Roman"/>
                      <w:kern w:val="0"/>
                      <w:sz w:val="21"/>
                      <w:szCs w:val="21"/>
                    </w:rPr>
                  </w:pPr>
                </w:p>
              </w:tc>
              <w:tc>
                <w:tcPr>
                  <w:tcW w:w="1134" w:type="dxa"/>
                  <w:vMerge w:val="continue"/>
                  <w:vAlign w:val="center"/>
                </w:tcPr>
                <w:p w14:paraId="7EB358D7">
                  <w:pPr>
                    <w:jc w:val="center"/>
                    <w:rPr>
                      <w:rFonts w:cs="Times New Roman"/>
                      <w:kern w:val="0"/>
                      <w:sz w:val="21"/>
                      <w:szCs w:val="21"/>
                    </w:rPr>
                  </w:pPr>
                </w:p>
              </w:tc>
              <w:tc>
                <w:tcPr>
                  <w:tcW w:w="1276" w:type="dxa"/>
                  <w:vAlign w:val="center"/>
                </w:tcPr>
                <w:p w14:paraId="4164316F">
                  <w:pPr>
                    <w:jc w:val="center"/>
                    <w:rPr>
                      <w:rFonts w:cs="Times New Roman"/>
                      <w:kern w:val="0"/>
                      <w:sz w:val="21"/>
                      <w:szCs w:val="21"/>
                    </w:rPr>
                  </w:pPr>
                  <w:r>
                    <w:rPr>
                      <w:rFonts w:cs="Times New Roman"/>
                      <w:kern w:val="0"/>
                      <w:sz w:val="21"/>
                      <w:szCs w:val="21"/>
                    </w:rPr>
                    <w:t>最大指数</w:t>
                  </w:r>
                </w:p>
              </w:tc>
              <w:tc>
                <w:tcPr>
                  <w:tcW w:w="2177" w:type="dxa"/>
                  <w:vAlign w:val="center"/>
                </w:tcPr>
                <w:p w14:paraId="3BC93695">
                  <w:pPr>
                    <w:jc w:val="center"/>
                    <w:rPr>
                      <w:rFonts w:cs="Times New Roman"/>
                      <w:kern w:val="0"/>
                      <w:sz w:val="21"/>
                      <w:szCs w:val="21"/>
                    </w:rPr>
                  </w:pPr>
                  <w:r>
                    <w:rPr>
                      <w:rFonts w:hint="eastAsia" w:cs="Times New Roman"/>
                      <w:kern w:val="0"/>
                      <w:sz w:val="21"/>
                      <w:szCs w:val="21"/>
                    </w:rPr>
                    <w:t>0.52</w:t>
                  </w:r>
                </w:p>
              </w:tc>
              <w:tc>
                <w:tcPr>
                  <w:tcW w:w="2177" w:type="dxa"/>
                  <w:vAlign w:val="center"/>
                </w:tcPr>
                <w:p w14:paraId="313FC201">
                  <w:pPr>
                    <w:jc w:val="center"/>
                    <w:rPr>
                      <w:rFonts w:cs="Times New Roman"/>
                      <w:kern w:val="0"/>
                      <w:sz w:val="21"/>
                      <w:szCs w:val="21"/>
                    </w:rPr>
                  </w:pPr>
                  <w:r>
                    <w:rPr>
                      <w:rFonts w:hint="eastAsia" w:cs="Times New Roman"/>
                      <w:kern w:val="0"/>
                      <w:sz w:val="21"/>
                      <w:szCs w:val="21"/>
                    </w:rPr>
                    <w:t>0.64</w:t>
                  </w:r>
                </w:p>
              </w:tc>
            </w:tr>
            <w:tr w14:paraId="5F9EF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2" w:type="dxa"/>
                  <w:vMerge w:val="continue"/>
                  <w:vAlign w:val="center"/>
                </w:tcPr>
                <w:p w14:paraId="48F899FA">
                  <w:pPr>
                    <w:jc w:val="center"/>
                    <w:rPr>
                      <w:rFonts w:cs="Times New Roman"/>
                      <w:kern w:val="0"/>
                      <w:sz w:val="21"/>
                      <w:szCs w:val="21"/>
                    </w:rPr>
                  </w:pPr>
                </w:p>
              </w:tc>
              <w:tc>
                <w:tcPr>
                  <w:tcW w:w="1134" w:type="dxa"/>
                  <w:vMerge w:val="continue"/>
                  <w:vAlign w:val="center"/>
                </w:tcPr>
                <w:p w14:paraId="0437E85C">
                  <w:pPr>
                    <w:jc w:val="center"/>
                    <w:rPr>
                      <w:rFonts w:cs="Times New Roman"/>
                      <w:kern w:val="0"/>
                      <w:sz w:val="21"/>
                      <w:szCs w:val="21"/>
                    </w:rPr>
                  </w:pPr>
                </w:p>
              </w:tc>
              <w:tc>
                <w:tcPr>
                  <w:tcW w:w="1276" w:type="dxa"/>
                  <w:vAlign w:val="center"/>
                </w:tcPr>
                <w:p w14:paraId="6FD9D168">
                  <w:pPr>
                    <w:jc w:val="center"/>
                    <w:rPr>
                      <w:rFonts w:cs="Times New Roman"/>
                      <w:kern w:val="0"/>
                      <w:sz w:val="21"/>
                      <w:szCs w:val="21"/>
                    </w:rPr>
                  </w:pPr>
                  <w:r>
                    <w:rPr>
                      <w:rFonts w:cs="Times New Roman"/>
                      <w:kern w:val="0"/>
                      <w:sz w:val="21"/>
                      <w:szCs w:val="21"/>
                    </w:rPr>
                    <w:t>是否超标</w:t>
                  </w:r>
                </w:p>
              </w:tc>
              <w:tc>
                <w:tcPr>
                  <w:tcW w:w="2177" w:type="dxa"/>
                  <w:vAlign w:val="center"/>
                </w:tcPr>
                <w:p w14:paraId="124387A2">
                  <w:pPr>
                    <w:jc w:val="center"/>
                    <w:rPr>
                      <w:rFonts w:cs="Times New Roman"/>
                      <w:kern w:val="0"/>
                      <w:sz w:val="21"/>
                      <w:szCs w:val="21"/>
                    </w:rPr>
                  </w:pPr>
                  <w:r>
                    <w:rPr>
                      <w:rFonts w:hint="eastAsia" w:cs="Times New Roman"/>
                      <w:kern w:val="0"/>
                      <w:sz w:val="21"/>
                      <w:szCs w:val="21"/>
                    </w:rPr>
                    <w:t>否</w:t>
                  </w:r>
                </w:p>
              </w:tc>
              <w:tc>
                <w:tcPr>
                  <w:tcW w:w="2177" w:type="dxa"/>
                  <w:vAlign w:val="center"/>
                </w:tcPr>
                <w:p w14:paraId="43B70747">
                  <w:pPr>
                    <w:jc w:val="center"/>
                    <w:rPr>
                      <w:rFonts w:cs="Times New Roman"/>
                      <w:kern w:val="0"/>
                      <w:sz w:val="21"/>
                      <w:szCs w:val="21"/>
                    </w:rPr>
                  </w:pPr>
                  <w:r>
                    <w:rPr>
                      <w:rFonts w:hint="eastAsia" w:cs="Times New Roman"/>
                      <w:kern w:val="0"/>
                      <w:sz w:val="21"/>
                      <w:szCs w:val="21"/>
                    </w:rPr>
                    <w:t>否</w:t>
                  </w:r>
                </w:p>
              </w:tc>
            </w:tr>
          </w:tbl>
          <w:p w14:paraId="526A59A8">
            <w:pPr>
              <w:spacing w:line="360" w:lineRule="auto"/>
              <w:ind w:firstLine="480" w:firstLineChars="200"/>
            </w:pPr>
          </w:p>
          <w:p w14:paraId="5737017C">
            <w:pPr>
              <w:spacing w:line="360" w:lineRule="auto"/>
              <w:ind w:firstLine="480" w:firstLineChars="200"/>
            </w:pPr>
            <w:r>
              <w:rPr>
                <w:rFonts w:hint="eastAsia"/>
              </w:rPr>
              <w:t>从上述评价结果可以看出，鸭绿江水质现状各监测因子均能够满足《地表水环境质量标准》（GB 3838-2002）中Ⅲ类标准。</w:t>
            </w:r>
          </w:p>
          <w:p w14:paraId="0C81E9C9">
            <w:pPr>
              <w:spacing w:line="360" w:lineRule="auto"/>
              <w:ind w:firstLine="480" w:firstLineChars="200"/>
            </w:pPr>
            <w:r>
              <w:rPr>
                <w:rFonts w:hint="eastAsia"/>
              </w:rPr>
              <w:t>五、声环境质量现状</w:t>
            </w:r>
          </w:p>
          <w:p w14:paraId="6EF28940">
            <w:pPr>
              <w:spacing w:line="360" w:lineRule="auto"/>
              <w:ind w:firstLine="480" w:firstLineChars="200"/>
            </w:pPr>
            <w:r>
              <w:rPr>
                <w:rFonts w:hint="eastAsia"/>
              </w:rPr>
              <w:t>根据《建设项目环境影响报告表编制技术指南（生态影响类）（试行）》中的相关规定，不开展专项评价的环境要素，引用与项目距离近的有效数据和调查资料，无相关数据的，固定声源环境质量现状监测参照《建设项目环境影响报告表编制技术指南（污染影响类）（试行）》相关规定开展补充监测。</w:t>
            </w:r>
          </w:p>
          <w:p w14:paraId="69885628">
            <w:pPr>
              <w:spacing w:line="360" w:lineRule="auto"/>
              <w:ind w:firstLine="480" w:firstLineChars="200"/>
            </w:pPr>
            <w:r>
              <w:rPr>
                <w:rFonts w:hint="eastAsia"/>
              </w:rPr>
              <w:t>本项目不开展声环境专项评价，项目场界外周边50m范围内不存在声环境保护目标，故根据《建设项目环境影响报告表编制技术指南（污染影响类）（试行）》，本次评价不进行声环境质量现状监测。</w:t>
            </w:r>
          </w:p>
          <w:p w14:paraId="2E5E2AC1">
            <w:pPr>
              <w:spacing w:line="360" w:lineRule="auto"/>
              <w:ind w:firstLine="480" w:firstLineChars="200"/>
            </w:pPr>
            <w:r>
              <w:rPr>
                <w:rFonts w:hint="eastAsia"/>
              </w:rPr>
              <w:t>六、地下水</w:t>
            </w:r>
          </w:p>
          <w:p w14:paraId="73563480">
            <w:pPr>
              <w:spacing w:line="360" w:lineRule="auto"/>
              <w:ind w:firstLine="480" w:firstLineChars="200"/>
              <w:rPr>
                <w:b/>
                <w:bCs/>
                <w:u w:val="single"/>
              </w:rPr>
            </w:pPr>
            <w:r>
              <w:rPr>
                <w:rFonts w:hint="eastAsia"/>
              </w:rPr>
              <w:t>根据《建设项目环境影响报告表编制技术指南（生态影响类）（试行）》中的相关规定，本项目不涉及地下水影响途径，同时按照《环境影响评价技术导则 地下水环境》（HJ 610-2016）中的相关内容，本项目为Ⅳ类项目，Ⅳ类建设项目不开展地下水环境影响评价，故本次评价不进行地下水环境质量现状调查。</w:t>
            </w:r>
          </w:p>
          <w:p w14:paraId="4D28F9C0">
            <w:pPr>
              <w:spacing w:line="360" w:lineRule="auto"/>
              <w:ind w:firstLine="480" w:firstLineChars="200"/>
            </w:pPr>
            <w:r>
              <w:rPr>
                <w:rFonts w:hint="eastAsia"/>
              </w:rPr>
              <w:t>七、土壤环境质量现状</w:t>
            </w:r>
          </w:p>
          <w:p w14:paraId="38022047">
            <w:pPr>
              <w:spacing w:line="360" w:lineRule="auto"/>
              <w:ind w:firstLine="480" w:firstLineChars="200"/>
            </w:pPr>
            <w:r>
              <w:rPr>
                <w:rFonts w:hint="eastAsia"/>
              </w:rPr>
              <w:t>根据《建设项目环境影响报告表编制技术指南（生态影响类）（试行）》中的相关规定，本项目不涉及土壤影响途径，同时按照HJ 964-2018文件中的相关内容，本项目为Ⅳ类项目，Ⅳ类建设项目不开展土壤环境影响评价，故本次评价不进行土壤环境质量现状调查。</w:t>
            </w:r>
          </w:p>
          <w:p w14:paraId="449D225A">
            <w:pPr>
              <w:spacing w:line="360" w:lineRule="auto"/>
              <w:ind w:firstLine="480" w:firstLineChars="200"/>
              <w:jc w:val="left"/>
            </w:pPr>
          </w:p>
        </w:tc>
      </w:tr>
      <w:tr w14:paraId="4071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dxa"/>
            <w:vAlign w:val="center"/>
          </w:tcPr>
          <w:p w14:paraId="21EC2AB6">
            <w:pPr>
              <w:jc w:val="center"/>
            </w:pPr>
            <w:r>
              <w:rPr>
                <w:rFonts w:hint="eastAsia"/>
              </w:rPr>
              <w:t>与项目有关的原有环境污染和生态破坏问题</w:t>
            </w:r>
          </w:p>
        </w:tc>
        <w:tc>
          <w:tcPr>
            <w:tcW w:w="7893" w:type="dxa"/>
            <w:vAlign w:val="center"/>
          </w:tcPr>
          <w:p w14:paraId="1A7D0429">
            <w:pPr>
              <w:spacing w:line="360" w:lineRule="auto"/>
              <w:ind w:firstLine="480" w:firstLineChars="200"/>
              <w:jc w:val="left"/>
            </w:pPr>
            <w:r>
              <w:rPr>
                <w:rFonts w:hint="eastAsia"/>
              </w:rPr>
              <w:t>吉林省航道管理局临江市分局现有船舶5艘，在建船舶1艘，船舶类别包括作业船及工作船，该单位利用现有船舶开展鸭绿江八道沟至云峰大坝段航道养护。航道养护为该单位常规工作内容，主要包括日常维护性疏浚、航标配布、执法等工作。目前该单位辖区内无工作码头，现有船舶停靠在库区支汊自然岸坡，船舶停靠、养护、卧冬极为困难，给船舶冬季管理带来很多不便和危险性，易造成船舶损害，存在环境风险隐患。</w:t>
            </w:r>
          </w:p>
          <w:p w14:paraId="7C2F5F8E">
            <w:pPr>
              <w:spacing w:line="360" w:lineRule="auto"/>
              <w:ind w:firstLine="480" w:firstLineChars="200"/>
              <w:jc w:val="left"/>
            </w:pPr>
            <w:r>
              <w:rPr>
                <w:rFonts w:hint="eastAsia"/>
              </w:rPr>
              <w:t>本项目为该单位鸭绿江航道维护工作提供配套服务的码头工程，为新建项目，无原有环境污染和生态破坏问题。</w:t>
            </w:r>
          </w:p>
        </w:tc>
      </w:tr>
      <w:tr w14:paraId="16FD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dxa"/>
            <w:vAlign w:val="center"/>
          </w:tcPr>
          <w:p w14:paraId="4CFEC2B1">
            <w:pPr>
              <w:jc w:val="center"/>
            </w:pPr>
            <w:r>
              <w:rPr>
                <w:rFonts w:hint="eastAsia"/>
              </w:rPr>
              <w:t>生态环境保护目标</w:t>
            </w:r>
          </w:p>
        </w:tc>
        <w:tc>
          <w:tcPr>
            <w:tcW w:w="7893" w:type="dxa"/>
            <w:vAlign w:val="center"/>
          </w:tcPr>
          <w:p w14:paraId="305954F7">
            <w:pPr>
              <w:spacing w:line="360" w:lineRule="auto"/>
              <w:ind w:firstLine="480" w:firstLineChars="200"/>
            </w:pPr>
            <w:r>
              <w:rPr>
                <w:rFonts w:hint="eastAsia"/>
              </w:rPr>
              <w:t>本项目位于临江市大栗子街道。项目工程范围内及周边区域无风景名胜区、生活饮用水水源保护区、森林公园、文物保护、重要水生生物的自然产卵场、索饵场、越冬场和洄游通道等敏感区等需要特别保护的生态敏感目标。</w:t>
            </w:r>
            <w:r>
              <w:rPr>
                <w:rFonts w:hint="eastAsia"/>
                <w:b/>
                <w:bCs/>
                <w:u w:val="single"/>
              </w:rPr>
              <w:t>本项目鸭绿江上下游两个水产种质资源保护区分别位于本项目的上游81.1km处及下游78.8km处，本项目施工期对水生生物的影响范围主要为沿水流方向1km范围内，运营期对水生生物的影响范围主要控制在本项目范围内，即本项目各时期对水生生物的影响范围均不涉及上述两个保护区，因此本次评价不将其作为环境保护目标。</w:t>
            </w:r>
          </w:p>
          <w:p w14:paraId="74217EA7">
            <w:pPr>
              <w:spacing w:line="360" w:lineRule="auto"/>
              <w:ind w:firstLine="480" w:firstLineChars="200"/>
            </w:pPr>
            <w:r>
              <w:rPr>
                <w:rFonts w:hint="eastAsia"/>
              </w:rPr>
              <w:t>本次针对周边5×5km范围内的环境空气保护目标进行调查，针对周边1km范围内陆生生态环境及鸭绿江流域临江段水生生态进行调查，项目所在地周边的主要环境保护目标是周围的居民区，具体情况如下：</w:t>
            </w:r>
          </w:p>
          <w:p w14:paraId="2E5B8AD5">
            <w:pPr>
              <w:spacing w:line="360" w:lineRule="auto"/>
              <w:ind w:firstLine="480" w:firstLineChars="200"/>
              <w:jc w:val="left"/>
            </w:pPr>
          </w:p>
          <w:p w14:paraId="297C3511">
            <w:pPr>
              <w:spacing w:line="360" w:lineRule="auto"/>
              <w:jc w:val="center"/>
              <w:rPr>
                <w:b/>
                <w:bCs/>
                <w:u w:val="single"/>
              </w:rPr>
            </w:pPr>
            <w:r>
              <w:rPr>
                <w:rFonts w:hint="eastAsia"/>
                <w:b/>
                <w:bCs/>
                <w:u w:val="single"/>
              </w:rPr>
              <w:t>表42       本项目各环境要素保护目标一览表</w:t>
            </w:r>
          </w:p>
          <w:tbl>
            <w:tblPr>
              <w:tblStyle w:val="1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61"/>
              <w:gridCol w:w="1150"/>
              <w:gridCol w:w="1022"/>
              <w:gridCol w:w="1023"/>
              <w:gridCol w:w="1300"/>
              <w:gridCol w:w="2720"/>
            </w:tblGrid>
            <w:tr w14:paraId="3680CA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61" w:type="dxa"/>
                  <w:vMerge w:val="restart"/>
                  <w:vAlign w:val="center"/>
                </w:tcPr>
                <w:p w14:paraId="1D0C8633">
                  <w:pPr>
                    <w:pStyle w:val="42"/>
                  </w:pPr>
                  <w:r>
                    <w:t>环境要素</w:t>
                  </w:r>
                </w:p>
              </w:tc>
              <w:tc>
                <w:tcPr>
                  <w:tcW w:w="1150" w:type="dxa"/>
                  <w:vMerge w:val="restart"/>
                  <w:vAlign w:val="center"/>
                </w:tcPr>
                <w:p w14:paraId="04850EC6">
                  <w:pPr>
                    <w:pStyle w:val="42"/>
                  </w:pPr>
                  <w:r>
                    <w:t>保护目标</w:t>
                  </w:r>
                </w:p>
              </w:tc>
              <w:tc>
                <w:tcPr>
                  <w:tcW w:w="2045" w:type="dxa"/>
                  <w:gridSpan w:val="2"/>
                  <w:vAlign w:val="center"/>
                </w:tcPr>
                <w:p w14:paraId="7F9476E7">
                  <w:pPr>
                    <w:pStyle w:val="42"/>
                  </w:pPr>
                  <w:r>
                    <w:t>坐标/m</w:t>
                  </w:r>
                </w:p>
              </w:tc>
              <w:tc>
                <w:tcPr>
                  <w:tcW w:w="1300" w:type="dxa"/>
                  <w:vMerge w:val="restart"/>
                  <w:vAlign w:val="center"/>
                </w:tcPr>
                <w:p w14:paraId="7DA265DD">
                  <w:pPr>
                    <w:pStyle w:val="42"/>
                  </w:pPr>
                  <w:r>
                    <w:t>敏感点相对于本项目方位及距离</w:t>
                  </w:r>
                </w:p>
              </w:tc>
              <w:tc>
                <w:tcPr>
                  <w:tcW w:w="2720" w:type="dxa"/>
                  <w:vMerge w:val="restart"/>
                  <w:vAlign w:val="center"/>
                </w:tcPr>
                <w:p w14:paraId="5A2AC97E">
                  <w:pPr>
                    <w:pStyle w:val="42"/>
                  </w:pPr>
                  <w:r>
                    <w:t>保护等级</w:t>
                  </w:r>
                </w:p>
              </w:tc>
            </w:tr>
            <w:tr w14:paraId="358B56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461" w:type="dxa"/>
                  <w:vMerge w:val="continue"/>
                  <w:vAlign w:val="center"/>
                </w:tcPr>
                <w:p w14:paraId="05E587A4">
                  <w:pPr>
                    <w:pStyle w:val="42"/>
                  </w:pPr>
                </w:p>
              </w:tc>
              <w:tc>
                <w:tcPr>
                  <w:tcW w:w="1150" w:type="dxa"/>
                  <w:vMerge w:val="continue"/>
                  <w:vAlign w:val="center"/>
                </w:tcPr>
                <w:p w14:paraId="51914AB6">
                  <w:pPr>
                    <w:pStyle w:val="42"/>
                  </w:pPr>
                </w:p>
              </w:tc>
              <w:tc>
                <w:tcPr>
                  <w:tcW w:w="1022" w:type="dxa"/>
                  <w:vAlign w:val="center"/>
                </w:tcPr>
                <w:p w14:paraId="4DEC016E">
                  <w:pPr>
                    <w:pStyle w:val="42"/>
                  </w:pPr>
                  <w:r>
                    <w:t>X</w:t>
                  </w:r>
                </w:p>
              </w:tc>
              <w:tc>
                <w:tcPr>
                  <w:tcW w:w="1023" w:type="dxa"/>
                  <w:vAlign w:val="center"/>
                </w:tcPr>
                <w:p w14:paraId="71FFC694">
                  <w:pPr>
                    <w:pStyle w:val="42"/>
                  </w:pPr>
                  <w:r>
                    <w:t>Y</w:t>
                  </w:r>
                </w:p>
              </w:tc>
              <w:tc>
                <w:tcPr>
                  <w:tcW w:w="1300" w:type="dxa"/>
                  <w:vMerge w:val="continue"/>
                  <w:vAlign w:val="center"/>
                </w:tcPr>
                <w:p w14:paraId="7C721200">
                  <w:pPr>
                    <w:pStyle w:val="42"/>
                  </w:pPr>
                </w:p>
              </w:tc>
              <w:tc>
                <w:tcPr>
                  <w:tcW w:w="2720" w:type="dxa"/>
                  <w:vMerge w:val="continue"/>
                  <w:vAlign w:val="center"/>
                </w:tcPr>
                <w:p w14:paraId="3F297C1E">
                  <w:pPr>
                    <w:pStyle w:val="42"/>
                  </w:pPr>
                </w:p>
              </w:tc>
            </w:tr>
            <w:tr w14:paraId="72B17A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61" w:type="dxa"/>
                  <w:vMerge w:val="restart"/>
                  <w:vAlign w:val="center"/>
                </w:tcPr>
                <w:p w14:paraId="3D939021">
                  <w:pPr>
                    <w:pStyle w:val="42"/>
                    <w:rPr>
                      <w:i/>
                      <w:iCs/>
                      <w:u w:val="single"/>
                    </w:rPr>
                  </w:pPr>
                  <w:r>
                    <w:rPr>
                      <w:i/>
                      <w:iCs/>
                      <w:u w:val="single"/>
                    </w:rPr>
                    <w:t>环境空气</w:t>
                  </w:r>
                </w:p>
              </w:tc>
              <w:tc>
                <w:tcPr>
                  <w:tcW w:w="1150" w:type="dxa"/>
                  <w:vAlign w:val="center"/>
                </w:tcPr>
                <w:p w14:paraId="610D1262">
                  <w:pPr>
                    <w:pStyle w:val="42"/>
                    <w:rPr>
                      <w:i/>
                      <w:iCs/>
                      <w:u w:val="single"/>
                    </w:rPr>
                  </w:pPr>
                  <w:r>
                    <w:rPr>
                      <w:i/>
                      <w:iCs/>
                      <w:u w:val="single"/>
                    </w:rPr>
                    <w:t>望江楼</w:t>
                  </w:r>
                </w:p>
              </w:tc>
              <w:tc>
                <w:tcPr>
                  <w:tcW w:w="1022" w:type="dxa"/>
                  <w:vAlign w:val="center"/>
                </w:tcPr>
                <w:p w14:paraId="4D8735FB">
                  <w:pPr>
                    <w:pStyle w:val="42"/>
                    <w:rPr>
                      <w:i/>
                      <w:iCs/>
                      <w:u w:val="single"/>
                    </w:rPr>
                  </w:pPr>
                  <w:r>
                    <w:rPr>
                      <w:rFonts w:hint="eastAsia"/>
                      <w:i/>
                      <w:iCs/>
                      <w:u w:val="single"/>
                    </w:rPr>
                    <w:t>-95</w:t>
                  </w:r>
                </w:p>
              </w:tc>
              <w:tc>
                <w:tcPr>
                  <w:tcW w:w="1023" w:type="dxa"/>
                  <w:vAlign w:val="center"/>
                </w:tcPr>
                <w:p w14:paraId="572ECC1A">
                  <w:pPr>
                    <w:pStyle w:val="42"/>
                    <w:rPr>
                      <w:i/>
                      <w:iCs/>
                      <w:u w:val="single"/>
                    </w:rPr>
                  </w:pPr>
                  <w:r>
                    <w:rPr>
                      <w:rFonts w:hint="eastAsia"/>
                      <w:i/>
                      <w:iCs/>
                      <w:u w:val="single"/>
                    </w:rPr>
                    <w:t>902</w:t>
                  </w:r>
                </w:p>
              </w:tc>
              <w:tc>
                <w:tcPr>
                  <w:tcW w:w="1300" w:type="dxa"/>
                  <w:vAlign w:val="center"/>
                </w:tcPr>
                <w:p w14:paraId="3958ED31">
                  <w:pPr>
                    <w:pStyle w:val="42"/>
                    <w:rPr>
                      <w:i/>
                      <w:iCs/>
                      <w:u w:val="single"/>
                    </w:rPr>
                  </w:pPr>
                  <w:r>
                    <w:rPr>
                      <w:i/>
                      <w:iCs/>
                      <w:u w:val="single"/>
                    </w:rPr>
                    <w:t>北侧800m</w:t>
                  </w:r>
                </w:p>
              </w:tc>
              <w:tc>
                <w:tcPr>
                  <w:tcW w:w="2720" w:type="dxa"/>
                  <w:vMerge w:val="restart"/>
                  <w:vAlign w:val="center"/>
                </w:tcPr>
                <w:p w14:paraId="23905249">
                  <w:pPr>
                    <w:pStyle w:val="42"/>
                    <w:rPr>
                      <w:i/>
                      <w:iCs/>
                      <w:u w:val="single"/>
                    </w:rPr>
                  </w:pPr>
                  <w:r>
                    <w:rPr>
                      <w:i/>
                      <w:iCs/>
                      <w:u w:val="single"/>
                    </w:rPr>
                    <w:t>符合《环境空气质量标准》（GB</w:t>
                  </w:r>
                  <w:r>
                    <w:rPr>
                      <w:rFonts w:hint="eastAsia"/>
                      <w:i/>
                      <w:iCs/>
                      <w:u w:val="single"/>
                    </w:rPr>
                    <w:t xml:space="preserve"> </w:t>
                  </w:r>
                  <w:r>
                    <w:rPr>
                      <w:i/>
                      <w:iCs/>
                      <w:u w:val="single"/>
                    </w:rPr>
                    <w:t>3095-2012）中二级标准</w:t>
                  </w:r>
                </w:p>
              </w:tc>
            </w:tr>
            <w:tr w14:paraId="20922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61" w:type="dxa"/>
                  <w:vMerge w:val="continue"/>
                  <w:vAlign w:val="center"/>
                </w:tcPr>
                <w:p w14:paraId="68E409CE">
                  <w:pPr>
                    <w:pStyle w:val="42"/>
                    <w:rPr>
                      <w:i/>
                      <w:iCs/>
                      <w:u w:val="single"/>
                    </w:rPr>
                  </w:pPr>
                </w:p>
              </w:tc>
              <w:tc>
                <w:tcPr>
                  <w:tcW w:w="1150" w:type="dxa"/>
                  <w:vAlign w:val="center"/>
                </w:tcPr>
                <w:p w14:paraId="0F5920BF">
                  <w:pPr>
                    <w:pStyle w:val="42"/>
                    <w:rPr>
                      <w:i/>
                      <w:iCs/>
                      <w:u w:val="single"/>
                    </w:rPr>
                  </w:pPr>
                  <w:r>
                    <w:rPr>
                      <w:rFonts w:hint="eastAsia"/>
                      <w:i/>
                      <w:iCs/>
                      <w:u w:val="single"/>
                    </w:rPr>
                    <w:t>望江村</w:t>
                  </w:r>
                </w:p>
              </w:tc>
              <w:tc>
                <w:tcPr>
                  <w:tcW w:w="1022" w:type="dxa"/>
                  <w:vAlign w:val="center"/>
                </w:tcPr>
                <w:p w14:paraId="6949EAFE">
                  <w:pPr>
                    <w:pStyle w:val="42"/>
                    <w:rPr>
                      <w:i/>
                      <w:iCs/>
                      <w:u w:val="single"/>
                    </w:rPr>
                  </w:pPr>
                  <w:r>
                    <w:rPr>
                      <w:rFonts w:hint="eastAsia"/>
                      <w:i/>
                      <w:iCs/>
                      <w:u w:val="single"/>
                    </w:rPr>
                    <w:t>258</w:t>
                  </w:r>
                </w:p>
              </w:tc>
              <w:tc>
                <w:tcPr>
                  <w:tcW w:w="1023" w:type="dxa"/>
                  <w:vAlign w:val="center"/>
                </w:tcPr>
                <w:p w14:paraId="53C90789">
                  <w:pPr>
                    <w:pStyle w:val="42"/>
                    <w:rPr>
                      <w:i/>
                      <w:iCs/>
                      <w:u w:val="single"/>
                    </w:rPr>
                  </w:pPr>
                  <w:r>
                    <w:rPr>
                      <w:rFonts w:hint="eastAsia"/>
                      <w:i/>
                      <w:iCs/>
                      <w:u w:val="single"/>
                    </w:rPr>
                    <w:t>1405</w:t>
                  </w:r>
                </w:p>
              </w:tc>
              <w:tc>
                <w:tcPr>
                  <w:tcW w:w="1300" w:type="dxa"/>
                  <w:vAlign w:val="center"/>
                </w:tcPr>
                <w:p w14:paraId="6232F6DF">
                  <w:pPr>
                    <w:pStyle w:val="42"/>
                    <w:rPr>
                      <w:i/>
                      <w:iCs/>
                      <w:u w:val="single"/>
                    </w:rPr>
                  </w:pPr>
                  <w:r>
                    <w:rPr>
                      <w:rFonts w:hint="eastAsia"/>
                      <w:i/>
                      <w:iCs/>
                      <w:u w:val="single"/>
                    </w:rPr>
                    <w:t>北侧1200m</w:t>
                  </w:r>
                </w:p>
              </w:tc>
              <w:tc>
                <w:tcPr>
                  <w:tcW w:w="2720" w:type="dxa"/>
                  <w:vMerge w:val="continue"/>
                  <w:vAlign w:val="center"/>
                </w:tcPr>
                <w:p w14:paraId="5835BCA0">
                  <w:pPr>
                    <w:pStyle w:val="42"/>
                  </w:pPr>
                </w:p>
              </w:tc>
            </w:tr>
            <w:tr w14:paraId="5731E7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461" w:type="dxa"/>
                  <w:vMerge w:val="continue"/>
                  <w:vAlign w:val="center"/>
                </w:tcPr>
                <w:p w14:paraId="1DA46C7D">
                  <w:pPr>
                    <w:pStyle w:val="42"/>
                    <w:rPr>
                      <w:i/>
                      <w:iCs/>
                      <w:u w:val="single"/>
                    </w:rPr>
                  </w:pPr>
                </w:p>
              </w:tc>
              <w:tc>
                <w:tcPr>
                  <w:tcW w:w="1150" w:type="dxa"/>
                  <w:vAlign w:val="center"/>
                </w:tcPr>
                <w:p w14:paraId="47E2C58F">
                  <w:pPr>
                    <w:pStyle w:val="42"/>
                    <w:rPr>
                      <w:i/>
                      <w:iCs/>
                      <w:u w:val="single"/>
                    </w:rPr>
                  </w:pPr>
                  <w:r>
                    <w:rPr>
                      <w:i/>
                      <w:iCs/>
                      <w:u w:val="single"/>
                    </w:rPr>
                    <w:t>大栗子</w:t>
                  </w:r>
                  <w:r>
                    <w:rPr>
                      <w:rFonts w:hint="eastAsia"/>
                      <w:i/>
                      <w:iCs/>
                      <w:u w:val="single"/>
                    </w:rPr>
                    <w:t>街道</w:t>
                  </w:r>
                </w:p>
              </w:tc>
              <w:tc>
                <w:tcPr>
                  <w:tcW w:w="1022" w:type="dxa"/>
                  <w:vAlign w:val="center"/>
                </w:tcPr>
                <w:p w14:paraId="61C1EA18">
                  <w:pPr>
                    <w:pStyle w:val="42"/>
                    <w:rPr>
                      <w:i/>
                      <w:iCs/>
                      <w:u w:val="single"/>
                    </w:rPr>
                  </w:pPr>
                  <w:r>
                    <w:rPr>
                      <w:rFonts w:hint="eastAsia"/>
                      <w:i/>
                      <w:iCs/>
                      <w:u w:val="single"/>
                    </w:rPr>
                    <w:t>-513</w:t>
                  </w:r>
                </w:p>
              </w:tc>
              <w:tc>
                <w:tcPr>
                  <w:tcW w:w="1023" w:type="dxa"/>
                  <w:vAlign w:val="center"/>
                </w:tcPr>
                <w:p w14:paraId="673E912E">
                  <w:pPr>
                    <w:pStyle w:val="42"/>
                    <w:rPr>
                      <w:i/>
                      <w:iCs/>
                      <w:u w:val="single"/>
                    </w:rPr>
                  </w:pPr>
                  <w:r>
                    <w:rPr>
                      <w:rFonts w:hint="eastAsia"/>
                      <w:i/>
                      <w:iCs/>
                      <w:u w:val="single"/>
                    </w:rPr>
                    <w:t>-663</w:t>
                  </w:r>
                </w:p>
              </w:tc>
              <w:tc>
                <w:tcPr>
                  <w:tcW w:w="1300" w:type="dxa"/>
                  <w:vAlign w:val="center"/>
                </w:tcPr>
                <w:p w14:paraId="66547237">
                  <w:pPr>
                    <w:pStyle w:val="42"/>
                    <w:rPr>
                      <w:i/>
                      <w:iCs/>
                      <w:u w:val="single"/>
                    </w:rPr>
                  </w:pPr>
                  <w:r>
                    <w:rPr>
                      <w:i/>
                      <w:iCs/>
                      <w:u w:val="single"/>
                    </w:rPr>
                    <w:t>西南</w:t>
                  </w:r>
                  <w:r>
                    <w:rPr>
                      <w:rFonts w:hint="eastAsia"/>
                      <w:i/>
                      <w:iCs/>
                      <w:u w:val="single"/>
                    </w:rPr>
                    <w:t>630</w:t>
                  </w:r>
                  <w:r>
                    <w:rPr>
                      <w:i/>
                      <w:iCs/>
                      <w:u w:val="single"/>
                    </w:rPr>
                    <w:t>m</w:t>
                  </w:r>
                </w:p>
              </w:tc>
              <w:tc>
                <w:tcPr>
                  <w:tcW w:w="2720" w:type="dxa"/>
                  <w:vMerge w:val="continue"/>
                  <w:vAlign w:val="center"/>
                </w:tcPr>
                <w:p w14:paraId="50AEA662">
                  <w:pPr>
                    <w:pStyle w:val="42"/>
                  </w:pPr>
                </w:p>
              </w:tc>
            </w:tr>
            <w:tr w14:paraId="23A46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61" w:type="dxa"/>
                  <w:vMerge w:val="restart"/>
                  <w:vAlign w:val="center"/>
                </w:tcPr>
                <w:p w14:paraId="35385AA8">
                  <w:pPr>
                    <w:pStyle w:val="42"/>
                    <w:rPr>
                      <w:i/>
                      <w:iCs/>
                      <w:u w:val="single"/>
                    </w:rPr>
                  </w:pPr>
                  <w:r>
                    <w:rPr>
                      <w:i/>
                      <w:iCs/>
                      <w:u w:val="single"/>
                    </w:rPr>
                    <w:t>地表水</w:t>
                  </w:r>
                </w:p>
              </w:tc>
              <w:tc>
                <w:tcPr>
                  <w:tcW w:w="1150" w:type="dxa"/>
                  <w:vAlign w:val="center"/>
                </w:tcPr>
                <w:p w14:paraId="4DFAB426">
                  <w:pPr>
                    <w:pStyle w:val="42"/>
                    <w:rPr>
                      <w:i/>
                      <w:iCs/>
                      <w:u w:val="single"/>
                    </w:rPr>
                  </w:pPr>
                  <w:r>
                    <w:rPr>
                      <w:rFonts w:hint="eastAsia"/>
                      <w:i/>
                      <w:iCs/>
                      <w:u w:val="single"/>
                    </w:rPr>
                    <w:t>鸭绿江</w:t>
                  </w:r>
                </w:p>
              </w:tc>
              <w:tc>
                <w:tcPr>
                  <w:tcW w:w="1022" w:type="dxa"/>
                  <w:vAlign w:val="center"/>
                </w:tcPr>
                <w:p w14:paraId="25DDFCD5">
                  <w:pPr>
                    <w:pStyle w:val="42"/>
                    <w:rPr>
                      <w:i/>
                      <w:iCs/>
                      <w:u w:val="single"/>
                    </w:rPr>
                  </w:pPr>
                  <w:r>
                    <w:rPr>
                      <w:rFonts w:hint="eastAsia"/>
                      <w:i/>
                      <w:iCs/>
                      <w:u w:val="single"/>
                    </w:rPr>
                    <w:t>/</w:t>
                  </w:r>
                </w:p>
              </w:tc>
              <w:tc>
                <w:tcPr>
                  <w:tcW w:w="1023" w:type="dxa"/>
                  <w:vAlign w:val="center"/>
                </w:tcPr>
                <w:p w14:paraId="503947DA">
                  <w:pPr>
                    <w:pStyle w:val="42"/>
                    <w:rPr>
                      <w:i/>
                      <w:iCs/>
                      <w:u w:val="single"/>
                    </w:rPr>
                  </w:pPr>
                  <w:r>
                    <w:rPr>
                      <w:rFonts w:hint="eastAsia"/>
                      <w:i/>
                      <w:iCs/>
                      <w:u w:val="single"/>
                    </w:rPr>
                    <w:t>/</w:t>
                  </w:r>
                </w:p>
              </w:tc>
              <w:tc>
                <w:tcPr>
                  <w:tcW w:w="1300" w:type="dxa"/>
                  <w:vAlign w:val="center"/>
                </w:tcPr>
                <w:p w14:paraId="4086532E">
                  <w:pPr>
                    <w:pStyle w:val="42"/>
                    <w:rPr>
                      <w:i/>
                      <w:iCs/>
                      <w:u w:val="single"/>
                    </w:rPr>
                  </w:pPr>
                  <w:r>
                    <w:rPr>
                      <w:rFonts w:hint="eastAsia"/>
                      <w:i/>
                      <w:iCs/>
                      <w:u w:val="single"/>
                    </w:rPr>
                    <w:t>/</w:t>
                  </w:r>
                </w:p>
              </w:tc>
              <w:tc>
                <w:tcPr>
                  <w:tcW w:w="2720" w:type="dxa"/>
                  <w:vMerge w:val="restart"/>
                  <w:vAlign w:val="center"/>
                </w:tcPr>
                <w:p w14:paraId="7C31F582">
                  <w:pPr>
                    <w:pStyle w:val="42"/>
                    <w:rPr>
                      <w:i/>
                      <w:iCs/>
                      <w:u w:val="single"/>
                    </w:rPr>
                  </w:pPr>
                  <w:r>
                    <w:rPr>
                      <w:i/>
                      <w:iCs/>
                      <w:u w:val="single"/>
                    </w:rPr>
                    <w:t>满足《地表水质量标准》（GB</w:t>
                  </w:r>
                  <w:r>
                    <w:rPr>
                      <w:rFonts w:hint="eastAsia"/>
                      <w:i/>
                      <w:iCs/>
                      <w:u w:val="single"/>
                    </w:rPr>
                    <w:t xml:space="preserve"> </w:t>
                  </w:r>
                  <w:r>
                    <w:rPr>
                      <w:i/>
                      <w:iCs/>
                      <w:u w:val="single"/>
                    </w:rPr>
                    <w:t>3838-2002）中的Ⅲ类标准</w:t>
                  </w:r>
                </w:p>
              </w:tc>
            </w:tr>
            <w:tr w14:paraId="6A6BA6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61" w:type="dxa"/>
                  <w:vMerge w:val="continue"/>
                  <w:vAlign w:val="center"/>
                </w:tcPr>
                <w:p w14:paraId="30985F67">
                  <w:pPr>
                    <w:pStyle w:val="42"/>
                    <w:rPr>
                      <w:i/>
                      <w:iCs/>
                      <w:u w:val="single"/>
                    </w:rPr>
                  </w:pPr>
                </w:p>
              </w:tc>
              <w:tc>
                <w:tcPr>
                  <w:tcW w:w="1150" w:type="dxa"/>
                  <w:vAlign w:val="center"/>
                </w:tcPr>
                <w:p w14:paraId="6090B7A6">
                  <w:pPr>
                    <w:pStyle w:val="42"/>
                    <w:rPr>
                      <w:i/>
                      <w:iCs/>
                      <w:u w:val="single"/>
                    </w:rPr>
                  </w:pPr>
                  <w:r>
                    <w:rPr>
                      <w:rFonts w:hint="eastAsia"/>
                      <w:i/>
                      <w:iCs/>
                      <w:u w:val="single"/>
                    </w:rPr>
                    <w:t>云峰水库</w:t>
                  </w:r>
                </w:p>
              </w:tc>
              <w:tc>
                <w:tcPr>
                  <w:tcW w:w="1022" w:type="dxa"/>
                  <w:vAlign w:val="center"/>
                </w:tcPr>
                <w:p w14:paraId="2AE25537">
                  <w:pPr>
                    <w:pStyle w:val="42"/>
                    <w:rPr>
                      <w:i/>
                      <w:iCs/>
                      <w:u w:val="single"/>
                    </w:rPr>
                  </w:pPr>
                  <w:r>
                    <w:rPr>
                      <w:rFonts w:hint="eastAsia"/>
                      <w:i/>
                      <w:iCs/>
                      <w:u w:val="single"/>
                    </w:rPr>
                    <w:t>/</w:t>
                  </w:r>
                </w:p>
              </w:tc>
              <w:tc>
                <w:tcPr>
                  <w:tcW w:w="1023" w:type="dxa"/>
                  <w:vAlign w:val="center"/>
                </w:tcPr>
                <w:p w14:paraId="47EBE6C3">
                  <w:pPr>
                    <w:pStyle w:val="42"/>
                    <w:rPr>
                      <w:i/>
                      <w:iCs/>
                      <w:u w:val="single"/>
                    </w:rPr>
                  </w:pPr>
                  <w:r>
                    <w:rPr>
                      <w:rFonts w:hint="eastAsia"/>
                      <w:i/>
                      <w:iCs/>
                      <w:u w:val="single"/>
                    </w:rPr>
                    <w:t>/</w:t>
                  </w:r>
                </w:p>
              </w:tc>
              <w:tc>
                <w:tcPr>
                  <w:tcW w:w="1300" w:type="dxa"/>
                  <w:vAlign w:val="center"/>
                </w:tcPr>
                <w:p w14:paraId="4000A121">
                  <w:pPr>
                    <w:pStyle w:val="42"/>
                    <w:rPr>
                      <w:i/>
                      <w:iCs/>
                      <w:u w:val="single"/>
                    </w:rPr>
                  </w:pPr>
                  <w:r>
                    <w:rPr>
                      <w:rFonts w:hint="eastAsia"/>
                      <w:i/>
                      <w:iCs/>
                      <w:u w:val="single"/>
                    </w:rPr>
                    <w:t>/</w:t>
                  </w:r>
                </w:p>
              </w:tc>
              <w:tc>
                <w:tcPr>
                  <w:tcW w:w="2720" w:type="dxa"/>
                  <w:vMerge w:val="continue"/>
                  <w:vAlign w:val="center"/>
                </w:tcPr>
                <w:p w14:paraId="7332441B">
                  <w:pPr>
                    <w:pStyle w:val="42"/>
                    <w:rPr>
                      <w:i/>
                      <w:iCs/>
                      <w:u w:val="single"/>
                    </w:rPr>
                  </w:pPr>
                </w:p>
              </w:tc>
            </w:tr>
            <w:tr w14:paraId="769EE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461" w:type="dxa"/>
                  <w:vAlign w:val="center"/>
                </w:tcPr>
                <w:p w14:paraId="3EEC304A">
                  <w:pPr>
                    <w:pStyle w:val="42"/>
                  </w:pPr>
                  <w:r>
                    <w:t>生态环境</w:t>
                  </w:r>
                </w:p>
              </w:tc>
              <w:tc>
                <w:tcPr>
                  <w:tcW w:w="4495" w:type="dxa"/>
                  <w:gridSpan w:val="4"/>
                  <w:vAlign w:val="center"/>
                </w:tcPr>
                <w:p w14:paraId="06056AD7">
                  <w:pPr>
                    <w:pStyle w:val="42"/>
                  </w:pPr>
                  <w:r>
                    <w:t>评价区内土壤、植被、农作物、动物、鱼类等</w:t>
                  </w:r>
                </w:p>
              </w:tc>
              <w:tc>
                <w:tcPr>
                  <w:tcW w:w="2720" w:type="dxa"/>
                  <w:vAlign w:val="center"/>
                </w:tcPr>
                <w:p w14:paraId="18E0796C">
                  <w:pPr>
                    <w:pStyle w:val="42"/>
                  </w:pPr>
                  <w:r>
                    <w:rPr>
                      <w:rFonts w:hint="eastAsia"/>
                    </w:rPr>
                    <w:t>陆生生态、水生生态功能不改变，质量不降低</w:t>
                  </w:r>
                </w:p>
              </w:tc>
            </w:tr>
          </w:tbl>
          <w:p w14:paraId="0D4A4432">
            <w:pPr>
              <w:spacing w:line="360" w:lineRule="auto"/>
              <w:ind w:firstLine="480" w:firstLineChars="200"/>
              <w:jc w:val="left"/>
            </w:pPr>
          </w:p>
          <w:p w14:paraId="647FD438">
            <w:pPr>
              <w:spacing w:line="360" w:lineRule="auto"/>
              <w:ind w:firstLine="480" w:firstLineChars="200"/>
              <w:jc w:val="left"/>
            </w:pPr>
          </w:p>
        </w:tc>
      </w:tr>
      <w:tr w14:paraId="66D9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dxa"/>
            <w:vAlign w:val="center"/>
          </w:tcPr>
          <w:p w14:paraId="48576BF0">
            <w:pPr>
              <w:jc w:val="center"/>
            </w:pPr>
            <w:r>
              <w:rPr>
                <w:rFonts w:hint="eastAsia"/>
              </w:rPr>
              <w:t>评价标准</w:t>
            </w:r>
          </w:p>
        </w:tc>
        <w:tc>
          <w:tcPr>
            <w:tcW w:w="7893" w:type="dxa"/>
            <w:vAlign w:val="center"/>
          </w:tcPr>
          <w:p w14:paraId="5BA5E298">
            <w:pPr>
              <w:spacing w:line="360" w:lineRule="auto"/>
              <w:ind w:firstLine="482" w:firstLineChars="200"/>
              <w:jc w:val="left"/>
              <w:rPr>
                <w:b/>
                <w:bCs/>
              </w:rPr>
            </w:pPr>
            <w:r>
              <w:rPr>
                <w:rFonts w:hint="eastAsia"/>
                <w:b/>
                <w:bCs/>
              </w:rPr>
              <w:t>1、环境质量标准</w:t>
            </w:r>
          </w:p>
          <w:p w14:paraId="05F2CAA6">
            <w:pPr>
              <w:spacing w:line="360" w:lineRule="auto"/>
              <w:ind w:firstLine="480" w:firstLineChars="200"/>
              <w:jc w:val="left"/>
            </w:pPr>
            <w:r>
              <w:rPr>
                <w:rFonts w:hint="eastAsia"/>
              </w:rPr>
              <w:t>（1）环境空气</w:t>
            </w:r>
          </w:p>
          <w:p w14:paraId="4E54E539">
            <w:pPr>
              <w:spacing w:line="360" w:lineRule="auto"/>
              <w:ind w:firstLine="480" w:firstLineChars="200"/>
              <w:jc w:val="left"/>
            </w:pPr>
            <w:r>
              <w:rPr>
                <w:rFonts w:hint="eastAsia"/>
              </w:rPr>
              <w:t>本次评价范围内为环境空气二类区，环境空气质量评价采用《环境空气质量标准》（GB 3095-2012）中二级标准。具体标准值详见下表：</w:t>
            </w:r>
          </w:p>
          <w:p w14:paraId="29EA87E9">
            <w:pPr>
              <w:spacing w:line="360" w:lineRule="auto"/>
              <w:ind w:firstLine="480" w:firstLineChars="200"/>
              <w:jc w:val="left"/>
            </w:pPr>
          </w:p>
          <w:p w14:paraId="7BC772C3">
            <w:pPr>
              <w:spacing w:line="360" w:lineRule="auto"/>
              <w:ind w:firstLine="480" w:firstLineChars="200"/>
              <w:jc w:val="left"/>
            </w:pPr>
          </w:p>
          <w:p w14:paraId="256CC512">
            <w:pPr>
              <w:spacing w:line="360" w:lineRule="auto"/>
              <w:jc w:val="center"/>
              <w:rPr>
                <w:b/>
              </w:rPr>
            </w:pPr>
            <w:r>
              <w:rPr>
                <w:b/>
              </w:rPr>
              <w:t>表</w:t>
            </w:r>
            <w:r>
              <w:rPr>
                <w:rFonts w:hint="eastAsia"/>
                <w:b/>
              </w:rPr>
              <w:t xml:space="preserve">43 </w:t>
            </w:r>
            <w:r>
              <w:rPr>
                <w:b/>
              </w:rPr>
              <w:t xml:space="preserve">   环境空气质量执行标准</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5"/>
              <w:gridCol w:w="945"/>
              <w:gridCol w:w="1637"/>
              <w:gridCol w:w="1695"/>
              <w:gridCol w:w="2503"/>
            </w:tblGrid>
            <w:tr w14:paraId="032FB5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restart"/>
                  <w:vAlign w:val="center"/>
                </w:tcPr>
                <w:p w14:paraId="58D10BB2">
                  <w:pPr>
                    <w:jc w:val="center"/>
                    <w:rPr>
                      <w:b/>
                      <w:bCs/>
                      <w:sz w:val="21"/>
                      <w:szCs w:val="21"/>
                    </w:rPr>
                  </w:pPr>
                  <w:r>
                    <w:rPr>
                      <w:b/>
                      <w:bCs/>
                      <w:sz w:val="21"/>
                      <w:szCs w:val="21"/>
                    </w:rPr>
                    <w:t>污染物</w:t>
                  </w:r>
                </w:p>
              </w:tc>
              <w:tc>
                <w:tcPr>
                  <w:tcW w:w="599" w:type="pct"/>
                  <w:vMerge w:val="restart"/>
                  <w:vAlign w:val="center"/>
                </w:tcPr>
                <w:p w14:paraId="66BA826E">
                  <w:pPr>
                    <w:jc w:val="center"/>
                    <w:rPr>
                      <w:b/>
                      <w:bCs/>
                      <w:sz w:val="21"/>
                      <w:szCs w:val="21"/>
                    </w:rPr>
                  </w:pPr>
                  <w:r>
                    <w:rPr>
                      <w:b/>
                      <w:bCs/>
                      <w:sz w:val="21"/>
                      <w:szCs w:val="21"/>
                    </w:rPr>
                    <w:t>单位</w:t>
                  </w:r>
                </w:p>
              </w:tc>
              <w:tc>
                <w:tcPr>
                  <w:tcW w:w="1038" w:type="pct"/>
                  <w:vMerge w:val="restart"/>
                  <w:vAlign w:val="center"/>
                </w:tcPr>
                <w:p w14:paraId="1C2A9CD7">
                  <w:pPr>
                    <w:jc w:val="center"/>
                    <w:rPr>
                      <w:b/>
                      <w:bCs/>
                      <w:sz w:val="21"/>
                      <w:szCs w:val="21"/>
                    </w:rPr>
                  </w:pPr>
                  <w:r>
                    <w:rPr>
                      <w:b/>
                      <w:bCs/>
                      <w:sz w:val="21"/>
                      <w:szCs w:val="21"/>
                    </w:rPr>
                    <w:t>取值时间</w:t>
                  </w:r>
                </w:p>
              </w:tc>
              <w:tc>
                <w:tcPr>
                  <w:tcW w:w="1075" w:type="pct"/>
                  <w:vAlign w:val="center"/>
                </w:tcPr>
                <w:p w14:paraId="29CFA6A5">
                  <w:pPr>
                    <w:jc w:val="center"/>
                    <w:rPr>
                      <w:b/>
                      <w:bCs/>
                      <w:sz w:val="21"/>
                      <w:szCs w:val="21"/>
                    </w:rPr>
                  </w:pPr>
                  <w:r>
                    <w:rPr>
                      <w:b/>
                      <w:bCs/>
                      <w:sz w:val="21"/>
                      <w:szCs w:val="21"/>
                    </w:rPr>
                    <w:t>标准浓度限值</w:t>
                  </w:r>
                </w:p>
              </w:tc>
              <w:tc>
                <w:tcPr>
                  <w:tcW w:w="1587" w:type="pct"/>
                  <w:vMerge w:val="restart"/>
                  <w:vAlign w:val="center"/>
                </w:tcPr>
                <w:p w14:paraId="1E38C6CF">
                  <w:pPr>
                    <w:jc w:val="center"/>
                    <w:rPr>
                      <w:b/>
                      <w:bCs/>
                      <w:sz w:val="21"/>
                      <w:szCs w:val="21"/>
                    </w:rPr>
                  </w:pPr>
                  <w:r>
                    <w:rPr>
                      <w:b/>
                      <w:bCs/>
                      <w:sz w:val="21"/>
                      <w:szCs w:val="21"/>
                    </w:rPr>
                    <w:t>标准级别</w:t>
                  </w:r>
                </w:p>
              </w:tc>
            </w:tr>
            <w:tr w14:paraId="34C06C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58619244">
                  <w:pPr>
                    <w:jc w:val="center"/>
                    <w:rPr>
                      <w:b/>
                      <w:bCs/>
                      <w:sz w:val="21"/>
                      <w:szCs w:val="21"/>
                    </w:rPr>
                  </w:pPr>
                </w:p>
              </w:tc>
              <w:tc>
                <w:tcPr>
                  <w:tcW w:w="599" w:type="pct"/>
                  <w:vMerge w:val="continue"/>
                  <w:vAlign w:val="center"/>
                </w:tcPr>
                <w:p w14:paraId="32351B84">
                  <w:pPr>
                    <w:jc w:val="center"/>
                    <w:rPr>
                      <w:b/>
                      <w:bCs/>
                      <w:sz w:val="21"/>
                      <w:szCs w:val="21"/>
                    </w:rPr>
                  </w:pPr>
                </w:p>
              </w:tc>
              <w:tc>
                <w:tcPr>
                  <w:tcW w:w="1038" w:type="pct"/>
                  <w:vMerge w:val="continue"/>
                  <w:vAlign w:val="center"/>
                </w:tcPr>
                <w:p w14:paraId="3A6D5525">
                  <w:pPr>
                    <w:jc w:val="center"/>
                    <w:rPr>
                      <w:b/>
                      <w:bCs/>
                      <w:sz w:val="21"/>
                      <w:szCs w:val="21"/>
                    </w:rPr>
                  </w:pPr>
                </w:p>
              </w:tc>
              <w:tc>
                <w:tcPr>
                  <w:tcW w:w="1075" w:type="pct"/>
                  <w:vAlign w:val="center"/>
                </w:tcPr>
                <w:p w14:paraId="0F683D24">
                  <w:pPr>
                    <w:jc w:val="center"/>
                    <w:rPr>
                      <w:b/>
                      <w:bCs/>
                      <w:sz w:val="21"/>
                      <w:szCs w:val="21"/>
                    </w:rPr>
                  </w:pPr>
                  <w:r>
                    <w:rPr>
                      <w:b/>
                      <w:bCs/>
                      <w:sz w:val="21"/>
                      <w:szCs w:val="21"/>
                    </w:rPr>
                    <w:t>二级</w:t>
                  </w:r>
                </w:p>
              </w:tc>
              <w:tc>
                <w:tcPr>
                  <w:tcW w:w="1587" w:type="pct"/>
                  <w:vMerge w:val="continue"/>
                  <w:vAlign w:val="center"/>
                </w:tcPr>
                <w:p w14:paraId="2CFE599B">
                  <w:pPr>
                    <w:jc w:val="center"/>
                    <w:rPr>
                      <w:b/>
                      <w:bCs/>
                      <w:sz w:val="21"/>
                      <w:szCs w:val="21"/>
                    </w:rPr>
                  </w:pPr>
                </w:p>
              </w:tc>
            </w:tr>
            <w:tr w14:paraId="24AE34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restart"/>
                  <w:vAlign w:val="center"/>
                </w:tcPr>
                <w:p w14:paraId="5518A245">
                  <w:pPr>
                    <w:jc w:val="center"/>
                    <w:rPr>
                      <w:bCs/>
                      <w:sz w:val="21"/>
                      <w:szCs w:val="21"/>
                    </w:rPr>
                  </w:pPr>
                  <w:r>
                    <w:rPr>
                      <w:bCs/>
                      <w:sz w:val="21"/>
                      <w:szCs w:val="21"/>
                    </w:rPr>
                    <w:t>SO</w:t>
                  </w:r>
                  <w:r>
                    <w:rPr>
                      <w:bCs/>
                      <w:sz w:val="21"/>
                      <w:szCs w:val="21"/>
                      <w:vertAlign w:val="subscript"/>
                    </w:rPr>
                    <w:t>2</w:t>
                  </w:r>
                </w:p>
              </w:tc>
              <w:tc>
                <w:tcPr>
                  <w:tcW w:w="599" w:type="pct"/>
                  <w:vMerge w:val="restart"/>
                  <w:vAlign w:val="center"/>
                </w:tcPr>
                <w:p w14:paraId="2D160477">
                  <w:pPr>
                    <w:jc w:val="center"/>
                    <w:rPr>
                      <w:bCs/>
                      <w:sz w:val="21"/>
                      <w:szCs w:val="21"/>
                    </w:rPr>
                  </w:pPr>
                  <w:r>
                    <w:rPr>
                      <w:sz w:val="21"/>
                      <w:szCs w:val="21"/>
                    </w:rPr>
                    <w:t>µg/m</w:t>
                  </w:r>
                  <w:r>
                    <w:rPr>
                      <w:sz w:val="21"/>
                      <w:szCs w:val="21"/>
                      <w:vertAlign w:val="superscript"/>
                    </w:rPr>
                    <w:t>3</w:t>
                  </w:r>
                </w:p>
              </w:tc>
              <w:tc>
                <w:tcPr>
                  <w:tcW w:w="1038" w:type="pct"/>
                  <w:vAlign w:val="center"/>
                </w:tcPr>
                <w:p w14:paraId="40B60313">
                  <w:pPr>
                    <w:jc w:val="center"/>
                    <w:rPr>
                      <w:bCs/>
                      <w:sz w:val="21"/>
                      <w:szCs w:val="21"/>
                    </w:rPr>
                  </w:pPr>
                  <w:r>
                    <w:rPr>
                      <w:bCs/>
                      <w:sz w:val="21"/>
                      <w:szCs w:val="21"/>
                    </w:rPr>
                    <w:t>年平均</w:t>
                  </w:r>
                </w:p>
              </w:tc>
              <w:tc>
                <w:tcPr>
                  <w:tcW w:w="1075" w:type="pct"/>
                  <w:vAlign w:val="center"/>
                </w:tcPr>
                <w:p w14:paraId="21A0D26F">
                  <w:pPr>
                    <w:jc w:val="center"/>
                    <w:rPr>
                      <w:bCs/>
                      <w:sz w:val="21"/>
                      <w:szCs w:val="21"/>
                    </w:rPr>
                  </w:pPr>
                  <w:r>
                    <w:rPr>
                      <w:bCs/>
                      <w:sz w:val="21"/>
                      <w:szCs w:val="21"/>
                    </w:rPr>
                    <w:t>60</w:t>
                  </w:r>
                </w:p>
              </w:tc>
              <w:tc>
                <w:tcPr>
                  <w:tcW w:w="1587" w:type="pct"/>
                  <w:vMerge w:val="restart"/>
                  <w:vAlign w:val="center"/>
                </w:tcPr>
                <w:p w14:paraId="31B5C0B2">
                  <w:pPr>
                    <w:jc w:val="center"/>
                    <w:rPr>
                      <w:bCs/>
                      <w:sz w:val="21"/>
                      <w:szCs w:val="21"/>
                    </w:rPr>
                  </w:pPr>
                  <w:r>
                    <w:rPr>
                      <w:bCs/>
                      <w:sz w:val="21"/>
                      <w:szCs w:val="21"/>
                    </w:rPr>
                    <w:t>《环境空气质量标准》（</w:t>
                  </w:r>
                  <w:r>
                    <w:rPr>
                      <w:sz w:val="21"/>
                      <w:szCs w:val="21"/>
                    </w:rPr>
                    <w:t>GB</w:t>
                  </w:r>
                  <w:r>
                    <w:rPr>
                      <w:rFonts w:hint="eastAsia"/>
                      <w:sz w:val="21"/>
                      <w:szCs w:val="21"/>
                    </w:rPr>
                    <w:t xml:space="preserve"> </w:t>
                  </w:r>
                  <w:r>
                    <w:rPr>
                      <w:sz w:val="21"/>
                      <w:szCs w:val="21"/>
                    </w:rPr>
                    <w:t>3</w:t>
                  </w:r>
                  <w:r>
                    <w:rPr>
                      <w:bCs/>
                      <w:sz w:val="21"/>
                      <w:szCs w:val="21"/>
                    </w:rPr>
                    <w:t>095</w:t>
                  </w:r>
                  <w:r>
                    <w:rPr>
                      <w:rFonts w:hint="eastAsia"/>
                      <w:bCs/>
                      <w:sz w:val="21"/>
                      <w:szCs w:val="21"/>
                    </w:rPr>
                    <w:t>-</w:t>
                  </w:r>
                  <w:r>
                    <w:rPr>
                      <w:bCs/>
                      <w:sz w:val="21"/>
                      <w:szCs w:val="21"/>
                    </w:rPr>
                    <w:t>2012）中二级标准</w:t>
                  </w:r>
                </w:p>
              </w:tc>
            </w:tr>
            <w:tr w14:paraId="6D8815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4A1BF3D5">
                  <w:pPr>
                    <w:jc w:val="center"/>
                    <w:rPr>
                      <w:bCs/>
                      <w:sz w:val="21"/>
                      <w:szCs w:val="21"/>
                    </w:rPr>
                  </w:pPr>
                </w:p>
              </w:tc>
              <w:tc>
                <w:tcPr>
                  <w:tcW w:w="599" w:type="pct"/>
                  <w:vMerge w:val="continue"/>
                  <w:vAlign w:val="center"/>
                </w:tcPr>
                <w:p w14:paraId="2D660B9F">
                  <w:pPr>
                    <w:jc w:val="center"/>
                    <w:rPr>
                      <w:bCs/>
                      <w:sz w:val="21"/>
                      <w:szCs w:val="21"/>
                    </w:rPr>
                  </w:pPr>
                </w:p>
              </w:tc>
              <w:tc>
                <w:tcPr>
                  <w:tcW w:w="1038" w:type="pct"/>
                  <w:vAlign w:val="center"/>
                </w:tcPr>
                <w:p w14:paraId="3ED8930D">
                  <w:pPr>
                    <w:jc w:val="center"/>
                    <w:rPr>
                      <w:bCs/>
                      <w:sz w:val="21"/>
                      <w:szCs w:val="21"/>
                    </w:rPr>
                  </w:pPr>
                  <w:r>
                    <w:rPr>
                      <w:bCs/>
                      <w:sz w:val="21"/>
                      <w:szCs w:val="21"/>
                    </w:rPr>
                    <w:t>24小时平均</w:t>
                  </w:r>
                </w:p>
              </w:tc>
              <w:tc>
                <w:tcPr>
                  <w:tcW w:w="1075" w:type="pct"/>
                  <w:vAlign w:val="center"/>
                </w:tcPr>
                <w:p w14:paraId="158E2DB8">
                  <w:pPr>
                    <w:jc w:val="center"/>
                    <w:rPr>
                      <w:bCs/>
                      <w:sz w:val="21"/>
                      <w:szCs w:val="21"/>
                    </w:rPr>
                  </w:pPr>
                  <w:r>
                    <w:rPr>
                      <w:bCs/>
                      <w:sz w:val="21"/>
                      <w:szCs w:val="21"/>
                    </w:rPr>
                    <w:t>150</w:t>
                  </w:r>
                </w:p>
              </w:tc>
              <w:tc>
                <w:tcPr>
                  <w:tcW w:w="1587" w:type="pct"/>
                  <w:vMerge w:val="continue"/>
                  <w:vAlign w:val="center"/>
                </w:tcPr>
                <w:p w14:paraId="0A7CB713">
                  <w:pPr>
                    <w:jc w:val="center"/>
                    <w:rPr>
                      <w:bCs/>
                      <w:sz w:val="21"/>
                      <w:szCs w:val="21"/>
                    </w:rPr>
                  </w:pPr>
                </w:p>
              </w:tc>
            </w:tr>
            <w:tr w14:paraId="75FE5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18AC4D99">
                  <w:pPr>
                    <w:jc w:val="center"/>
                    <w:rPr>
                      <w:bCs/>
                      <w:sz w:val="21"/>
                      <w:szCs w:val="21"/>
                    </w:rPr>
                  </w:pPr>
                </w:p>
              </w:tc>
              <w:tc>
                <w:tcPr>
                  <w:tcW w:w="599" w:type="pct"/>
                  <w:vMerge w:val="continue"/>
                  <w:vAlign w:val="center"/>
                </w:tcPr>
                <w:p w14:paraId="2529B8A1">
                  <w:pPr>
                    <w:jc w:val="center"/>
                    <w:rPr>
                      <w:bCs/>
                      <w:sz w:val="21"/>
                      <w:szCs w:val="21"/>
                    </w:rPr>
                  </w:pPr>
                </w:p>
              </w:tc>
              <w:tc>
                <w:tcPr>
                  <w:tcW w:w="1038" w:type="pct"/>
                  <w:vAlign w:val="center"/>
                </w:tcPr>
                <w:p w14:paraId="4C9CCE5B">
                  <w:pPr>
                    <w:jc w:val="center"/>
                    <w:rPr>
                      <w:bCs/>
                      <w:sz w:val="21"/>
                      <w:szCs w:val="21"/>
                    </w:rPr>
                  </w:pPr>
                  <w:r>
                    <w:rPr>
                      <w:bCs/>
                      <w:sz w:val="21"/>
                      <w:szCs w:val="21"/>
                    </w:rPr>
                    <w:t>1小时平均</w:t>
                  </w:r>
                </w:p>
              </w:tc>
              <w:tc>
                <w:tcPr>
                  <w:tcW w:w="1075" w:type="pct"/>
                  <w:vAlign w:val="center"/>
                </w:tcPr>
                <w:p w14:paraId="36A5590B">
                  <w:pPr>
                    <w:jc w:val="center"/>
                    <w:rPr>
                      <w:bCs/>
                      <w:sz w:val="21"/>
                      <w:szCs w:val="21"/>
                    </w:rPr>
                  </w:pPr>
                  <w:r>
                    <w:rPr>
                      <w:bCs/>
                      <w:sz w:val="21"/>
                      <w:szCs w:val="21"/>
                    </w:rPr>
                    <w:t>500</w:t>
                  </w:r>
                </w:p>
              </w:tc>
              <w:tc>
                <w:tcPr>
                  <w:tcW w:w="1587" w:type="pct"/>
                  <w:vMerge w:val="continue"/>
                  <w:vAlign w:val="center"/>
                </w:tcPr>
                <w:p w14:paraId="0055C8A0">
                  <w:pPr>
                    <w:jc w:val="center"/>
                    <w:rPr>
                      <w:bCs/>
                      <w:sz w:val="21"/>
                      <w:szCs w:val="21"/>
                    </w:rPr>
                  </w:pPr>
                </w:p>
              </w:tc>
            </w:tr>
            <w:tr w14:paraId="3C4F19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restart"/>
                  <w:vAlign w:val="center"/>
                </w:tcPr>
                <w:p w14:paraId="3A2F3AB9">
                  <w:pPr>
                    <w:jc w:val="center"/>
                    <w:rPr>
                      <w:bCs/>
                      <w:sz w:val="21"/>
                      <w:szCs w:val="21"/>
                    </w:rPr>
                  </w:pPr>
                  <w:r>
                    <w:rPr>
                      <w:bCs/>
                      <w:sz w:val="21"/>
                      <w:szCs w:val="21"/>
                    </w:rPr>
                    <w:t>NO</w:t>
                  </w:r>
                  <w:r>
                    <w:rPr>
                      <w:bCs/>
                      <w:sz w:val="21"/>
                      <w:szCs w:val="21"/>
                      <w:vertAlign w:val="subscript"/>
                    </w:rPr>
                    <w:t>2</w:t>
                  </w:r>
                </w:p>
              </w:tc>
              <w:tc>
                <w:tcPr>
                  <w:tcW w:w="599" w:type="pct"/>
                  <w:vMerge w:val="restart"/>
                  <w:vAlign w:val="center"/>
                </w:tcPr>
                <w:p w14:paraId="40EC911E">
                  <w:pPr>
                    <w:jc w:val="center"/>
                    <w:rPr>
                      <w:bCs/>
                      <w:sz w:val="21"/>
                      <w:szCs w:val="21"/>
                    </w:rPr>
                  </w:pPr>
                  <w:r>
                    <w:rPr>
                      <w:sz w:val="21"/>
                      <w:szCs w:val="21"/>
                    </w:rPr>
                    <w:t>µg/m</w:t>
                  </w:r>
                  <w:r>
                    <w:rPr>
                      <w:sz w:val="21"/>
                      <w:szCs w:val="21"/>
                      <w:vertAlign w:val="superscript"/>
                    </w:rPr>
                    <w:t>3</w:t>
                  </w:r>
                </w:p>
              </w:tc>
              <w:tc>
                <w:tcPr>
                  <w:tcW w:w="1038" w:type="pct"/>
                  <w:vAlign w:val="center"/>
                </w:tcPr>
                <w:p w14:paraId="4E87F16E">
                  <w:pPr>
                    <w:jc w:val="center"/>
                    <w:rPr>
                      <w:bCs/>
                      <w:sz w:val="21"/>
                      <w:szCs w:val="21"/>
                    </w:rPr>
                  </w:pPr>
                  <w:r>
                    <w:rPr>
                      <w:bCs/>
                      <w:sz w:val="21"/>
                      <w:szCs w:val="21"/>
                    </w:rPr>
                    <w:t>年平均</w:t>
                  </w:r>
                </w:p>
              </w:tc>
              <w:tc>
                <w:tcPr>
                  <w:tcW w:w="1075" w:type="pct"/>
                  <w:vAlign w:val="center"/>
                </w:tcPr>
                <w:p w14:paraId="5045F861">
                  <w:pPr>
                    <w:jc w:val="center"/>
                    <w:rPr>
                      <w:bCs/>
                      <w:sz w:val="21"/>
                      <w:szCs w:val="21"/>
                    </w:rPr>
                  </w:pPr>
                  <w:r>
                    <w:rPr>
                      <w:bCs/>
                      <w:sz w:val="21"/>
                      <w:szCs w:val="21"/>
                    </w:rPr>
                    <w:t>40</w:t>
                  </w:r>
                </w:p>
              </w:tc>
              <w:tc>
                <w:tcPr>
                  <w:tcW w:w="1587" w:type="pct"/>
                  <w:vMerge w:val="continue"/>
                  <w:vAlign w:val="center"/>
                </w:tcPr>
                <w:p w14:paraId="27567EE7">
                  <w:pPr>
                    <w:jc w:val="center"/>
                    <w:rPr>
                      <w:bCs/>
                      <w:sz w:val="21"/>
                      <w:szCs w:val="21"/>
                    </w:rPr>
                  </w:pPr>
                </w:p>
              </w:tc>
            </w:tr>
            <w:tr w14:paraId="7622E5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418C0C00">
                  <w:pPr>
                    <w:jc w:val="center"/>
                    <w:rPr>
                      <w:bCs/>
                      <w:sz w:val="21"/>
                      <w:szCs w:val="21"/>
                    </w:rPr>
                  </w:pPr>
                </w:p>
              </w:tc>
              <w:tc>
                <w:tcPr>
                  <w:tcW w:w="599" w:type="pct"/>
                  <w:vMerge w:val="continue"/>
                  <w:vAlign w:val="center"/>
                </w:tcPr>
                <w:p w14:paraId="34B53D55">
                  <w:pPr>
                    <w:jc w:val="center"/>
                    <w:rPr>
                      <w:bCs/>
                      <w:sz w:val="21"/>
                      <w:szCs w:val="21"/>
                    </w:rPr>
                  </w:pPr>
                </w:p>
              </w:tc>
              <w:tc>
                <w:tcPr>
                  <w:tcW w:w="1038" w:type="pct"/>
                  <w:vAlign w:val="center"/>
                </w:tcPr>
                <w:p w14:paraId="27FEBDD9">
                  <w:pPr>
                    <w:jc w:val="center"/>
                    <w:rPr>
                      <w:bCs/>
                      <w:sz w:val="21"/>
                      <w:szCs w:val="21"/>
                    </w:rPr>
                  </w:pPr>
                  <w:r>
                    <w:rPr>
                      <w:bCs/>
                      <w:sz w:val="21"/>
                      <w:szCs w:val="21"/>
                    </w:rPr>
                    <w:t>24小时平均</w:t>
                  </w:r>
                </w:p>
              </w:tc>
              <w:tc>
                <w:tcPr>
                  <w:tcW w:w="1075" w:type="pct"/>
                  <w:vAlign w:val="center"/>
                </w:tcPr>
                <w:p w14:paraId="72C5EABF">
                  <w:pPr>
                    <w:jc w:val="center"/>
                    <w:rPr>
                      <w:bCs/>
                      <w:sz w:val="21"/>
                      <w:szCs w:val="21"/>
                    </w:rPr>
                  </w:pPr>
                  <w:r>
                    <w:rPr>
                      <w:bCs/>
                      <w:sz w:val="21"/>
                      <w:szCs w:val="21"/>
                    </w:rPr>
                    <w:t>80</w:t>
                  </w:r>
                </w:p>
              </w:tc>
              <w:tc>
                <w:tcPr>
                  <w:tcW w:w="1587" w:type="pct"/>
                  <w:vMerge w:val="continue"/>
                  <w:vAlign w:val="center"/>
                </w:tcPr>
                <w:p w14:paraId="2DCB9514">
                  <w:pPr>
                    <w:jc w:val="center"/>
                    <w:rPr>
                      <w:bCs/>
                      <w:sz w:val="21"/>
                      <w:szCs w:val="21"/>
                    </w:rPr>
                  </w:pPr>
                </w:p>
              </w:tc>
            </w:tr>
            <w:tr w14:paraId="5F96BC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33BCD3B1">
                  <w:pPr>
                    <w:jc w:val="center"/>
                    <w:rPr>
                      <w:bCs/>
                      <w:sz w:val="21"/>
                      <w:szCs w:val="21"/>
                    </w:rPr>
                  </w:pPr>
                </w:p>
              </w:tc>
              <w:tc>
                <w:tcPr>
                  <w:tcW w:w="599" w:type="pct"/>
                  <w:vMerge w:val="continue"/>
                  <w:vAlign w:val="center"/>
                </w:tcPr>
                <w:p w14:paraId="6E1209D6">
                  <w:pPr>
                    <w:jc w:val="center"/>
                    <w:rPr>
                      <w:bCs/>
                      <w:sz w:val="21"/>
                      <w:szCs w:val="21"/>
                    </w:rPr>
                  </w:pPr>
                </w:p>
              </w:tc>
              <w:tc>
                <w:tcPr>
                  <w:tcW w:w="1038" w:type="pct"/>
                  <w:vAlign w:val="center"/>
                </w:tcPr>
                <w:p w14:paraId="45103D18">
                  <w:pPr>
                    <w:jc w:val="center"/>
                    <w:rPr>
                      <w:bCs/>
                      <w:sz w:val="21"/>
                      <w:szCs w:val="21"/>
                    </w:rPr>
                  </w:pPr>
                  <w:r>
                    <w:rPr>
                      <w:bCs/>
                      <w:sz w:val="21"/>
                      <w:szCs w:val="21"/>
                    </w:rPr>
                    <w:t>1小时平均</w:t>
                  </w:r>
                </w:p>
              </w:tc>
              <w:tc>
                <w:tcPr>
                  <w:tcW w:w="1075" w:type="pct"/>
                  <w:vAlign w:val="center"/>
                </w:tcPr>
                <w:p w14:paraId="1B04A05B">
                  <w:pPr>
                    <w:jc w:val="center"/>
                    <w:rPr>
                      <w:bCs/>
                      <w:sz w:val="21"/>
                      <w:szCs w:val="21"/>
                    </w:rPr>
                  </w:pPr>
                  <w:r>
                    <w:rPr>
                      <w:bCs/>
                      <w:sz w:val="21"/>
                      <w:szCs w:val="21"/>
                    </w:rPr>
                    <w:t>200</w:t>
                  </w:r>
                </w:p>
              </w:tc>
              <w:tc>
                <w:tcPr>
                  <w:tcW w:w="1587" w:type="pct"/>
                  <w:vMerge w:val="continue"/>
                  <w:vAlign w:val="center"/>
                </w:tcPr>
                <w:p w14:paraId="1B888659">
                  <w:pPr>
                    <w:jc w:val="center"/>
                    <w:rPr>
                      <w:bCs/>
                      <w:sz w:val="21"/>
                      <w:szCs w:val="21"/>
                    </w:rPr>
                  </w:pPr>
                </w:p>
              </w:tc>
            </w:tr>
            <w:tr w14:paraId="4C21B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5" w:hRule="atLeast"/>
              </w:trPr>
              <w:tc>
                <w:tcPr>
                  <w:tcW w:w="701" w:type="pct"/>
                  <w:vMerge w:val="restart"/>
                  <w:vAlign w:val="center"/>
                </w:tcPr>
                <w:p w14:paraId="34BD0A5F">
                  <w:pPr>
                    <w:jc w:val="center"/>
                    <w:rPr>
                      <w:bCs/>
                      <w:sz w:val="21"/>
                      <w:szCs w:val="21"/>
                    </w:rPr>
                  </w:pPr>
                  <w:r>
                    <w:rPr>
                      <w:bCs/>
                      <w:sz w:val="21"/>
                      <w:szCs w:val="21"/>
                    </w:rPr>
                    <w:t>CO</w:t>
                  </w:r>
                </w:p>
              </w:tc>
              <w:tc>
                <w:tcPr>
                  <w:tcW w:w="599" w:type="pct"/>
                  <w:vMerge w:val="restart"/>
                  <w:vAlign w:val="center"/>
                </w:tcPr>
                <w:p w14:paraId="5343AF0F">
                  <w:pPr>
                    <w:jc w:val="center"/>
                    <w:rPr>
                      <w:bCs/>
                      <w:sz w:val="21"/>
                      <w:szCs w:val="21"/>
                    </w:rPr>
                  </w:pPr>
                  <w:r>
                    <w:rPr>
                      <w:bCs/>
                      <w:sz w:val="21"/>
                      <w:szCs w:val="21"/>
                    </w:rPr>
                    <w:t>mg/m</w:t>
                  </w:r>
                  <w:r>
                    <w:rPr>
                      <w:bCs/>
                      <w:sz w:val="21"/>
                      <w:szCs w:val="21"/>
                      <w:vertAlign w:val="superscript"/>
                    </w:rPr>
                    <w:t>3</w:t>
                  </w:r>
                </w:p>
              </w:tc>
              <w:tc>
                <w:tcPr>
                  <w:tcW w:w="1038" w:type="pct"/>
                  <w:vAlign w:val="center"/>
                </w:tcPr>
                <w:p w14:paraId="669FB667">
                  <w:pPr>
                    <w:jc w:val="center"/>
                    <w:rPr>
                      <w:bCs/>
                      <w:sz w:val="21"/>
                      <w:szCs w:val="21"/>
                    </w:rPr>
                  </w:pPr>
                  <w:r>
                    <w:rPr>
                      <w:bCs/>
                      <w:sz w:val="21"/>
                      <w:szCs w:val="21"/>
                    </w:rPr>
                    <w:t>24小时平均</w:t>
                  </w:r>
                </w:p>
              </w:tc>
              <w:tc>
                <w:tcPr>
                  <w:tcW w:w="1075" w:type="pct"/>
                  <w:vAlign w:val="center"/>
                </w:tcPr>
                <w:p w14:paraId="18257319">
                  <w:pPr>
                    <w:jc w:val="center"/>
                    <w:rPr>
                      <w:bCs/>
                      <w:sz w:val="21"/>
                      <w:szCs w:val="21"/>
                    </w:rPr>
                  </w:pPr>
                  <w:r>
                    <w:rPr>
                      <w:bCs/>
                      <w:sz w:val="21"/>
                      <w:szCs w:val="21"/>
                    </w:rPr>
                    <w:t>4</w:t>
                  </w:r>
                </w:p>
              </w:tc>
              <w:tc>
                <w:tcPr>
                  <w:tcW w:w="1587" w:type="pct"/>
                  <w:vMerge w:val="continue"/>
                  <w:vAlign w:val="center"/>
                </w:tcPr>
                <w:p w14:paraId="6FBD4C36">
                  <w:pPr>
                    <w:jc w:val="center"/>
                    <w:rPr>
                      <w:bCs/>
                      <w:sz w:val="21"/>
                      <w:szCs w:val="21"/>
                    </w:rPr>
                  </w:pPr>
                </w:p>
              </w:tc>
            </w:tr>
            <w:tr w14:paraId="625E7B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701" w:type="pct"/>
                  <w:vMerge w:val="continue"/>
                  <w:vAlign w:val="center"/>
                </w:tcPr>
                <w:p w14:paraId="44135000">
                  <w:pPr>
                    <w:jc w:val="center"/>
                    <w:rPr>
                      <w:bCs/>
                      <w:sz w:val="21"/>
                      <w:szCs w:val="21"/>
                    </w:rPr>
                  </w:pPr>
                </w:p>
              </w:tc>
              <w:tc>
                <w:tcPr>
                  <w:tcW w:w="599" w:type="pct"/>
                  <w:vMerge w:val="continue"/>
                  <w:vAlign w:val="center"/>
                </w:tcPr>
                <w:p w14:paraId="33F0F5C1">
                  <w:pPr>
                    <w:jc w:val="center"/>
                    <w:rPr>
                      <w:bCs/>
                      <w:sz w:val="21"/>
                      <w:szCs w:val="21"/>
                    </w:rPr>
                  </w:pPr>
                </w:p>
              </w:tc>
              <w:tc>
                <w:tcPr>
                  <w:tcW w:w="1038" w:type="pct"/>
                  <w:vAlign w:val="center"/>
                </w:tcPr>
                <w:p w14:paraId="3E10BA37">
                  <w:pPr>
                    <w:jc w:val="center"/>
                    <w:rPr>
                      <w:bCs/>
                      <w:sz w:val="21"/>
                      <w:szCs w:val="21"/>
                    </w:rPr>
                  </w:pPr>
                  <w:r>
                    <w:rPr>
                      <w:bCs/>
                      <w:sz w:val="21"/>
                      <w:szCs w:val="21"/>
                    </w:rPr>
                    <w:t>1小时平均</w:t>
                  </w:r>
                </w:p>
              </w:tc>
              <w:tc>
                <w:tcPr>
                  <w:tcW w:w="1075" w:type="pct"/>
                  <w:vAlign w:val="center"/>
                </w:tcPr>
                <w:p w14:paraId="22C4A64D">
                  <w:pPr>
                    <w:jc w:val="center"/>
                    <w:rPr>
                      <w:bCs/>
                      <w:sz w:val="21"/>
                      <w:szCs w:val="21"/>
                    </w:rPr>
                  </w:pPr>
                  <w:r>
                    <w:rPr>
                      <w:bCs/>
                      <w:sz w:val="21"/>
                      <w:szCs w:val="21"/>
                    </w:rPr>
                    <w:t>10</w:t>
                  </w:r>
                </w:p>
              </w:tc>
              <w:tc>
                <w:tcPr>
                  <w:tcW w:w="1587" w:type="pct"/>
                  <w:vMerge w:val="continue"/>
                  <w:vAlign w:val="center"/>
                </w:tcPr>
                <w:p w14:paraId="6D2C9509">
                  <w:pPr>
                    <w:jc w:val="center"/>
                    <w:rPr>
                      <w:bCs/>
                      <w:sz w:val="21"/>
                      <w:szCs w:val="21"/>
                    </w:rPr>
                  </w:pPr>
                </w:p>
              </w:tc>
            </w:tr>
            <w:tr w14:paraId="4AC316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restart"/>
                  <w:vAlign w:val="center"/>
                </w:tcPr>
                <w:p w14:paraId="5DC3E352">
                  <w:pPr>
                    <w:jc w:val="center"/>
                    <w:rPr>
                      <w:bCs/>
                      <w:sz w:val="21"/>
                      <w:szCs w:val="21"/>
                    </w:rPr>
                  </w:pPr>
                  <w:r>
                    <w:rPr>
                      <w:bCs/>
                      <w:sz w:val="21"/>
                      <w:szCs w:val="21"/>
                    </w:rPr>
                    <w:t>O</w:t>
                  </w:r>
                  <w:r>
                    <w:rPr>
                      <w:bCs/>
                      <w:sz w:val="21"/>
                      <w:szCs w:val="21"/>
                      <w:vertAlign w:val="subscript"/>
                    </w:rPr>
                    <w:t>3</w:t>
                  </w:r>
                </w:p>
              </w:tc>
              <w:tc>
                <w:tcPr>
                  <w:tcW w:w="599" w:type="pct"/>
                  <w:vMerge w:val="restart"/>
                  <w:vAlign w:val="center"/>
                </w:tcPr>
                <w:p w14:paraId="3EF4A68B">
                  <w:pPr>
                    <w:jc w:val="center"/>
                    <w:rPr>
                      <w:bCs/>
                      <w:sz w:val="21"/>
                      <w:szCs w:val="21"/>
                    </w:rPr>
                  </w:pPr>
                  <w:r>
                    <w:rPr>
                      <w:sz w:val="21"/>
                      <w:szCs w:val="21"/>
                    </w:rPr>
                    <w:t>µg/m</w:t>
                  </w:r>
                  <w:r>
                    <w:rPr>
                      <w:sz w:val="21"/>
                      <w:szCs w:val="21"/>
                      <w:vertAlign w:val="superscript"/>
                    </w:rPr>
                    <w:t>3</w:t>
                  </w:r>
                </w:p>
              </w:tc>
              <w:tc>
                <w:tcPr>
                  <w:tcW w:w="1038" w:type="pct"/>
                  <w:vAlign w:val="center"/>
                </w:tcPr>
                <w:p w14:paraId="4AA5EF99">
                  <w:pPr>
                    <w:jc w:val="center"/>
                    <w:rPr>
                      <w:bCs/>
                      <w:sz w:val="21"/>
                      <w:szCs w:val="21"/>
                    </w:rPr>
                  </w:pPr>
                  <w:r>
                    <w:rPr>
                      <w:bCs/>
                      <w:sz w:val="21"/>
                      <w:szCs w:val="21"/>
                    </w:rPr>
                    <w:t>日最大8h平均</w:t>
                  </w:r>
                </w:p>
              </w:tc>
              <w:tc>
                <w:tcPr>
                  <w:tcW w:w="1075" w:type="pct"/>
                  <w:vAlign w:val="center"/>
                </w:tcPr>
                <w:p w14:paraId="5AE596E6">
                  <w:pPr>
                    <w:jc w:val="center"/>
                    <w:rPr>
                      <w:bCs/>
                      <w:sz w:val="21"/>
                      <w:szCs w:val="21"/>
                    </w:rPr>
                  </w:pPr>
                  <w:r>
                    <w:rPr>
                      <w:bCs/>
                      <w:sz w:val="21"/>
                      <w:szCs w:val="21"/>
                    </w:rPr>
                    <w:t>160</w:t>
                  </w:r>
                </w:p>
              </w:tc>
              <w:tc>
                <w:tcPr>
                  <w:tcW w:w="1587" w:type="pct"/>
                  <w:vMerge w:val="continue"/>
                  <w:vAlign w:val="center"/>
                </w:tcPr>
                <w:p w14:paraId="34DAD8FC">
                  <w:pPr>
                    <w:jc w:val="center"/>
                    <w:rPr>
                      <w:bCs/>
                      <w:sz w:val="21"/>
                      <w:szCs w:val="21"/>
                    </w:rPr>
                  </w:pPr>
                </w:p>
              </w:tc>
            </w:tr>
            <w:tr w14:paraId="1D39D1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394EE62E">
                  <w:pPr>
                    <w:jc w:val="center"/>
                    <w:rPr>
                      <w:bCs/>
                      <w:sz w:val="21"/>
                      <w:szCs w:val="21"/>
                    </w:rPr>
                  </w:pPr>
                </w:p>
              </w:tc>
              <w:tc>
                <w:tcPr>
                  <w:tcW w:w="599" w:type="pct"/>
                  <w:vMerge w:val="continue"/>
                  <w:vAlign w:val="center"/>
                </w:tcPr>
                <w:p w14:paraId="22E14A87">
                  <w:pPr>
                    <w:jc w:val="center"/>
                    <w:rPr>
                      <w:bCs/>
                      <w:sz w:val="21"/>
                      <w:szCs w:val="21"/>
                    </w:rPr>
                  </w:pPr>
                </w:p>
              </w:tc>
              <w:tc>
                <w:tcPr>
                  <w:tcW w:w="1038" w:type="pct"/>
                  <w:vAlign w:val="center"/>
                </w:tcPr>
                <w:p w14:paraId="37F4F263">
                  <w:pPr>
                    <w:jc w:val="center"/>
                    <w:rPr>
                      <w:bCs/>
                      <w:sz w:val="21"/>
                      <w:szCs w:val="21"/>
                    </w:rPr>
                  </w:pPr>
                  <w:r>
                    <w:rPr>
                      <w:bCs/>
                      <w:sz w:val="21"/>
                      <w:szCs w:val="21"/>
                    </w:rPr>
                    <w:t>1小时平均</w:t>
                  </w:r>
                </w:p>
              </w:tc>
              <w:tc>
                <w:tcPr>
                  <w:tcW w:w="1075" w:type="pct"/>
                  <w:vAlign w:val="center"/>
                </w:tcPr>
                <w:p w14:paraId="4B039588">
                  <w:pPr>
                    <w:jc w:val="center"/>
                    <w:rPr>
                      <w:bCs/>
                      <w:sz w:val="21"/>
                      <w:szCs w:val="21"/>
                    </w:rPr>
                  </w:pPr>
                  <w:r>
                    <w:rPr>
                      <w:bCs/>
                      <w:sz w:val="21"/>
                      <w:szCs w:val="21"/>
                    </w:rPr>
                    <w:t>200</w:t>
                  </w:r>
                </w:p>
              </w:tc>
              <w:tc>
                <w:tcPr>
                  <w:tcW w:w="1587" w:type="pct"/>
                  <w:vMerge w:val="continue"/>
                  <w:vAlign w:val="center"/>
                </w:tcPr>
                <w:p w14:paraId="638C6CE1">
                  <w:pPr>
                    <w:jc w:val="center"/>
                    <w:rPr>
                      <w:bCs/>
                      <w:sz w:val="21"/>
                      <w:szCs w:val="21"/>
                    </w:rPr>
                  </w:pPr>
                </w:p>
              </w:tc>
            </w:tr>
            <w:tr w14:paraId="230324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restart"/>
                  <w:vAlign w:val="center"/>
                </w:tcPr>
                <w:p w14:paraId="4E345111">
                  <w:pPr>
                    <w:jc w:val="center"/>
                    <w:rPr>
                      <w:bCs/>
                      <w:sz w:val="21"/>
                      <w:szCs w:val="21"/>
                    </w:rPr>
                  </w:pPr>
                  <w:r>
                    <w:rPr>
                      <w:bCs/>
                      <w:sz w:val="21"/>
                      <w:szCs w:val="21"/>
                    </w:rPr>
                    <w:t>PM</w:t>
                  </w:r>
                  <w:r>
                    <w:rPr>
                      <w:bCs/>
                      <w:sz w:val="21"/>
                      <w:szCs w:val="21"/>
                      <w:vertAlign w:val="subscript"/>
                    </w:rPr>
                    <w:t>10</w:t>
                  </w:r>
                </w:p>
              </w:tc>
              <w:tc>
                <w:tcPr>
                  <w:tcW w:w="599" w:type="pct"/>
                  <w:vMerge w:val="restart"/>
                  <w:vAlign w:val="center"/>
                </w:tcPr>
                <w:p w14:paraId="4816CDD8">
                  <w:pPr>
                    <w:jc w:val="center"/>
                    <w:rPr>
                      <w:bCs/>
                      <w:sz w:val="21"/>
                      <w:szCs w:val="21"/>
                    </w:rPr>
                  </w:pPr>
                  <w:r>
                    <w:rPr>
                      <w:sz w:val="21"/>
                      <w:szCs w:val="21"/>
                    </w:rPr>
                    <w:t>µg/m</w:t>
                  </w:r>
                  <w:r>
                    <w:rPr>
                      <w:sz w:val="21"/>
                      <w:szCs w:val="21"/>
                      <w:vertAlign w:val="superscript"/>
                    </w:rPr>
                    <w:t>3</w:t>
                  </w:r>
                </w:p>
              </w:tc>
              <w:tc>
                <w:tcPr>
                  <w:tcW w:w="1038" w:type="pct"/>
                  <w:vAlign w:val="center"/>
                </w:tcPr>
                <w:p w14:paraId="2DE3BB0D">
                  <w:pPr>
                    <w:jc w:val="center"/>
                    <w:rPr>
                      <w:bCs/>
                      <w:sz w:val="21"/>
                      <w:szCs w:val="21"/>
                    </w:rPr>
                  </w:pPr>
                  <w:r>
                    <w:rPr>
                      <w:bCs/>
                      <w:sz w:val="21"/>
                      <w:szCs w:val="21"/>
                    </w:rPr>
                    <w:t>年平均</w:t>
                  </w:r>
                </w:p>
              </w:tc>
              <w:tc>
                <w:tcPr>
                  <w:tcW w:w="1075" w:type="pct"/>
                  <w:vAlign w:val="center"/>
                </w:tcPr>
                <w:p w14:paraId="148BA490">
                  <w:pPr>
                    <w:jc w:val="center"/>
                    <w:rPr>
                      <w:bCs/>
                      <w:sz w:val="21"/>
                      <w:szCs w:val="21"/>
                    </w:rPr>
                  </w:pPr>
                  <w:r>
                    <w:rPr>
                      <w:bCs/>
                      <w:sz w:val="21"/>
                      <w:szCs w:val="21"/>
                    </w:rPr>
                    <w:t>70</w:t>
                  </w:r>
                </w:p>
              </w:tc>
              <w:tc>
                <w:tcPr>
                  <w:tcW w:w="1587" w:type="pct"/>
                  <w:vMerge w:val="continue"/>
                  <w:vAlign w:val="center"/>
                </w:tcPr>
                <w:p w14:paraId="4C34DCB0">
                  <w:pPr>
                    <w:jc w:val="center"/>
                    <w:rPr>
                      <w:bCs/>
                      <w:sz w:val="21"/>
                      <w:szCs w:val="21"/>
                    </w:rPr>
                  </w:pPr>
                </w:p>
              </w:tc>
            </w:tr>
            <w:tr w14:paraId="2DD5A6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4A9C372A">
                  <w:pPr>
                    <w:jc w:val="center"/>
                    <w:rPr>
                      <w:bCs/>
                      <w:sz w:val="21"/>
                      <w:szCs w:val="21"/>
                    </w:rPr>
                  </w:pPr>
                </w:p>
              </w:tc>
              <w:tc>
                <w:tcPr>
                  <w:tcW w:w="599" w:type="pct"/>
                  <w:vMerge w:val="continue"/>
                  <w:vAlign w:val="center"/>
                </w:tcPr>
                <w:p w14:paraId="65FD18FA">
                  <w:pPr>
                    <w:jc w:val="center"/>
                    <w:rPr>
                      <w:bCs/>
                      <w:sz w:val="21"/>
                      <w:szCs w:val="21"/>
                    </w:rPr>
                  </w:pPr>
                </w:p>
              </w:tc>
              <w:tc>
                <w:tcPr>
                  <w:tcW w:w="1038" w:type="pct"/>
                  <w:vAlign w:val="center"/>
                </w:tcPr>
                <w:p w14:paraId="39B41D0A">
                  <w:pPr>
                    <w:jc w:val="center"/>
                    <w:rPr>
                      <w:bCs/>
                      <w:sz w:val="21"/>
                      <w:szCs w:val="21"/>
                    </w:rPr>
                  </w:pPr>
                  <w:r>
                    <w:rPr>
                      <w:bCs/>
                      <w:sz w:val="21"/>
                      <w:szCs w:val="21"/>
                    </w:rPr>
                    <w:t>24小时平均</w:t>
                  </w:r>
                </w:p>
              </w:tc>
              <w:tc>
                <w:tcPr>
                  <w:tcW w:w="1075" w:type="pct"/>
                  <w:vAlign w:val="center"/>
                </w:tcPr>
                <w:p w14:paraId="4DCAE9E4">
                  <w:pPr>
                    <w:jc w:val="center"/>
                    <w:rPr>
                      <w:bCs/>
                      <w:sz w:val="21"/>
                      <w:szCs w:val="21"/>
                    </w:rPr>
                  </w:pPr>
                  <w:r>
                    <w:rPr>
                      <w:bCs/>
                      <w:sz w:val="21"/>
                      <w:szCs w:val="21"/>
                    </w:rPr>
                    <w:t>150</w:t>
                  </w:r>
                </w:p>
              </w:tc>
              <w:tc>
                <w:tcPr>
                  <w:tcW w:w="1587" w:type="pct"/>
                  <w:vMerge w:val="continue"/>
                  <w:vAlign w:val="center"/>
                </w:tcPr>
                <w:p w14:paraId="7C7BA0D2">
                  <w:pPr>
                    <w:jc w:val="center"/>
                    <w:rPr>
                      <w:bCs/>
                      <w:sz w:val="21"/>
                      <w:szCs w:val="21"/>
                    </w:rPr>
                  </w:pPr>
                </w:p>
              </w:tc>
            </w:tr>
            <w:tr w14:paraId="5F4FC8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restart"/>
                  <w:vAlign w:val="center"/>
                </w:tcPr>
                <w:p w14:paraId="78503409">
                  <w:pPr>
                    <w:jc w:val="center"/>
                    <w:rPr>
                      <w:bCs/>
                      <w:sz w:val="21"/>
                      <w:szCs w:val="21"/>
                    </w:rPr>
                  </w:pPr>
                  <w:r>
                    <w:rPr>
                      <w:bCs/>
                      <w:sz w:val="21"/>
                      <w:szCs w:val="21"/>
                    </w:rPr>
                    <w:t>PM</w:t>
                  </w:r>
                  <w:r>
                    <w:rPr>
                      <w:bCs/>
                      <w:sz w:val="21"/>
                      <w:szCs w:val="21"/>
                      <w:vertAlign w:val="subscript"/>
                    </w:rPr>
                    <w:t>2.5</w:t>
                  </w:r>
                </w:p>
              </w:tc>
              <w:tc>
                <w:tcPr>
                  <w:tcW w:w="599" w:type="pct"/>
                  <w:vMerge w:val="restart"/>
                  <w:vAlign w:val="center"/>
                </w:tcPr>
                <w:p w14:paraId="37E92C04">
                  <w:pPr>
                    <w:jc w:val="center"/>
                    <w:rPr>
                      <w:bCs/>
                      <w:sz w:val="21"/>
                      <w:szCs w:val="21"/>
                    </w:rPr>
                  </w:pPr>
                  <w:r>
                    <w:rPr>
                      <w:sz w:val="21"/>
                      <w:szCs w:val="21"/>
                    </w:rPr>
                    <w:t>µg/m</w:t>
                  </w:r>
                  <w:r>
                    <w:rPr>
                      <w:sz w:val="21"/>
                      <w:szCs w:val="21"/>
                      <w:vertAlign w:val="superscript"/>
                    </w:rPr>
                    <w:t>3</w:t>
                  </w:r>
                </w:p>
              </w:tc>
              <w:tc>
                <w:tcPr>
                  <w:tcW w:w="1038" w:type="pct"/>
                  <w:vAlign w:val="center"/>
                </w:tcPr>
                <w:p w14:paraId="074A5AEA">
                  <w:pPr>
                    <w:jc w:val="center"/>
                    <w:rPr>
                      <w:bCs/>
                      <w:sz w:val="21"/>
                      <w:szCs w:val="21"/>
                    </w:rPr>
                  </w:pPr>
                  <w:r>
                    <w:rPr>
                      <w:bCs/>
                      <w:sz w:val="21"/>
                      <w:szCs w:val="21"/>
                    </w:rPr>
                    <w:t>年平均</w:t>
                  </w:r>
                </w:p>
              </w:tc>
              <w:tc>
                <w:tcPr>
                  <w:tcW w:w="1075" w:type="pct"/>
                  <w:vAlign w:val="center"/>
                </w:tcPr>
                <w:p w14:paraId="4A8E8518">
                  <w:pPr>
                    <w:jc w:val="center"/>
                    <w:rPr>
                      <w:bCs/>
                      <w:sz w:val="21"/>
                      <w:szCs w:val="21"/>
                    </w:rPr>
                  </w:pPr>
                  <w:r>
                    <w:rPr>
                      <w:bCs/>
                      <w:sz w:val="21"/>
                      <w:szCs w:val="21"/>
                    </w:rPr>
                    <w:t>35</w:t>
                  </w:r>
                </w:p>
              </w:tc>
              <w:tc>
                <w:tcPr>
                  <w:tcW w:w="1587" w:type="pct"/>
                  <w:vMerge w:val="continue"/>
                  <w:vAlign w:val="center"/>
                </w:tcPr>
                <w:p w14:paraId="5894CB80">
                  <w:pPr>
                    <w:jc w:val="center"/>
                    <w:rPr>
                      <w:bCs/>
                      <w:sz w:val="21"/>
                      <w:szCs w:val="21"/>
                    </w:rPr>
                  </w:pPr>
                </w:p>
              </w:tc>
            </w:tr>
            <w:tr w14:paraId="497AF2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12DB8391">
                  <w:pPr>
                    <w:jc w:val="center"/>
                    <w:rPr>
                      <w:bCs/>
                      <w:sz w:val="21"/>
                      <w:szCs w:val="21"/>
                    </w:rPr>
                  </w:pPr>
                </w:p>
              </w:tc>
              <w:tc>
                <w:tcPr>
                  <w:tcW w:w="599" w:type="pct"/>
                  <w:vMerge w:val="continue"/>
                  <w:vAlign w:val="center"/>
                </w:tcPr>
                <w:p w14:paraId="0A52FAE4">
                  <w:pPr>
                    <w:jc w:val="center"/>
                    <w:rPr>
                      <w:bCs/>
                      <w:sz w:val="21"/>
                      <w:szCs w:val="21"/>
                    </w:rPr>
                  </w:pPr>
                </w:p>
              </w:tc>
              <w:tc>
                <w:tcPr>
                  <w:tcW w:w="1038" w:type="pct"/>
                  <w:vAlign w:val="center"/>
                </w:tcPr>
                <w:p w14:paraId="2C6FAC8F">
                  <w:pPr>
                    <w:jc w:val="center"/>
                    <w:rPr>
                      <w:bCs/>
                      <w:sz w:val="21"/>
                      <w:szCs w:val="21"/>
                    </w:rPr>
                  </w:pPr>
                  <w:r>
                    <w:rPr>
                      <w:bCs/>
                      <w:sz w:val="21"/>
                      <w:szCs w:val="21"/>
                    </w:rPr>
                    <w:t>24小时平均</w:t>
                  </w:r>
                </w:p>
              </w:tc>
              <w:tc>
                <w:tcPr>
                  <w:tcW w:w="1075" w:type="pct"/>
                  <w:vAlign w:val="center"/>
                </w:tcPr>
                <w:p w14:paraId="533BB879">
                  <w:pPr>
                    <w:jc w:val="center"/>
                    <w:rPr>
                      <w:bCs/>
                      <w:sz w:val="21"/>
                      <w:szCs w:val="21"/>
                    </w:rPr>
                  </w:pPr>
                  <w:r>
                    <w:rPr>
                      <w:bCs/>
                      <w:sz w:val="21"/>
                      <w:szCs w:val="21"/>
                    </w:rPr>
                    <w:t>75</w:t>
                  </w:r>
                </w:p>
              </w:tc>
              <w:tc>
                <w:tcPr>
                  <w:tcW w:w="1587" w:type="pct"/>
                  <w:vMerge w:val="continue"/>
                  <w:vAlign w:val="center"/>
                </w:tcPr>
                <w:p w14:paraId="3520E195">
                  <w:pPr>
                    <w:jc w:val="center"/>
                    <w:rPr>
                      <w:bCs/>
                      <w:sz w:val="21"/>
                      <w:szCs w:val="21"/>
                    </w:rPr>
                  </w:pPr>
                </w:p>
              </w:tc>
            </w:tr>
            <w:tr w14:paraId="5C478A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restart"/>
                  <w:vAlign w:val="center"/>
                </w:tcPr>
                <w:p w14:paraId="0CC88FEE">
                  <w:pPr>
                    <w:jc w:val="center"/>
                    <w:rPr>
                      <w:bCs/>
                      <w:sz w:val="21"/>
                      <w:szCs w:val="21"/>
                    </w:rPr>
                  </w:pPr>
                  <w:r>
                    <w:rPr>
                      <w:bCs/>
                      <w:sz w:val="21"/>
                      <w:szCs w:val="21"/>
                    </w:rPr>
                    <w:t>TSP</w:t>
                  </w:r>
                </w:p>
              </w:tc>
              <w:tc>
                <w:tcPr>
                  <w:tcW w:w="599" w:type="pct"/>
                  <w:vMerge w:val="restart"/>
                  <w:vAlign w:val="center"/>
                </w:tcPr>
                <w:p w14:paraId="054663E6">
                  <w:pPr>
                    <w:jc w:val="center"/>
                    <w:rPr>
                      <w:bCs/>
                      <w:sz w:val="21"/>
                      <w:szCs w:val="21"/>
                    </w:rPr>
                  </w:pPr>
                  <w:r>
                    <w:rPr>
                      <w:sz w:val="21"/>
                      <w:szCs w:val="21"/>
                    </w:rPr>
                    <w:t>µg/m</w:t>
                  </w:r>
                  <w:r>
                    <w:rPr>
                      <w:sz w:val="21"/>
                      <w:szCs w:val="21"/>
                      <w:vertAlign w:val="superscript"/>
                    </w:rPr>
                    <w:t>3</w:t>
                  </w:r>
                </w:p>
              </w:tc>
              <w:tc>
                <w:tcPr>
                  <w:tcW w:w="1038" w:type="pct"/>
                  <w:vAlign w:val="center"/>
                </w:tcPr>
                <w:p w14:paraId="78731823">
                  <w:pPr>
                    <w:jc w:val="center"/>
                    <w:rPr>
                      <w:bCs/>
                      <w:sz w:val="21"/>
                      <w:szCs w:val="21"/>
                    </w:rPr>
                  </w:pPr>
                  <w:r>
                    <w:rPr>
                      <w:bCs/>
                      <w:sz w:val="21"/>
                      <w:szCs w:val="21"/>
                    </w:rPr>
                    <w:t>年平均</w:t>
                  </w:r>
                </w:p>
              </w:tc>
              <w:tc>
                <w:tcPr>
                  <w:tcW w:w="1075" w:type="pct"/>
                  <w:vAlign w:val="center"/>
                </w:tcPr>
                <w:p w14:paraId="7271EFA5">
                  <w:pPr>
                    <w:jc w:val="center"/>
                    <w:rPr>
                      <w:bCs/>
                      <w:sz w:val="21"/>
                      <w:szCs w:val="21"/>
                    </w:rPr>
                  </w:pPr>
                  <w:r>
                    <w:rPr>
                      <w:bCs/>
                      <w:sz w:val="21"/>
                      <w:szCs w:val="21"/>
                    </w:rPr>
                    <w:t>200</w:t>
                  </w:r>
                </w:p>
              </w:tc>
              <w:tc>
                <w:tcPr>
                  <w:tcW w:w="1587" w:type="pct"/>
                  <w:vMerge w:val="continue"/>
                  <w:vAlign w:val="center"/>
                </w:tcPr>
                <w:p w14:paraId="180393BD">
                  <w:pPr>
                    <w:jc w:val="center"/>
                    <w:rPr>
                      <w:bCs/>
                      <w:sz w:val="21"/>
                      <w:szCs w:val="21"/>
                    </w:rPr>
                  </w:pPr>
                </w:p>
              </w:tc>
            </w:tr>
            <w:tr w14:paraId="32C15D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pct"/>
                  <w:vMerge w:val="continue"/>
                  <w:vAlign w:val="center"/>
                </w:tcPr>
                <w:p w14:paraId="3FA4F62D">
                  <w:pPr>
                    <w:jc w:val="center"/>
                    <w:rPr>
                      <w:bCs/>
                      <w:sz w:val="21"/>
                      <w:szCs w:val="21"/>
                    </w:rPr>
                  </w:pPr>
                </w:p>
              </w:tc>
              <w:tc>
                <w:tcPr>
                  <w:tcW w:w="599" w:type="pct"/>
                  <w:vMerge w:val="continue"/>
                  <w:vAlign w:val="center"/>
                </w:tcPr>
                <w:p w14:paraId="3684E10F">
                  <w:pPr>
                    <w:jc w:val="center"/>
                    <w:rPr>
                      <w:bCs/>
                      <w:sz w:val="21"/>
                      <w:szCs w:val="21"/>
                    </w:rPr>
                  </w:pPr>
                </w:p>
              </w:tc>
              <w:tc>
                <w:tcPr>
                  <w:tcW w:w="1038" w:type="pct"/>
                  <w:vAlign w:val="center"/>
                </w:tcPr>
                <w:p w14:paraId="22BAC595">
                  <w:pPr>
                    <w:jc w:val="center"/>
                    <w:rPr>
                      <w:bCs/>
                      <w:sz w:val="21"/>
                      <w:szCs w:val="21"/>
                    </w:rPr>
                  </w:pPr>
                  <w:r>
                    <w:rPr>
                      <w:bCs/>
                      <w:sz w:val="21"/>
                      <w:szCs w:val="21"/>
                    </w:rPr>
                    <w:t>24小时平均</w:t>
                  </w:r>
                </w:p>
              </w:tc>
              <w:tc>
                <w:tcPr>
                  <w:tcW w:w="1075" w:type="pct"/>
                  <w:vAlign w:val="center"/>
                </w:tcPr>
                <w:p w14:paraId="723AA364">
                  <w:pPr>
                    <w:jc w:val="center"/>
                    <w:rPr>
                      <w:bCs/>
                      <w:sz w:val="21"/>
                      <w:szCs w:val="21"/>
                    </w:rPr>
                  </w:pPr>
                  <w:r>
                    <w:rPr>
                      <w:bCs/>
                      <w:sz w:val="21"/>
                      <w:szCs w:val="21"/>
                    </w:rPr>
                    <w:t>300</w:t>
                  </w:r>
                </w:p>
              </w:tc>
              <w:tc>
                <w:tcPr>
                  <w:tcW w:w="1587" w:type="pct"/>
                  <w:vMerge w:val="continue"/>
                  <w:vAlign w:val="center"/>
                </w:tcPr>
                <w:p w14:paraId="4E9B315B">
                  <w:pPr>
                    <w:jc w:val="center"/>
                    <w:rPr>
                      <w:bCs/>
                      <w:sz w:val="21"/>
                      <w:szCs w:val="21"/>
                    </w:rPr>
                  </w:pPr>
                </w:p>
              </w:tc>
            </w:tr>
          </w:tbl>
          <w:p w14:paraId="673EFEA3">
            <w:pPr>
              <w:spacing w:line="360" w:lineRule="auto"/>
              <w:ind w:firstLine="480" w:firstLineChars="200"/>
              <w:jc w:val="left"/>
            </w:pPr>
          </w:p>
          <w:p w14:paraId="0D616C31">
            <w:pPr>
              <w:spacing w:line="360" w:lineRule="auto"/>
              <w:ind w:firstLine="480" w:firstLineChars="200"/>
              <w:jc w:val="left"/>
            </w:pPr>
            <w:r>
              <w:rPr>
                <w:rFonts w:hint="eastAsia"/>
              </w:rPr>
              <w:t>（2）地表水环境</w:t>
            </w:r>
          </w:p>
          <w:p w14:paraId="155B5589">
            <w:pPr>
              <w:spacing w:line="360" w:lineRule="auto"/>
              <w:ind w:firstLine="482" w:firstLineChars="200"/>
            </w:pPr>
            <w:r>
              <w:rPr>
                <w:rFonts w:hint="eastAsia"/>
                <w:b/>
                <w:bCs/>
                <w:u w:val="single"/>
              </w:rPr>
              <w:t>本项目所在区域地表水体为鸭绿江，其为中朝界河，根据《吉林省地表水功能区》（DB 22/388-2004），未明确鸭绿江水功能区划，本次评价按照鸭绿江水环境质量考核目标确定其水环境质量要求，即执行《地表水环境质量标准》（GB 3838-2002）表1中Ⅲ类标准，SS参照《松花江水系环境质量标准（暂行）》执行。</w:t>
            </w:r>
            <w:r>
              <w:rPr>
                <w:rFonts w:hint="eastAsia"/>
              </w:rPr>
              <w:t>具体内容如下表所示：</w:t>
            </w:r>
          </w:p>
          <w:p w14:paraId="66210F51">
            <w:pPr>
              <w:spacing w:line="360" w:lineRule="auto"/>
              <w:jc w:val="right"/>
              <w:rPr>
                <w:rFonts w:cs="Times New Roman"/>
                <w:szCs w:val="24"/>
              </w:rPr>
            </w:pPr>
            <w:r>
              <w:rPr>
                <w:rFonts w:cs="Times New Roman"/>
                <w:b/>
                <w:szCs w:val="24"/>
              </w:rPr>
              <w:t>表</w:t>
            </w:r>
            <w:r>
              <w:rPr>
                <w:rFonts w:hint="eastAsia" w:cs="Times New Roman"/>
                <w:b/>
                <w:szCs w:val="24"/>
              </w:rPr>
              <w:t>44</w:t>
            </w:r>
            <w:r>
              <w:rPr>
                <w:rFonts w:cs="Times New Roman"/>
                <w:b/>
                <w:szCs w:val="24"/>
              </w:rPr>
              <w:t xml:space="preserve">    地表水环境质量标准    </w:t>
            </w:r>
            <w:r>
              <w:rPr>
                <w:rFonts w:cs="Times New Roman"/>
                <w:szCs w:val="24"/>
              </w:rPr>
              <w:t>单位：pH无量纲，mg/L</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2192"/>
              <w:gridCol w:w="2028"/>
              <w:gridCol w:w="2433"/>
            </w:tblGrid>
            <w:tr w14:paraId="4A04F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81" w:type="pct"/>
                  <w:vAlign w:val="center"/>
                </w:tcPr>
                <w:p w14:paraId="1D5573CA">
                  <w:pPr>
                    <w:jc w:val="center"/>
                    <w:rPr>
                      <w:rFonts w:hint="eastAsia" w:ascii="宋体" w:hAnsi="宋体" w:cs="Times New Roman"/>
                      <w:b/>
                      <w:bCs/>
                      <w:sz w:val="21"/>
                      <w:szCs w:val="21"/>
                    </w:rPr>
                  </w:pPr>
                  <w:bookmarkStart w:id="18" w:name="_Hlk113433276"/>
                  <w:r>
                    <w:rPr>
                      <w:rFonts w:ascii="宋体" w:hAnsi="宋体" w:cs="Times New Roman"/>
                      <w:b/>
                      <w:bCs/>
                      <w:sz w:val="21"/>
                      <w:szCs w:val="21"/>
                    </w:rPr>
                    <w:t>序号</w:t>
                  </w:r>
                </w:p>
              </w:tc>
              <w:tc>
                <w:tcPr>
                  <w:tcW w:w="1390" w:type="pct"/>
                  <w:vAlign w:val="center"/>
                </w:tcPr>
                <w:p w14:paraId="7247CC4B">
                  <w:pPr>
                    <w:jc w:val="center"/>
                    <w:rPr>
                      <w:rFonts w:hint="eastAsia" w:ascii="宋体" w:hAnsi="宋体" w:cs="Times New Roman"/>
                      <w:b/>
                      <w:bCs/>
                      <w:sz w:val="21"/>
                      <w:szCs w:val="21"/>
                    </w:rPr>
                  </w:pPr>
                  <w:r>
                    <w:rPr>
                      <w:rFonts w:ascii="宋体" w:hAnsi="宋体" w:cs="Times New Roman"/>
                      <w:b/>
                      <w:bCs/>
                      <w:sz w:val="21"/>
                      <w:szCs w:val="21"/>
                    </w:rPr>
                    <w:t>评价因子</w:t>
                  </w:r>
                </w:p>
              </w:tc>
              <w:tc>
                <w:tcPr>
                  <w:tcW w:w="1286" w:type="pct"/>
                  <w:vAlign w:val="center"/>
                </w:tcPr>
                <w:p w14:paraId="47755720">
                  <w:pPr>
                    <w:jc w:val="center"/>
                    <w:rPr>
                      <w:rFonts w:hint="eastAsia" w:ascii="宋体" w:hAnsi="宋体" w:cs="Times New Roman"/>
                      <w:b/>
                      <w:bCs/>
                      <w:sz w:val="21"/>
                      <w:szCs w:val="21"/>
                    </w:rPr>
                  </w:pPr>
                  <w:r>
                    <w:rPr>
                      <w:rFonts w:ascii="宋体" w:hAnsi="宋体" w:cs="Times New Roman"/>
                      <w:b/>
                      <w:bCs/>
                      <w:sz w:val="21"/>
                      <w:szCs w:val="21"/>
                    </w:rPr>
                    <w:t>标准值</w:t>
                  </w:r>
                </w:p>
              </w:tc>
              <w:tc>
                <w:tcPr>
                  <w:tcW w:w="1543" w:type="pct"/>
                  <w:vAlign w:val="center"/>
                </w:tcPr>
                <w:p w14:paraId="108B45E4">
                  <w:pPr>
                    <w:jc w:val="center"/>
                    <w:rPr>
                      <w:rFonts w:hint="eastAsia" w:ascii="宋体" w:hAnsi="宋体" w:cs="Times New Roman"/>
                      <w:b/>
                      <w:bCs/>
                      <w:sz w:val="21"/>
                      <w:szCs w:val="21"/>
                    </w:rPr>
                  </w:pPr>
                  <w:r>
                    <w:rPr>
                      <w:rFonts w:ascii="宋体" w:hAnsi="宋体" w:cs="Times New Roman"/>
                      <w:b/>
                      <w:bCs/>
                      <w:sz w:val="21"/>
                      <w:szCs w:val="21"/>
                    </w:rPr>
                    <w:t>标准来源</w:t>
                  </w:r>
                </w:p>
              </w:tc>
            </w:tr>
            <w:tr w14:paraId="66F73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ACA9018">
                  <w:pPr>
                    <w:jc w:val="center"/>
                    <w:rPr>
                      <w:rFonts w:hint="eastAsia" w:ascii="宋体" w:hAnsi="宋体" w:cs="Times New Roman"/>
                      <w:sz w:val="21"/>
                      <w:szCs w:val="21"/>
                    </w:rPr>
                  </w:pPr>
                  <w:r>
                    <w:rPr>
                      <w:rFonts w:ascii="宋体" w:hAnsi="宋体" w:cs="Times New Roman"/>
                      <w:sz w:val="21"/>
                      <w:szCs w:val="21"/>
                    </w:rPr>
                    <w:t>1</w:t>
                  </w:r>
                </w:p>
              </w:tc>
              <w:tc>
                <w:tcPr>
                  <w:tcW w:w="1390" w:type="pct"/>
                  <w:vAlign w:val="center"/>
                </w:tcPr>
                <w:p w14:paraId="0806BEF7">
                  <w:pPr>
                    <w:jc w:val="center"/>
                    <w:rPr>
                      <w:rFonts w:hint="eastAsia" w:ascii="宋体" w:hAnsi="宋体" w:cs="Times New Roman"/>
                      <w:sz w:val="21"/>
                      <w:szCs w:val="21"/>
                    </w:rPr>
                  </w:pPr>
                  <w:r>
                    <w:rPr>
                      <w:rFonts w:ascii="宋体" w:hAnsi="宋体" w:cs="Times New Roman"/>
                      <w:sz w:val="21"/>
                      <w:szCs w:val="21"/>
                    </w:rPr>
                    <w:t>pH</w:t>
                  </w:r>
                </w:p>
              </w:tc>
              <w:tc>
                <w:tcPr>
                  <w:tcW w:w="1286" w:type="pct"/>
                  <w:vAlign w:val="center"/>
                </w:tcPr>
                <w:p w14:paraId="05D8BFD5">
                  <w:pPr>
                    <w:jc w:val="center"/>
                    <w:rPr>
                      <w:rFonts w:hint="eastAsia" w:ascii="宋体" w:hAnsi="宋体" w:cs="Times New Roman"/>
                      <w:sz w:val="21"/>
                      <w:szCs w:val="21"/>
                    </w:rPr>
                  </w:pPr>
                  <w:r>
                    <w:rPr>
                      <w:rFonts w:ascii="宋体" w:hAnsi="宋体" w:cs="Times New Roman"/>
                      <w:sz w:val="21"/>
                      <w:szCs w:val="21"/>
                    </w:rPr>
                    <w:t>6~9</w:t>
                  </w:r>
                </w:p>
              </w:tc>
              <w:tc>
                <w:tcPr>
                  <w:tcW w:w="1543" w:type="pct"/>
                  <w:vMerge w:val="restart"/>
                  <w:vAlign w:val="center"/>
                </w:tcPr>
                <w:p w14:paraId="3B848BE2">
                  <w:pPr>
                    <w:jc w:val="center"/>
                    <w:rPr>
                      <w:rFonts w:hint="eastAsia" w:ascii="宋体" w:hAnsi="宋体" w:cs="Times New Roman"/>
                      <w:sz w:val="21"/>
                      <w:szCs w:val="21"/>
                    </w:rPr>
                  </w:pPr>
                  <w:r>
                    <w:rPr>
                      <w:rFonts w:ascii="宋体" w:hAnsi="宋体" w:cs="Times New Roman"/>
                      <w:sz w:val="21"/>
                      <w:szCs w:val="21"/>
                    </w:rPr>
                    <w:t>《地表水环境质量标准》（GB 3838-2002）表1中的</w:t>
                  </w:r>
                  <w:r>
                    <w:rPr>
                      <w:rFonts w:hint="eastAsia" w:ascii="宋体" w:hAnsi="宋体" w:cs="宋体"/>
                      <w:sz w:val="21"/>
                      <w:szCs w:val="21"/>
                    </w:rPr>
                    <w:t>Ⅲ</w:t>
                  </w:r>
                  <w:r>
                    <w:rPr>
                      <w:rFonts w:ascii="宋体" w:hAnsi="宋体" w:cs="Times New Roman"/>
                      <w:sz w:val="21"/>
                      <w:szCs w:val="21"/>
                    </w:rPr>
                    <w:t>类水质标准</w:t>
                  </w:r>
                </w:p>
              </w:tc>
            </w:tr>
            <w:tr w14:paraId="6D9E7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417D7D4">
                  <w:pPr>
                    <w:jc w:val="center"/>
                    <w:rPr>
                      <w:rFonts w:hint="eastAsia" w:ascii="宋体" w:hAnsi="宋体" w:cs="Times New Roman"/>
                      <w:sz w:val="21"/>
                      <w:szCs w:val="21"/>
                    </w:rPr>
                  </w:pPr>
                  <w:r>
                    <w:rPr>
                      <w:rFonts w:ascii="宋体" w:hAnsi="宋体" w:cs="Times New Roman"/>
                      <w:sz w:val="21"/>
                      <w:szCs w:val="21"/>
                    </w:rPr>
                    <w:t>2</w:t>
                  </w:r>
                </w:p>
              </w:tc>
              <w:tc>
                <w:tcPr>
                  <w:tcW w:w="1390" w:type="pct"/>
                  <w:vAlign w:val="center"/>
                </w:tcPr>
                <w:p w14:paraId="11BFB211">
                  <w:pPr>
                    <w:jc w:val="center"/>
                    <w:rPr>
                      <w:rFonts w:hint="eastAsia" w:ascii="宋体" w:hAnsi="宋体" w:cs="Times New Roman"/>
                      <w:sz w:val="21"/>
                      <w:szCs w:val="21"/>
                    </w:rPr>
                  </w:pPr>
                  <w:r>
                    <w:rPr>
                      <w:rFonts w:ascii="宋体" w:hAnsi="宋体" w:cs="Times New Roman"/>
                      <w:sz w:val="21"/>
                      <w:szCs w:val="21"/>
                    </w:rPr>
                    <w:t>COD</w:t>
                  </w:r>
                </w:p>
              </w:tc>
              <w:tc>
                <w:tcPr>
                  <w:tcW w:w="1286" w:type="pct"/>
                  <w:vAlign w:val="center"/>
                </w:tcPr>
                <w:p w14:paraId="021EE5AF">
                  <w:pPr>
                    <w:jc w:val="center"/>
                    <w:rPr>
                      <w:rFonts w:hint="eastAsia" w:ascii="宋体" w:hAnsi="宋体" w:cs="Times New Roman"/>
                      <w:sz w:val="21"/>
                      <w:szCs w:val="21"/>
                    </w:rPr>
                  </w:pPr>
                  <w:r>
                    <w:rPr>
                      <w:rFonts w:ascii="宋体" w:hAnsi="宋体" w:cs="Times New Roman"/>
                      <w:sz w:val="21"/>
                      <w:szCs w:val="21"/>
                    </w:rPr>
                    <w:t>≤</w:t>
                  </w:r>
                  <w:r>
                    <w:rPr>
                      <w:rFonts w:hint="eastAsia" w:ascii="宋体" w:hAnsi="宋体" w:cs="Times New Roman"/>
                      <w:sz w:val="21"/>
                      <w:szCs w:val="21"/>
                    </w:rPr>
                    <w:t>20</w:t>
                  </w:r>
                </w:p>
              </w:tc>
              <w:tc>
                <w:tcPr>
                  <w:tcW w:w="1543" w:type="pct"/>
                  <w:vMerge w:val="continue"/>
                  <w:vAlign w:val="center"/>
                </w:tcPr>
                <w:p w14:paraId="201C02A7">
                  <w:pPr>
                    <w:jc w:val="center"/>
                    <w:rPr>
                      <w:rFonts w:hint="eastAsia" w:ascii="宋体" w:hAnsi="宋体" w:cs="Times New Roman"/>
                      <w:sz w:val="21"/>
                      <w:szCs w:val="21"/>
                    </w:rPr>
                  </w:pPr>
                </w:p>
              </w:tc>
            </w:tr>
            <w:tr w14:paraId="28954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2F73FD1">
                  <w:pPr>
                    <w:jc w:val="center"/>
                    <w:rPr>
                      <w:rFonts w:hint="eastAsia" w:ascii="宋体" w:hAnsi="宋体" w:cs="Times New Roman"/>
                      <w:sz w:val="21"/>
                      <w:szCs w:val="21"/>
                    </w:rPr>
                  </w:pPr>
                  <w:r>
                    <w:rPr>
                      <w:rFonts w:ascii="宋体" w:hAnsi="宋体" w:cs="Times New Roman"/>
                      <w:sz w:val="21"/>
                      <w:szCs w:val="21"/>
                    </w:rPr>
                    <w:t>3</w:t>
                  </w:r>
                </w:p>
              </w:tc>
              <w:tc>
                <w:tcPr>
                  <w:tcW w:w="1390" w:type="pct"/>
                  <w:vAlign w:val="center"/>
                </w:tcPr>
                <w:p w14:paraId="125831D6">
                  <w:pPr>
                    <w:jc w:val="center"/>
                    <w:rPr>
                      <w:rFonts w:hint="eastAsia" w:ascii="宋体" w:hAnsi="宋体" w:cs="Times New Roman"/>
                      <w:sz w:val="21"/>
                      <w:szCs w:val="21"/>
                    </w:rPr>
                  </w:pPr>
                  <w:r>
                    <w:rPr>
                      <w:rFonts w:ascii="宋体" w:hAnsi="宋体" w:cs="Times New Roman"/>
                      <w:sz w:val="21"/>
                      <w:szCs w:val="21"/>
                    </w:rPr>
                    <w:t>BOD</w:t>
                  </w:r>
                  <w:r>
                    <w:rPr>
                      <w:rFonts w:ascii="宋体" w:hAnsi="宋体" w:cs="Times New Roman"/>
                      <w:sz w:val="21"/>
                      <w:szCs w:val="21"/>
                      <w:vertAlign w:val="subscript"/>
                    </w:rPr>
                    <w:t>5</w:t>
                  </w:r>
                </w:p>
              </w:tc>
              <w:tc>
                <w:tcPr>
                  <w:tcW w:w="1286" w:type="pct"/>
                  <w:vAlign w:val="center"/>
                </w:tcPr>
                <w:p w14:paraId="5C7C8A6D">
                  <w:pPr>
                    <w:jc w:val="center"/>
                    <w:rPr>
                      <w:rFonts w:hint="eastAsia" w:ascii="宋体" w:hAnsi="宋体" w:cs="Times New Roman"/>
                      <w:sz w:val="21"/>
                      <w:szCs w:val="21"/>
                    </w:rPr>
                  </w:pPr>
                  <w:r>
                    <w:rPr>
                      <w:rFonts w:ascii="宋体" w:hAnsi="宋体" w:cs="Times New Roman"/>
                      <w:sz w:val="21"/>
                      <w:szCs w:val="21"/>
                    </w:rPr>
                    <w:t>≤</w:t>
                  </w:r>
                  <w:r>
                    <w:rPr>
                      <w:rFonts w:hint="eastAsia" w:ascii="宋体" w:hAnsi="宋体" w:cs="Times New Roman"/>
                      <w:sz w:val="21"/>
                      <w:szCs w:val="21"/>
                    </w:rPr>
                    <w:t>4</w:t>
                  </w:r>
                </w:p>
              </w:tc>
              <w:tc>
                <w:tcPr>
                  <w:tcW w:w="1543" w:type="pct"/>
                  <w:vMerge w:val="continue"/>
                  <w:vAlign w:val="center"/>
                </w:tcPr>
                <w:p w14:paraId="3284B80B">
                  <w:pPr>
                    <w:jc w:val="center"/>
                    <w:rPr>
                      <w:rFonts w:hint="eastAsia" w:ascii="宋体" w:hAnsi="宋体" w:cs="Times New Roman"/>
                      <w:sz w:val="21"/>
                      <w:szCs w:val="21"/>
                    </w:rPr>
                  </w:pPr>
                </w:p>
              </w:tc>
            </w:tr>
            <w:tr w14:paraId="7AE59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174BFA8">
                  <w:pPr>
                    <w:jc w:val="center"/>
                    <w:rPr>
                      <w:rFonts w:hint="eastAsia" w:ascii="宋体" w:hAnsi="宋体" w:cs="Times New Roman"/>
                      <w:sz w:val="21"/>
                      <w:szCs w:val="21"/>
                    </w:rPr>
                  </w:pPr>
                  <w:r>
                    <w:rPr>
                      <w:rFonts w:ascii="宋体" w:hAnsi="宋体" w:cs="Times New Roman"/>
                      <w:sz w:val="21"/>
                      <w:szCs w:val="21"/>
                    </w:rPr>
                    <w:t>4</w:t>
                  </w:r>
                </w:p>
              </w:tc>
              <w:tc>
                <w:tcPr>
                  <w:tcW w:w="1390" w:type="pct"/>
                  <w:vAlign w:val="center"/>
                </w:tcPr>
                <w:p w14:paraId="76E933FE">
                  <w:pPr>
                    <w:jc w:val="center"/>
                    <w:rPr>
                      <w:rFonts w:hint="eastAsia" w:ascii="宋体" w:hAnsi="宋体" w:cs="Times New Roman"/>
                      <w:sz w:val="21"/>
                      <w:szCs w:val="21"/>
                    </w:rPr>
                  </w:pPr>
                  <w:r>
                    <w:rPr>
                      <w:rFonts w:ascii="宋体" w:hAnsi="宋体" w:cs="Times New Roman"/>
                      <w:sz w:val="21"/>
                      <w:szCs w:val="21"/>
                    </w:rPr>
                    <w:t>NH</w:t>
                  </w:r>
                  <w:r>
                    <w:rPr>
                      <w:rFonts w:ascii="宋体" w:hAnsi="宋体" w:cs="Times New Roman"/>
                      <w:sz w:val="21"/>
                      <w:szCs w:val="21"/>
                      <w:vertAlign w:val="subscript"/>
                    </w:rPr>
                    <w:t>3</w:t>
                  </w:r>
                  <w:r>
                    <w:rPr>
                      <w:rFonts w:ascii="宋体" w:hAnsi="宋体" w:cs="Times New Roman"/>
                      <w:sz w:val="21"/>
                      <w:szCs w:val="21"/>
                    </w:rPr>
                    <w:t>-N</w:t>
                  </w:r>
                </w:p>
              </w:tc>
              <w:tc>
                <w:tcPr>
                  <w:tcW w:w="1286" w:type="pct"/>
                  <w:vAlign w:val="center"/>
                </w:tcPr>
                <w:p w14:paraId="6B7C9EAB">
                  <w:pPr>
                    <w:jc w:val="center"/>
                    <w:rPr>
                      <w:rFonts w:hint="eastAsia" w:ascii="宋体" w:hAnsi="宋体" w:cs="Times New Roman"/>
                      <w:sz w:val="21"/>
                      <w:szCs w:val="21"/>
                    </w:rPr>
                  </w:pPr>
                  <w:r>
                    <w:rPr>
                      <w:rFonts w:ascii="宋体" w:hAnsi="宋体" w:cs="Times New Roman"/>
                      <w:sz w:val="21"/>
                      <w:szCs w:val="21"/>
                    </w:rPr>
                    <w:t>≤</w:t>
                  </w:r>
                  <w:r>
                    <w:rPr>
                      <w:rFonts w:hint="eastAsia" w:ascii="宋体" w:hAnsi="宋体" w:cs="Times New Roman"/>
                      <w:sz w:val="21"/>
                      <w:szCs w:val="21"/>
                    </w:rPr>
                    <w:t>1.0</w:t>
                  </w:r>
                </w:p>
              </w:tc>
              <w:tc>
                <w:tcPr>
                  <w:tcW w:w="1543" w:type="pct"/>
                  <w:vMerge w:val="continue"/>
                  <w:vAlign w:val="center"/>
                </w:tcPr>
                <w:p w14:paraId="0809CC0C">
                  <w:pPr>
                    <w:jc w:val="center"/>
                    <w:rPr>
                      <w:rFonts w:hint="eastAsia" w:ascii="宋体" w:hAnsi="宋体" w:cs="Times New Roman"/>
                      <w:sz w:val="21"/>
                      <w:szCs w:val="21"/>
                    </w:rPr>
                  </w:pPr>
                </w:p>
              </w:tc>
            </w:tr>
            <w:tr w14:paraId="13EB8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54C65BDB">
                  <w:pPr>
                    <w:jc w:val="center"/>
                    <w:rPr>
                      <w:rFonts w:hint="eastAsia" w:ascii="宋体" w:hAnsi="宋体" w:cs="Times New Roman"/>
                      <w:sz w:val="21"/>
                      <w:szCs w:val="21"/>
                    </w:rPr>
                  </w:pPr>
                  <w:r>
                    <w:rPr>
                      <w:rFonts w:ascii="宋体" w:hAnsi="宋体" w:cs="Times New Roman"/>
                      <w:sz w:val="21"/>
                      <w:szCs w:val="21"/>
                    </w:rPr>
                    <w:t>5</w:t>
                  </w:r>
                </w:p>
              </w:tc>
              <w:tc>
                <w:tcPr>
                  <w:tcW w:w="1390" w:type="pct"/>
                  <w:vAlign w:val="center"/>
                </w:tcPr>
                <w:p w14:paraId="58BEB3F4">
                  <w:pPr>
                    <w:jc w:val="center"/>
                    <w:rPr>
                      <w:rFonts w:hint="eastAsia" w:ascii="宋体" w:hAnsi="宋体" w:cs="Times New Roman"/>
                      <w:sz w:val="21"/>
                      <w:szCs w:val="21"/>
                    </w:rPr>
                  </w:pPr>
                  <w:r>
                    <w:rPr>
                      <w:rFonts w:ascii="宋体" w:hAnsi="宋体" w:cs="Times New Roman"/>
                      <w:sz w:val="21"/>
                      <w:szCs w:val="21"/>
                    </w:rPr>
                    <w:t>TP</w:t>
                  </w:r>
                </w:p>
              </w:tc>
              <w:tc>
                <w:tcPr>
                  <w:tcW w:w="1286" w:type="pct"/>
                  <w:vAlign w:val="center"/>
                </w:tcPr>
                <w:p w14:paraId="270A77DA">
                  <w:pPr>
                    <w:jc w:val="center"/>
                    <w:rPr>
                      <w:rFonts w:hint="eastAsia" w:ascii="宋体" w:hAnsi="宋体" w:cs="Times New Roman"/>
                      <w:sz w:val="21"/>
                      <w:szCs w:val="21"/>
                    </w:rPr>
                  </w:pPr>
                  <w:r>
                    <w:rPr>
                      <w:rFonts w:ascii="宋体" w:hAnsi="宋体" w:cs="Times New Roman"/>
                      <w:sz w:val="21"/>
                      <w:szCs w:val="21"/>
                    </w:rPr>
                    <w:t>≤</w:t>
                  </w:r>
                  <w:r>
                    <w:rPr>
                      <w:rFonts w:hint="eastAsia" w:ascii="宋体" w:hAnsi="宋体" w:cs="Times New Roman"/>
                      <w:sz w:val="21"/>
                      <w:szCs w:val="21"/>
                    </w:rPr>
                    <w:t>0.2</w:t>
                  </w:r>
                </w:p>
              </w:tc>
              <w:tc>
                <w:tcPr>
                  <w:tcW w:w="1543" w:type="pct"/>
                  <w:vMerge w:val="continue"/>
                  <w:vAlign w:val="center"/>
                </w:tcPr>
                <w:p w14:paraId="5BCAF37B">
                  <w:pPr>
                    <w:jc w:val="center"/>
                    <w:rPr>
                      <w:rFonts w:hint="eastAsia" w:ascii="宋体" w:hAnsi="宋体" w:cs="Times New Roman"/>
                      <w:sz w:val="21"/>
                      <w:szCs w:val="21"/>
                    </w:rPr>
                  </w:pPr>
                </w:p>
              </w:tc>
            </w:tr>
            <w:tr w14:paraId="12F7E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ED6DA63">
                  <w:pPr>
                    <w:jc w:val="center"/>
                    <w:rPr>
                      <w:rFonts w:hint="eastAsia" w:ascii="宋体" w:hAnsi="宋体" w:cs="Times New Roman"/>
                      <w:sz w:val="21"/>
                      <w:szCs w:val="21"/>
                    </w:rPr>
                  </w:pPr>
                  <w:r>
                    <w:rPr>
                      <w:rFonts w:ascii="宋体" w:hAnsi="宋体" w:cs="Times New Roman"/>
                      <w:sz w:val="21"/>
                      <w:szCs w:val="21"/>
                    </w:rPr>
                    <w:t>6</w:t>
                  </w:r>
                </w:p>
              </w:tc>
              <w:tc>
                <w:tcPr>
                  <w:tcW w:w="1390" w:type="pct"/>
                  <w:vAlign w:val="center"/>
                </w:tcPr>
                <w:p w14:paraId="2384DBF6">
                  <w:pPr>
                    <w:jc w:val="center"/>
                    <w:rPr>
                      <w:rFonts w:hint="eastAsia" w:ascii="宋体" w:hAnsi="宋体" w:cs="Times New Roman"/>
                      <w:sz w:val="21"/>
                      <w:szCs w:val="21"/>
                    </w:rPr>
                  </w:pPr>
                  <w:r>
                    <w:rPr>
                      <w:rFonts w:ascii="宋体" w:hAnsi="宋体" w:cs="Times New Roman"/>
                      <w:sz w:val="21"/>
                      <w:szCs w:val="21"/>
                    </w:rPr>
                    <w:t>TN</w:t>
                  </w:r>
                </w:p>
              </w:tc>
              <w:tc>
                <w:tcPr>
                  <w:tcW w:w="1286" w:type="pct"/>
                  <w:vAlign w:val="center"/>
                </w:tcPr>
                <w:p w14:paraId="3AF73799">
                  <w:pPr>
                    <w:jc w:val="center"/>
                    <w:rPr>
                      <w:rFonts w:hint="eastAsia" w:ascii="宋体" w:hAnsi="宋体" w:cs="Times New Roman"/>
                      <w:sz w:val="21"/>
                      <w:szCs w:val="21"/>
                    </w:rPr>
                  </w:pPr>
                  <w:r>
                    <w:rPr>
                      <w:rFonts w:ascii="宋体" w:hAnsi="宋体" w:cs="Times New Roman"/>
                      <w:sz w:val="21"/>
                      <w:szCs w:val="21"/>
                    </w:rPr>
                    <w:t>≤</w:t>
                  </w:r>
                  <w:r>
                    <w:rPr>
                      <w:rFonts w:hint="eastAsia" w:ascii="宋体" w:hAnsi="宋体" w:cs="Times New Roman"/>
                      <w:sz w:val="21"/>
                      <w:szCs w:val="21"/>
                    </w:rPr>
                    <w:t>1.0</w:t>
                  </w:r>
                </w:p>
              </w:tc>
              <w:tc>
                <w:tcPr>
                  <w:tcW w:w="1543" w:type="pct"/>
                  <w:vMerge w:val="continue"/>
                  <w:vAlign w:val="center"/>
                </w:tcPr>
                <w:p w14:paraId="0E0FE604">
                  <w:pPr>
                    <w:jc w:val="center"/>
                    <w:rPr>
                      <w:rFonts w:hint="eastAsia" w:ascii="宋体" w:hAnsi="宋体" w:cs="Times New Roman"/>
                      <w:sz w:val="21"/>
                      <w:szCs w:val="21"/>
                    </w:rPr>
                  </w:pPr>
                </w:p>
              </w:tc>
            </w:tr>
            <w:tr w14:paraId="3B7EB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BBEAC4E">
                  <w:pPr>
                    <w:jc w:val="center"/>
                    <w:rPr>
                      <w:rFonts w:hint="eastAsia" w:ascii="宋体" w:hAnsi="宋体" w:cs="Times New Roman"/>
                      <w:sz w:val="21"/>
                      <w:szCs w:val="21"/>
                    </w:rPr>
                  </w:pPr>
                  <w:r>
                    <w:rPr>
                      <w:rFonts w:ascii="宋体" w:hAnsi="宋体" w:cs="Times New Roman"/>
                      <w:sz w:val="21"/>
                      <w:szCs w:val="21"/>
                    </w:rPr>
                    <w:t>7</w:t>
                  </w:r>
                </w:p>
              </w:tc>
              <w:tc>
                <w:tcPr>
                  <w:tcW w:w="1390" w:type="pct"/>
                  <w:vAlign w:val="center"/>
                </w:tcPr>
                <w:p w14:paraId="6CE50B0B">
                  <w:pPr>
                    <w:jc w:val="center"/>
                    <w:rPr>
                      <w:rFonts w:hint="eastAsia" w:ascii="宋体" w:hAnsi="宋体" w:cs="Times New Roman"/>
                      <w:sz w:val="21"/>
                      <w:szCs w:val="21"/>
                    </w:rPr>
                  </w:pPr>
                  <w:r>
                    <w:rPr>
                      <w:rFonts w:ascii="宋体" w:hAnsi="宋体" w:cs="Times New Roman"/>
                      <w:sz w:val="21"/>
                      <w:szCs w:val="21"/>
                    </w:rPr>
                    <w:t>石油类</w:t>
                  </w:r>
                </w:p>
              </w:tc>
              <w:tc>
                <w:tcPr>
                  <w:tcW w:w="1286" w:type="pct"/>
                  <w:vAlign w:val="center"/>
                </w:tcPr>
                <w:p w14:paraId="29E5959D">
                  <w:pPr>
                    <w:jc w:val="center"/>
                    <w:rPr>
                      <w:rFonts w:hint="eastAsia" w:ascii="宋体" w:hAnsi="宋体" w:cs="Times New Roman"/>
                      <w:sz w:val="21"/>
                      <w:szCs w:val="21"/>
                    </w:rPr>
                  </w:pPr>
                  <w:r>
                    <w:rPr>
                      <w:rFonts w:ascii="宋体" w:hAnsi="宋体" w:cs="Times New Roman"/>
                      <w:sz w:val="21"/>
                      <w:szCs w:val="21"/>
                    </w:rPr>
                    <w:t>≤0.05</w:t>
                  </w:r>
                </w:p>
              </w:tc>
              <w:tc>
                <w:tcPr>
                  <w:tcW w:w="1543" w:type="pct"/>
                  <w:vMerge w:val="continue"/>
                  <w:vAlign w:val="center"/>
                </w:tcPr>
                <w:p w14:paraId="62C505DC">
                  <w:pPr>
                    <w:jc w:val="center"/>
                    <w:rPr>
                      <w:rFonts w:hint="eastAsia" w:ascii="宋体" w:hAnsi="宋体" w:cs="Times New Roman"/>
                      <w:sz w:val="21"/>
                      <w:szCs w:val="21"/>
                    </w:rPr>
                  </w:pPr>
                </w:p>
              </w:tc>
            </w:tr>
            <w:tr w14:paraId="4D3E6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AAB4FC7">
                  <w:pPr>
                    <w:jc w:val="center"/>
                    <w:rPr>
                      <w:rFonts w:hint="eastAsia" w:ascii="宋体" w:hAnsi="宋体" w:cs="Times New Roman"/>
                      <w:sz w:val="21"/>
                      <w:szCs w:val="21"/>
                    </w:rPr>
                  </w:pPr>
                  <w:r>
                    <w:rPr>
                      <w:rFonts w:ascii="宋体" w:hAnsi="宋体" w:cs="Times New Roman"/>
                      <w:sz w:val="21"/>
                      <w:szCs w:val="21"/>
                    </w:rPr>
                    <w:t>8</w:t>
                  </w:r>
                </w:p>
              </w:tc>
              <w:tc>
                <w:tcPr>
                  <w:tcW w:w="1390" w:type="pct"/>
                  <w:vAlign w:val="center"/>
                </w:tcPr>
                <w:p w14:paraId="59206773">
                  <w:pPr>
                    <w:jc w:val="center"/>
                    <w:rPr>
                      <w:rFonts w:hint="eastAsia" w:ascii="宋体" w:hAnsi="宋体" w:cs="Times New Roman"/>
                      <w:sz w:val="21"/>
                      <w:szCs w:val="21"/>
                    </w:rPr>
                  </w:pPr>
                  <w:r>
                    <w:rPr>
                      <w:rFonts w:hint="eastAsia" w:ascii="宋体" w:hAnsi="宋体" w:cs="Times New Roman"/>
                      <w:sz w:val="21"/>
                      <w:szCs w:val="21"/>
                    </w:rPr>
                    <w:t>SS</w:t>
                  </w:r>
                </w:p>
              </w:tc>
              <w:tc>
                <w:tcPr>
                  <w:tcW w:w="1286" w:type="pct"/>
                  <w:vAlign w:val="center"/>
                </w:tcPr>
                <w:p w14:paraId="4B2D7EAB">
                  <w:pPr>
                    <w:jc w:val="center"/>
                    <w:rPr>
                      <w:rFonts w:hint="eastAsia" w:ascii="宋体" w:hAnsi="宋体" w:cs="Times New Roman"/>
                      <w:sz w:val="21"/>
                      <w:szCs w:val="21"/>
                    </w:rPr>
                  </w:pPr>
                  <w:r>
                    <w:rPr>
                      <w:rFonts w:hint="eastAsia" w:ascii="宋体" w:hAnsi="宋体" w:cs="Times New Roman"/>
                      <w:sz w:val="21"/>
                      <w:szCs w:val="21"/>
                    </w:rPr>
                    <w:t>＜25</w:t>
                  </w:r>
                </w:p>
              </w:tc>
              <w:tc>
                <w:tcPr>
                  <w:tcW w:w="1543" w:type="pct"/>
                  <w:vAlign w:val="center"/>
                </w:tcPr>
                <w:p w14:paraId="2B61426F">
                  <w:pPr>
                    <w:jc w:val="center"/>
                    <w:rPr>
                      <w:rFonts w:hint="eastAsia" w:ascii="宋体" w:hAnsi="宋体" w:cs="Times New Roman"/>
                      <w:sz w:val="21"/>
                      <w:szCs w:val="21"/>
                    </w:rPr>
                  </w:pPr>
                  <w:r>
                    <w:rPr>
                      <w:rFonts w:hint="eastAsia" w:ascii="宋体" w:hAnsi="宋体" w:cs="Times New Roman"/>
                      <w:sz w:val="21"/>
                      <w:szCs w:val="21"/>
                    </w:rPr>
                    <w:t>《松花江水系环境质量标准（暂行）》中的Ⅲ类水质标准</w:t>
                  </w:r>
                </w:p>
              </w:tc>
            </w:tr>
            <w:bookmarkEnd w:id="18"/>
          </w:tbl>
          <w:p w14:paraId="0CF72647">
            <w:pPr>
              <w:spacing w:line="360" w:lineRule="auto"/>
              <w:ind w:firstLine="482" w:firstLineChars="200"/>
              <w:jc w:val="left"/>
              <w:rPr>
                <w:b/>
                <w:bCs/>
              </w:rPr>
            </w:pPr>
            <w:r>
              <w:rPr>
                <w:rFonts w:hint="eastAsia"/>
                <w:b/>
                <w:bCs/>
              </w:rPr>
              <w:t>2、污染物排放标准</w:t>
            </w:r>
          </w:p>
          <w:p w14:paraId="008426D9">
            <w:pPr>
              <w:spacing w:line="360" w:lineRule="auto"/>
              <w:ind w:firstLine="480" w:firstLineChars="200"/>
              <w:jc w:val="left"/>
            </w:pPr>
            <w:r>
              <w:rPr>
                <w:rFonts w:hint="eastAsia"/>
              </w:rPr>
              <w:t>（1）废气</w:t>
            </w:r>
          </w:p>
          <w:p w14:paraId="68D2F705">
            <w:pPr>
              <w:spacing w:line="360" w:lineRule="auto"/>
              <w:ind w:firstLine="480" w:firstLineChars="200"/>
            </w:pPr>
            <w:r>
              <w:rPr>
                <w:rFonts w:hint="eastAsia"/>
              </w:rPr>
              <w:t>本项目施工期及运营期大气污染物排放执行《大气污染物综合排放标准》（GB 16297-1996）中无组织排放监控浓度限值，详见下表：</w:t>
            </w:r>
          </w:p>
          <w:p w14:paraId="29424243">
            <w:pPr>
              <w:spacing w:line="360" w:lineRule="auto"/>
              <w:ind w:firstLine="480" w:firstLineChars="200"/>
            </w:pPr>
          </w:p>
          <w:p w14:paraId="4F017DAB">
            <w:pPr>
              <w:spacing w:line="360" w:lineRule="auto"/>
              <w:jc w:val="center"/>
              <w:rPr>
                <w:b/>
              </w:rPr>
            </w:pPr>
            <w:r>
              <w:rPr>
                <w:b/>
              </w:rPr>
              <w:t>表</w:t>
            </w:r>
            <w:r>
              <w:rPr>
                <w:rFonts w:hint="eastAsia"/>
                <w:b/>
              </w:rPr>
              <w:t xml:space="preserve">45 </w:t>
            </w:r>
            <w:r>
              <w:rPr>
                <w:b/>
              </w:rPr>
              <w:t xml:space="preserve">  大气污染物排放标准（摘录）</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5411"/>
            </w:tblGrid>
            <w:tr w14:paraId="03535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9" w:type="pct"/>
                  <w:vAlign w:val="center"/>
                </w:tcPr>
                <w:p w14:paraId="073EF5FF">
                  <w:pPr>
                    <w:jc w:val="center"/>
                    <w:rPr>
                      <w:b/>
                      <w:sz w:val="21"/>
                    </w:rPr>
                  </w:pPr>
                  <w:r>
                    <w:rPr>
                      <w:b/>
                      <w:sz w:val="21"/>
                    </w:rPr>
                    <w:t>污染物</w:t>
                  </w:r>
                </w:p>
              </w:tc>
              <w:tc>
                <w:tcPr>
                  <w:tcW w:w="3431" w:type="pct"/>
                  <w:vAlign w:val="center"/>
                </w:tcPr>
                <w:p w14:paraId="156FF694">
                  <w:pPr>
                    <w:jc w:val="center"/>
                    <w:rPr>
                      <w:b/>
                      <w:sz w:val="21"/>
                    </w:rPr>
                  </w:pPr>
                  <w:r>
                    <w:rPr>
                      <w:b/>
                      <w:sz w:val="21"/>
                    </w:rPr>
                    <w:t>无组织排放监控浓度限值点(mg/m</w:t>
                  </w:r>
                  <w:r>
                    <w:rPr>
                      <w:b/>
                      <w:sz w:val="21"/>
                      <w:vertAlign w:val="superscript"/>
                    </w:rPr>
                    <w:t>3</w:t>
                  </w:r>
                  <w:r>
                    <w:rPr>
                      <w:b/>
                      <w:sz w:val="21"/>
                    </w:rPr>
                    <w:t>)</w:t>
                  </w:r>
                </w:p>
              </w:tc>
            </w:tr>
            <w:tr w14:paraId="488CB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9" w:type="pct"/>
                  <w:vAlign w:val="center"/>
                </w:tcPr>
                <w:p w14:paraId="2F00D8EB">
                  <w:pPr>
                    <w:jc w:val="center"/>
                    <w:rPr>
                      <w:sz w:val="21"/>
                    </w:rPr>
                  </w:pPr>
                  <w:r>
                    <w:rPr>
                      <w:sz w:val="21"/>
                    </w:rPr>
                    <w:t>颗粒物</w:t>
                  </w:r>
                </w:p>
              </w:tc>
              <w:tc>
                <w:tcPr>
                  <w:tcW w:w="3431" w:type="pct"/>
                  <w:vAlign w:val="center"/>
                </w:tcPr>
                <w:p w14:paraId="4E8E6A31">
                  <w:pPr>
                    <w:jc w:val="center"/>
                    <w:rPr>
                      <w:sz w:val="21"/>
                    </w:rPr>
                  </w:pPr>
                  <w:r>
                    <w:rPr>
                      <w:sz w:val="21"/>
                    </w:rPr>
                    <w:t>周界外浓度最高点1.0</w:t>
                  </w:r>
                </w:p>
              </w:tc>
            </w:tr>
          </w:tbl>
          <w:p w14:paraId="4663BE68">
            <w:pPr>
              <w:spacing w:line="360" w:lineRule="auto"/>
              <w:ind w:firstLine="480" w:firstLineChars="200"/>
              <w:jc w:val="left"/>
            </w:pPr>
          </w:p>
          <w:p w14:paraId="5F717FD8">
            <w:pPr>
              <w:spacing w:line="360" w:lineRule="auto"/>
              <w:ind w:firstLine="482" w:firstLineChars="200"/>
              <w:jc w:val="left"/>
              <w:rPr>
                <w:b/>
                <w:bCs/>
                <w:u w:val="single"/>
              </w:rPr>
            </w:pPr>
            <w:r>
              <w:rPr>
                <w:rFonts w:hint="eastAsia"/>
                <w:b/>
                <w:bCs/>
                <w:u w:val="single"/>
              </w:rPr>
              <w:t>本项目船舶废气执行《船舶发动机排气污染物排放限值及测量方法（中国第一、二阶段）》（GB 15097-2016），详见下表：</w:t>
            </w:r>
          </w:p>
          <w:p w14:paraId="44D85F26">
            <w:pPr>
              <w:spacing w:line="360" w:lineRule="auto"/>
              <w:ind w:firstLine="480" w:firstLineChars="200"/>
              <w:jc w:val="left"/>
            </w:pPr>
          </w:p>
          <w:p w14:paraId="76AACF9B">
            <w:pPr>
              <w:spacing w:line="360" w:lineRule="auto"/>
              <w:jc w:val="center"/>
              <w:rPr>
                <w:b/>
                <w:bCs/>
                <w:u w:val="single"/>
              </w:rPr>
            </w:pPr>
            <w:r>
              <w:rPr>
                <w:rFonts w:hint="eastAsia"/>
                <w:b/>
                <w:bCs/>
                <w:u w:val="single"/>
              </w:rPr>
              <w:t>表46       船舶废气执行标准（摘录）</w:t>
            </w:r>
          </w:p>
          <w:tbl>
            <w:tblPr>
              <w:tblStyle w:val="5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649"/>
              <w:gridCol w:w="1134"/>
              <w:gridCol w:w="1068"/>
              <w:gridCol w:w="1066"/>
              <w:gridCol w:w="1095"/>
              <w:gridCol w:w="1066"/>
              <w:gridCol w:w="1066"/>
            </w:tblGrid>
            <w:tr w14:paraId="06336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14:paraId="63B0B91E">
                  <w:pPr>
                    <w:jc w:val="center"/>
                    <w:rPr>
                      <w:rFonts w:cs="Times New Roman"/>
                      <w:i/>
                      <w:iCs/>
                      <w:kern w:val="0"/>
                      <w:sz w:val="21"/>
                      <w:szCs w:val="21"/>
                      <w:u w:val="single"/>
                    </w:rPr>
                  </w:pPr>
                  <w:r>
                    <w:rPr>
                      <w:rFonts w:hint="eastAsia" w:cs="Times New Roman"/>
                      <w:i/>
                      <w:iCs/>
                      <w:kern w:val="0"/>
                      <w:sz w:val="21"/>
                      <w:szCs w:val="21"/>
                      <w:u w:val="single"/>
                    </w:rPr>
                    <w:t>时期</w:t>
                  </w:r>
                </w:p>
              </w:tc>
              <w:tc>
                <w:tcPr>
                  <w:tcW w:w="649" w:type="dxa"/>
                  <w:vAlign w:val="center"/>
                </w:tcPr>
                <w:p w14:paraId="0DBAAE69">
                  <w:pPr>
                    <w:jc w:val="center"/>
                    <w:rPr>
                      <w:rFonts w:cs="Times New Roman"/>
                      <w:i/>
                      <w:iCs/>
                      <w:kern w:val="0"/>
                      <w:sz w:val="21"/>
                      <w:szCs w:val="21"/>
                      <w:u w:val="single"/>
                    </w:rPr>
                  </w:pPr>
                  <w:r>
                    <w:rPr>
                      <w:rFonts w:hint="eastAsia" w:cs="Times New Roman"/>
                      <w:i/>
                      <w:iCs/>
                      <w:kern w:val="0"/>
                      <w:sz w:val="21"/>
                      <w:szCs w:val="21"/>
                      <w:u w:val="single"/>
                    </w:rPr>
                    <w:t>船机类型</w:t>
                  </w:r>
                </w:p>
              </w:tc>
              <w:tc>
                <w:tcPr>
                  <w:tcW w:w="1134" w:type="dxa"/>
                  <w:vAlign w:val="center"/>
                </w:tcPr>
                <w:p w14:paraId="4305AF84">
                  <w:pPr>
                    <w:jc w:val="center"/>
                    <w:rPr>
                      <w:rFonts w:cs="Times New Roman"/>
                      <w:i/>
                      <w:iCs/>
                      <w:kern w:val="0"/>
                      <w:sz w:val="18"/>
                      <w:szCs w:val="18"/>
                      <w:u w:val="single"/>
                    </w:rPr>
                  </w:pPr>
                  <w:r>
                    <w:rPr>
                      <w:rFonts w:hint="eastAsia" w:cs="Times New Roman"/>
                      <w:i/>
                      <w:iCs/>
                      <w:kern w:val="0"/>
                      <w:sz w:val="18"/>
                      <w:szCs w:val="18"/>
                      <w:u w:val="single"/>
                    </w:rPr>
                    <w:t>单缸排量（SV）</w:t>
                  </w:r>
                </w:p>
                <w:p w14:paraId="4DC1A4F2">
                  <w:pPr>
                    <w:jc w:val="center"/>
                    <w:rPr>
                      <w:rFonts w:cs="Times New Roman"/>
                      <w:i/>
                      <w:iCs/>
                      <w:kern w:val="0"/>
                      <w:sz w:val="18"/>
                      <w:szCs w:val="18"/>
                      <w:u w:val="single"/>
                    </w:rPr>
                  </w:pPr>
                  <w:r>
                    <w:rPr>
                      <w:rFonts w:hint="eastAsia" w:cs="Times New Roman"/>
                      <w:i/>
                      <w:iCs/>
                      <w:kern w:val="0"/>
                      <w:sz w:val="18"/>
                      <w:szCs w:val="18"/>
                      <w:u w:val="single"/>
                    </w:rPr>
                    <w:t>（L/缸）</w:t>
                  </w:r>
                </w:p>
              </w:tc>
              <w:tc>
                <w:tcPr>
                  <w:tcW w:w="1068" w:type="dxa"/>
                  <w:vAlign w:val="center"/>
                </w:tcPr>
                <w:p w14:paraId="45130704">
                  <w:pPr>
                    <w:jc w:val="center"/>
                    <w:rPr>
                      <w:rFonts w:cs="Times New Roman"/>
                      <w:i/>
                      <w:iCs/>
                      <w:kern w:val="0"/>
                      <w:sz w:val="18"/>
                      <w:szCs w:val="18"/>
                      <w:u w:val="single"/>
                    </w:rPr>
                  </w:pPr>
                  <w:r>
                    <w:rPr>
                      <w:rFonts w:hint="eastAsia" w:cs="Times New Roman"/>
                      <w:i/>
                      <w:iCs/>
                      <w:kern w:val="0"/>
                      <w:sz w:val="18"/>
                      <w:szCs w:val="18"/>
                      <w:u w:val="single"/>
                    </w:rPr>
                    <w:t>额定净功率（P）</w:t>
                  </w:r>
                </w:p>
                <w:p w14:paraId="18E1B79A">
                  <w:pPr>
                    <w:jc w:val="center"/>
                    <w:rPr>
                      <w:rFonts w:cs="Times New Roman"/>
                      <w:i/>
                      <w:iCs/>
                      <w:kern w:val="0"/>
                      <w:sz w:val="18"/>
                      <w:szCs w:val="18"/>
                      <w:u w:val="single"/>
                    </w:rPr>
                  </w:pPr>
                  <w:r>
                    <w:rPr>
                      <w:rFonts w:hint="eastAsia" w:cs="Times New Roman"/>
                      <w:i/>
                      <w:iCs/>
                      <w:kern w:val="0"/>
                      <w:sz w:val="18"/>
                      <w:szCs w:val="18"/>
                      <w:u w:val="single"/>
                    </w:rPr>
                    <w:t>（kW）</w:t>
                  </w:r>
                </w:p>
              </w:tc>
              <w:tc>
                <w:tcPr>
                  <w:tcW w:w="1066" w:type="dxa"/>
                  <w:vAlign w:val="center"/>
                </w:tcPr>
                <w:p w14:paraId="595DCBB9">
                  <w:pPr>
                    <w:jc w:val="center"/>
                    <w:rPr>
                      <w:rFonts w:cs="Times New Roman"/>
                      <w:i/>
                      <w:iCs/>
                      <w:kern w:val="0"/>
                      <w:sz w:val="18"/>
                      <w:szCs w:val="18"/>
                      <w:u w:val="single"/>
                    </w:rPr>
                  </w:pPr>
                  <w:r>
                    <w:rPr>
                      <w:rFonts w:hint="eastAsia" w:cs="Times New Roman"/>
                      <w:i/>
                      <w:iCs/>
                      <w:kern w:val="0"/>
                      <w:sz w:val="18"/>
                      <w:szCs w:val="18"/>
                      <w:u w:val="single"/>
                    </w:rPr>
                    <w:t>CO</w:t>
                  </w:r>
                </w:p>
                <w:p w14:paraId="264D40B3">
                  <w:pPr>
                    <w:jc w:val="center"/>
                    <w:rPr>
                      <w:rFonts w:cs="Times New Roman"/>
                      <w:i/>
                      <w:iCs/>
                      <w:kern w:val="0"/>
                      <w:sz w:val="18"/>
                      <w:szCs w:val="18"/>
                      <w:u w:val="single"/>
                    </w:rPr>
                  </w:pPr>
                  <w:r>
                    <w:rPr>
                      <w:rFonts w:hint="eastAsia" w:cs="Times New Roman"/>
                      <w:i/>
                      <w:iCs/>
                      <w:kern w:val="0"/>
                      <w:sz w:val="18"/>
                      <w:szCs w:val="18"/>
                      <w:u w:val="single"/>
                    </w:rPr>
                    <w:t>（g/kWh）</w:t>
                  </w:r>
                </w:p>
              </w:tc>
              <w:tc>
                <w:tcPr>
                  <w:tcW w:w="1095" w:type="dxa"/>
                  <w:vAlign w:val="center"/>
                </w:tcPr>
                <w:p w14:paraId="7CB7DDE1">
                  <w:pPr>
                    <w:jc w:val="center"/>
                    <w:rPr>
                      <w:rFonts w:cs="Times New Roman"/>
                      <w:i/>
                      <w:iCs/>
                      <w:kern w:val="0"/>
                      <w:sz w:val="18"/>
                      <w:szCs w:val="18"/>
                      <w:u w:val="single"/>
                    </w:rPr>
                  </w:pPr>
                  <w:r>
                    <w:rPr>
                      <w:rFonts w:hint="eastAsia" w:cs="Times New Roman"/>
                      <w:i/>
                      <w:iCs/>
                      <w:kern w:val="0"/>
                      <w:sz w:val="18"/>
                      <w:szCs w:val="18"/>
                      <w:u w:val="single"/>
                    </w:rPr>
                    <w:t>HC+NOx（g/kWh）</w:t>
                  </w:r>
                </w:p>
              </w:tc>
              <w:tc>
                <w:tcPr>
                  <w:tcW w:w="1066" w:type="dxa"/>
                  <w:vAlign w:val="center"/>
                </w:tcPr>
                <w:p w14:paraId="34C7EC30">
                  <w:pPr>
                    <w:jc w:val="center"/>
                    <w:rPr>
                      <w:rFonts w:cs="Times New Roman"/>
                      <w:i/>
                      <w:iCs/>
                      <w:kern w:val="0"/>
                      <w:sz w:val="18"/>
                      <w:szCs w:val="18"/>
                      <w:u w:val="single"/>
                    </w:rPr>
                  </w:pPr>
                  <w:r>
                    <w:rPr>
                      <w:rFonts w:hint="eastAsia" w:cs="Times New Roman"/>
                      <w:i/>
                      <w:iCs/>
                      <w:kern w:val="0"/>
                      <w:sz w:val="18"/>
                      <w:szCs w:val="18"/>
                      <w:u w:val="single"/>
                    </w:rPr>
                    <w:t>CH4</w:t>
                  </w:r>
                  <w:r>
                    <w:rPr>
                      <w:rFonts w:hint="eastAsia" w:cs="Times New Roman"/>
                      <w:i/>
                      <w:iCs/>
                      <w:kern w:val="0"/>
                      <w:sz w:val="18"/>
                      <w:szCs w:val="18"/>
                      <w:u w:val="single"/>
                      <w:vertAlign w:val="superscript"/>
                    </w:rPr>
                    <w:t>（1）</w:t>
                  </w:r>
                  <w:r>
                    <w:rPr>
                      <w:rFonts w:hint="eastAsia" w:cs="Times New Roman"/>
                      <w:i/>
                      <w:iCs/>
                      <w:kern w:val="0"/>
                      <w:sz w:val="18"/>
                      <w:szCs w:val="18"/>
                      <w:u w:val="single"/>
                    </w:rPr>
                    <w:t>（g/kWh）</w:t>
                  </w:r>
                </w:p>
              </w:tc>
              <w:tc>
                <w:tcPr>
                  <w:tcW w:w="1066" w:type="dxa"/>
                  <w:vAlign w:val="center"/>
                </w:tcPr>
                <w:p w14:paraId="74BCB331">
                  <w:pPr>
                    <w:jc w:val="center"/>
                    <w:rPr>
                      <w:rFonts w:cs="Times New Roman"/>
                      <w:i/>
                      <w:iCs/>
                      <w:kern w:val="0"/>
                      <w:sz w:val="18"/>
                      <w:szCs w:val="18"/>
                      <w:u w:val="single"/>
                    </w:rPr>
                  </w:pPr>
                  <w:r>
                    <w:rPr>
                      <w:rFonts w:hint="eastAsia" w:cs="Times New Roman"/>
                      <w:i/>
                      <w:iCs/>
                      <w:kern w:val="0"/>
                      <w:sz w:val="18"/>
                      <w:szCs w:val="18"/>
                      <w:u w:val="single"/>
                    </w:rPr>
                    <w:t>PM（g/kWh）</w:t>
                  </w:r>
                </w:p>
              </w:tc>
            </w:tr>
            <w:tr w14:paraId="1407B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7C6E9412">
                  <w:pPr>
                    <w:jc w:val="center"/>
                    <w:rPr>
                      <w:rFonts w:cs="Times New Roman"/>
                      <w:i/>
                      <w:iCs/>
                      <w:kern w:val="0"/>
                      <w:sz w:val="21"/>
                      <w:szCs w:val="21"/>
                      <w:u w:val="single"/>
                    </w:rPr>
                  </w:pPr>
                  <w:r>
                    <w:rPr>
                      <w:rFonts w:hint="eastAsia" w:cs="Times New Roman"/>
                      <w:i/>
                      <w:iCs/>
                      <w:kern w:val="0"/>
                      <w:sz w:val="21"/>
                      <w:szCs w:val="21"/>
                      <w:u w:val="single"/>
                    </w:rPr>
                    <w:t>第一阶段</w:t>
                  </w:r>
                </w:p>
              </w:tc>
              <w:tc>
                <w:tcPr>
                  <w:tcW w:w="649" w:type="dxa"/>
                  <w:vMerge w:val="restart"/>
                  <w:vAlign w:val="center"/>
                </w:tcPr>
                <w:p w14:paraId="39336163">
                  <w:pPr>
                    <w:jc w:val="center"/>
                    <w:rPr>
                      <w:rFonts w:cs="Times New Roman"/>
                      <w:i/>
                      <w:iCs/>
                      <w:kern w:val="0"/>
                      <w:sz w:val="21"/>
                      <w:szCs w:val="21"/>
                      <w:u w:val="single"/>
                    </w:rPr>
                  </w:pPr>
                  <w:r>
                    <w:rPr>
                      <w:rFonts w:hint="eastAsia" w:cs="Times New Roman"/>
                      <w:i/>
                      <w:iCs/>
                      <w:kern w:val="0"/>
                      <w:sz w:val="21"/>
                      <w:szCs w:val="21"/>
                      <w:u w:val="single"/>
                    </w:rPr>
                    <w:t>第1类</w:t>
                  </w:r>
                </w:p>
              </w:tc>
              <w:tc>
                <w:tcPr>
                  <w:tcW w:w="1134" w:type="dxa"/>
                  <w:vAlign w:val="center"/>
                </w:tcPr>
                <w:p w14:paraId="032BEDB5">
                  <w:pPr>
                    <w:jc w:val="center"/>
                    <w:rPr>
                      <w:rFonts w:cs="Times New Roman"/>
                      <w:i/>
                      <w:iCs/>
                      <w:kern w:val="0"/>
                      <w:sz w:val="21"/>
                      <w:szCs w:val="21"/>
                      <w:u w:val="single"/>
                    </w:rPr>
                  </w:pPr>
                  <w:r>
                    <w:rPr>
                      <w:rFonts w:hint="eastAsia" w:cs="Times New Roman"/>
                      <w:i/>
                      <w:iCs/>
                      <w:kern w:val="0"/>
                      <w:sz w:val="21"/>
                      <w:szCs w:val="21"/>
                      <w:u w:val="single"/>
                    </w:rPr>
                    <w:t>SV＜0.9</w:t>
                  </w:r>
                </w:p>
              </w:tc>
              <w:tc>
                <w:tcPr>
                  <w:tcW w:w="1068" w:type="dxa"/>
                  <w:vAlign w:val="center"/>
                </w:tcPr>
                <w:p w14:paraId="474AEAF5">
                  <w:pPr>
                    <w:jc w:val="center"/>
                    <w:rPr>
                      <w:rFonts w:cs="Times New Roman"/>
                      <w:i/>
                      <w:iCs/>
                      <w:kern w:val="0"/>
                      <w:sz w:val="21"/>
                      <w:szCs w:val="21"/>
                      <w:u w:val="single"/>
                    </w:rPr>
                  </w:pPr>
                  <w:r>
                    <w:rPr>
                      <w:rFonts w:hint="eastAsia" w:cs="Times New Roman"/>
                      <w:i/>
                      <w:iCs/>
                      <w:kern w:val="0"/>
                      <w:sz w:val="21"/>
                      <w:szCs w:val="21"/>
                      <w:u w:val="single"/>
                    </w:rPr>
                    <w:t>P≥37</w:t>
                  </w:r>
                </w:p>
              </w:tc>
              <w:tc>
                <w:tcPr>
                  <w:tcW w:w="1066" w:type="dxa"/>
                  <w:vAlign w:val="center"/>
                </w:tcPr>
                <w:p w14:paraId="2024874F">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3467A510">
                  <w:pPr>
                    <w:jc w:val="center"/>
                    <w:rPr>
                      <w:rFonts w:cs="Times New Roman"/>
                      <w:i/>
                      <w:iCs/>
                      <w:kern w:val="0"/>
                      <w:sz w:val="21"/>
                      <w:szCs w:val="21"/>
                      <w:u w:val="single"/>
                    </w:rPr>
                  </w:pPr>
                  <w:r>
                    <w:rPr>
                      <w:rFonts w:hint="eastAsia" w:cs="Times New Roman"/>
                      <w:i/>
                      <w:iCs/>
                      <w:kern w:val="0"/>
                      <w:sz w:val="21"/>
                      <w:szCs w:val="21"/>
                      <w:u w:val="single"/>
                    </w:rPr>
                    <w:t>7.5</w:t>
                  </w:r>
                </w:p>
              </w:tc>
              <w:tc>
                <w:tcPr>
                  <w:tcW w:w="1066" w:type="dxa"/>
                  <w:vAlign w:val="center"/>
                </w:tcPr>
                <w:p w14:paraId="0734159B">
                  <w:pPr>
                    <w:jc w:val="center"/>
                    <w:rPr>
                      <w:rFonts w:cs="Times New Roman"/>
                      <w:i/>
                      <w:iCs/>
                      <w:kern w:val="0"/>
                      <w:sz w:val="21"/>
                      <w:szCs w:val="21"/>
                      <w:u w:val="single"/>
                    </w:rPr>
                  </w:pPr>
                  <w:r>
                    <w:rPr>
                      <w:rFonts w:hint="eastAsia" w:cs="Times New Roman"/>
                      <w:i/>
                      <w:iCs/>
                      <w:kern w:val="0"/>
                      <w:sz w:val="21"/>
                      <w:szCs w:val="21"/>
                      <w:u w:val="single"/>
                    </w:rPr>
                    <w:t>1.5</w:t>
                  </w:r>
                </w:p>
              </w:tc>
              <w:tc>
                <w:tcPr>
                  <w:tcW w:w="1066" w:type="dxa"/>
                  <w:vAlign w:val="center"/>
                </w:tcPr>
                <w:p w14:paraId="742D9706">
                  <w:pPr>
                    <w:jc w:val="center"/>
                    <w:rPr>
                      <w:rFonts w:cs="Times New Roman"/>
                      <w:i/>
                      <w:iCs/>
                      <w:kern w:val="0"/>
                      <w:sz w:val="21"/>
                      <w:szCs w:val="21"/>
                      <w:u w:val="single"/>
                    </w:rPr>
                  </w:pPr>
                  <w:r>
                    <w:rPr>
                      <w:rFonts w:hint="eastAsia" w:cs="Times New Roman"/>
                      <w:i/>
                      <w:iCs/>
                      <w:kern w:val="0"/>
                      <w:sz w:val="21"/>
                      <w:szCs w:val="21"/>
                      <w:u w:val="single"/>
                    </w:rPr>
                    <w:t>0.40</w:t>
                  </w:r>
                </w:p>
              </w:tc>
            </w:tr>
            <w:tr w14:paraId="1043E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073C8DAB">
                  <w:pPr>
                    <w:jc w:val="center"/>
                    <w:rPr>
                      <w:rFonts w:cs="Times New Roman"/>
                      <w:i/>
                      <w:iCs/>
                      <w:kern w:val="0"/>
                      <w:sz w:val="21"/>
                      <w:szCs w:val="21"/>
                      <w:u w:val="single"/>
                    </w:rPr>
                  </w:pPr>
                </w:p>
              </w:tc>
              <w:tc>
                <w:tcPr>
                  <w:tcW w:w="649" w:type="dxa"/>
                  <w:vMerge w:val="continue"/>
                  <w:vAlign w:val="center"/>
                </w:tcPr>
                <w:p w14:paraId="391383D5">
                  <w:pPr>
                    <w:jc w:val="center"/>
                    <w:rPr>
                      <w:rFonts w:cs="Times New Roman"/>
                      <w:i/>
                      <w:iCs/>
                      <w:kern w:val="0"/>
                      <w:sz w:val="21"/>
                      <w:szCs w:val="21"/>
                      <w:u w:val="single"/>
                    </w:rPr>
                  </w:pPr>
                </w:p>
              </w:tc>
              <w:tc>
                <w:tcPr>
                  <w:tcW w:w="2202" w:type="dxa"/>
                  <w:gridSpan w:val="2"/>
                  <w:vAlign w:val="center"/>
                </w:tcPr>
                <w:p w14:paraId="11F380CC">
                  <w:pPr>
                    <w:jc w:val="center"/>
                    <w:rPr>
                      <w:rFonts w:cs="Times New Roman"/>
                      <w:i/>
                      <w:iCs/>
                      <w:kern w:val="0"/>
                      <w:sz w:val="21"/>
                      <w:szCs w:val="21"/>
                      <w:u w:val="single"/>
                    </w:rPr>
                  </w:pPr>
                  <w:r>
                    <w:rPr>
                      <w:rFonts w:hint="eastAsia" w:cs="Times New Roman"/>
                      <w:i/>
                      <w:iCs/>
                      <w:kern w:val="0"/>
                      <w:sz w:val="21"/>
                      <w:szCs w:val="21"/>
                      <w:u w:val="single"/>
                    </w:rPr>
                    <w:t>0.9≤SV＜1.2</w:t>
                  </w:r>
                </w:p>
              </w:tc>
              <w:tc>
                <w:tcPr>
                  <w:tcW w:w="1066" w:type="dxa"/>
                  <w:vAlign w:val="center"/>
                </w:tcPr>
                <w:p w14:paraId="45A0DADD">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46F9386F">
                  <w:pPr>
                    <w:jc w:val="center"/>
                    <w:rPr>
                      <w:rFonts w:cs="Times New Roman"/>
                      <w:i/>
                      <w:iCs/>
                      <w:kern w:val="0"/>
                      <w:sz w:val="21"/>
                      <w:szCs w:val="21"/>
                      <w:u w:val="single"/>
                    </w:rPr>
                  </w:pPr>
                  <w:r>
                    <w:rPr>
                      <w:rFonts w:hint="eastAsia" w:cs="Times New Roman"/>
                      <w:i/>
                      <w:iCs/>
                      <w:kern w:val="0"/>
                      <w:sz w:val="21"/>
                      <w:szCs w:val="21"/>
                      <w:u w:val="single"/>
                    </w:rPr>
                    <w:t>7.2</w:t>
                  </w:r>
                </w:p>
              </w:tc>
              <w:tc>
                <w:tcPr>
                  <w:tcW w:w="1066" w:type="dxa"/>
                  <w:vAlign w:val="center"/>
                </w:tcPr>
                <w:p w14:paraId="61F6E698">
                  <w:pPr>
                    <w:jc w:val="center"/>
                    <w:rPr>
                      <w:rFonts w:cs="Times New Roman"/>
                      <w:i/>
                      <w:iCs/>
                      <w:kern w:val="0"/>
                      <w:sz w:val="21"/>
                      <w:szCs w:val="21"/>
                      <w:u w:val="single"/>
                    </w:rPr>
                  </w:pPr>
                  <w:r>
                    <w:rPr>
                      <w:rFonts w:hint="eastAsia" w:cs="Times New Roman"/>
                      <w:i/>
                      <w:iCs/>
                      <w:kern w:val="0"/>
                      <w:sz w:val="21"/>
                      <w:szCs w:val="21"/>
                      <w:u w:val="single"/>
                    </w:rPr>
                    <w:t>1.5</w:t>
                  </w:r>
                </w:p>
              </w:tc>
              <w:tc>
                <w:tcPr>
                  <w:tcW w:w="1066" w:type="dxa"/>
                  <w:vAlign w:val="center"/>
                </w:tcPr>
                <w:p w14:paraId="57F9411D">
                  <w:pPr>
                    <w:jc w:val="center"/>
                    <w:rPr>
                      <w:rFonts w:cs="Times New Roman"/>
                      <w:i/>
                      <w:iCs/>
                      <w:kern w:val="0"/>
                      <w:sz w:val="21"/>
                      <w:szCs w:val="21"/>
                      <w:u w:val="single"/>
                    </w:rPr>
                  </w:pPr>
                  <w:r>
                    <w:rPr>
                      <w:rFonts w:hint="eastAsia" w:cs="Times New Roman"/>
                      <w:i/>
                      <w:iCs/>
                      <w:kern w:val="0"/>
                      <w:sz w:val="21"/>
                      <w:szCs w:val="21"/>
                      <w:u w:val="single"/>
                    </w:rPr>
                    <w:t>0.30</w:t>
                  </w:r>
                </w:p>
              </w:tc>
            </w:tr>
            <w:tr w14:paraId="79080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17B3424E">
                  <w:pPr>
                    <w:jc w:val="center"/>
                    <w:rPr>
                      <w:rFonts w:cs="Times New Roman"/>
                      <w:i/>
                      <w:iCs/>
                      <w:kern w:val="0"/>
                      <w:sz w:val="21"/>
                      <w:szCs w:val="21"/>
                      <w:u w:val="single"/>
                    </w:rPr>
                  </w:pPr>
                </w:p>
              </w:tc>
              <w:tc>
                <w:tcPr>
                  <w:tcW w:w="649" w:type="dxa"/>
                  <w:vMerge w:val="continue"/>
                  <w:vAlign w:val="center"/>
                </w:tcPr>
                <w:p w14:paraId="53035FC2">
                  <w:pPr>
                    <w:jc w:val="center"/>
                    <w:rPr>
                      <w:rFonts w:cs="Times New Roman"/>
                      <w:i/>
                      <w:iCs/>
                      <w:kern w:val="0"/>
                      <w:sz w:val="21"/>
                      <w:szCs w:val="21"/>
                      <w:u w:val="single"/>
                    </w:rPr>
                  </w:pPr>
                </w:p>
              </w:tc>
              <w:tc>
                <w:tcPr>
                  <w:tcW w:w="2202" w:type="dxa"/>
                  <w:gridSpan w:val="2"/>
                  <w:vAlign w:val="center"/>
                </w:tcPr>
                <w:p w14:paraId="41128658">
                  <w:pPr>
                    <w:jc w:val="center"/>
                    <w:rPr>
                      <w:rFonts w:cs="Times New Roman"/>
                      <w:i/>
                      <w:iCs/>
                      <w:kern w:val="0"/>
                      <w:sz w:val="21"/>
                      <w:szCs w:val="21"/>
                      <w:u w:val="single"/>
                    </w:rPr>
                  </w:pPr>
                  <w:r>
                    <w:rPr>
                      <w:rFonts w:hint="eastAsia" w:cs="Times New Roman"/>
                      <w:i/>
                      <w:iCs/>
                      <w:kern w:val="0"/>
                      <w:sz w:val="21"/>
                      <w:szCs w:val="21"/>
                      <w:u w:val="single"/>
                    </w:rPr>
                    <w:t>1.2≤SV＜5</w:t>
                  </w:r>
                </w:p>
              </w:tc>
              <w:tc>
                <w:tcPr>
                  <w:tcW w:w="1066" w:type="dxa"/>
                  <w:vAlign w:val="center"/>
                </w:tcPr>
                <w:p w14:paraId="7EB8B5EE">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0F28751C">
                  <w:pPr>
                    <w:jc w:val="center"/>
                    <w:rPr>
                      <w:rFonts w:cs="Times New Roman"/>
                      <w:i/>
                      <w:iCs/>
                      <w:kern w:val="0"/>
                      <w:sz w:val="21"/>
                      <w:szCs w:val="21"/>
                      <w:u w:val="single"/>
                    </w:rPr>
                  </w:pPr>
                  <w:r>
                    <w:rPr>
                      <w:rFonts w:hint="eastAsia" w:cs="Times New Roman"/>
                      <w:i/>
                      <w:iCs/>
                      <w:kern w:val="0"/>
                      <w:sz w:val="21"/>
                      <w:szCs w:val="21"/>
                      <w:u w:val="single"/>
                    </w:rPr>
                    <w:t>7.2</w:t>
                  </w:r>
                </w:p>
              </w:tc>
              <w:tc>
                <w:tcPr>
                  <w:tcW w:w="1066" w:type="dxa"/>
                  <w:vAlign w:val="center"/>
                </w:tcPr>
                <w:p w14:paraId="1E215A36">
                  <w:pPr>
                    <w:jc w:val="center"/>
                    <w:rPr>
                      <w:rFonts w:cs="Times New Roman"/>
                      <w:i/>
                      <w:iCs/>
                      <w:kern w:val="0"/>
                      <w:sz w:val="21"/>
                      <w:szCs w:val="21"/>
                      <w:u w:val="single"/>
                    </w:rPr>
                  </w:pPr>
                  <w:r>
                    <w:rPr>
                      <w:rFonts w:hint="eastAsia" w:cs="Times New Roman"/>
                      <w:i/>
                      <w:iCs/>
                      <w:kern w:val="0"/>
                      <w:sz w:val="21"/>
                      <w:szCs w:val="21"/>
                      <w:u w:val="single"/>
                    </w:rPr>
                    <w:t>1.5</w:t>
                  </w:r>
                </w:p>
              </w:tc>
              <w:tc>
                <w:tcPr>
                  <w:tcW w:w="1066" w:type="dxa"/>
                  <w:vAlign w:val="center"/>
                </w:tcPr>
                <w:p w14:paraId="008E9573">
                  <w:pPr>
                    <w:jc w:val="center"/>
                    <w:rPr>
                      <w:rFonts w:cs="Times New Roman"/>
                      <w:i/>
                      <w:iCs/>
                      <w:kern w:val="0"/>
                      <w:sz w:val="21"/>
                      <w:szCs w:val="21"/>
                      <w:u w:val="single"/>
                    </w:rPr>
                  </w:pPr>
                  <w:r>
                    <w:rPr>
                      <w:rFonts w:hint="eastAsia" w:cs="Times New Roman"/>
                      <w:i/>
                      <w:iCs/>
                      <w:kern w:val="0"/>
                      <w:sz w:val="21"/>
                      <w:szCs w:val="21"/>
                      <w:u w:val="single"/>
                    </w:rPr>
                    <w:t>0.20</w:t>
                  </w:r>
                </w:p>
              </w:tc>
            </w:tr>
            <w:tr w14:paraId="31B06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445BEB2F">
                  <w:pPr>
                    <w:jc w:val="center"/>
                    <w:rPr>
                      <w:rFonts w:cs="Times New Roman"/>
                      <w:i/>
                      <w:iCs/>
                      <w:kern w:val="0"/>
                      <w:sz w:val="21"/>
                      <w:szCs w:val="21"/>
                      <w:u w:val="single"/>
                    </w:rPr>
                  </w:pPr>
                </w:p>
              </w:tc>
              <w:tc>
                <w:tcPr>
                  <w:tcW w:w="649" w:type="dxa"/>
                  <w:vMerge w:val="restart"/>
                  <w:vAlign w:val="center"/>
                </w:tcPr>
                <w:p w14:paraId="155A4A83">
                  <w:pPr>
                    <w:jc w:val="center"/>
                    <w:rPr>
                      <w:rFonts w:cs="Times New Roman"/>
                      <w:i/>
                      <w:iCs/>
                      <w:kern w:val="0"/>
                      <w:sz w:val="21"/>
                      <w:szCs w:val="21"/>
                      <w:u w:val="single"/>
                    </w:rPr>
                  </w:pPr>
                  <w:r>
                    <w:rPr>
                      <w:rFonts w:hint="eastAsia" w:cs="Times New Roman"/>
                      <w:i/>
                      <w:iCs/>
                      <w:kern w:val="0"/>
                      <w:sz w:val="21"/>
                      <w:szCs w:val="21"/>
                      <w:u w:val="single"/>
                    </w:rPr>
                    <w:t>第2类</w:t>
                  </w:r>
                </w:p>
              </w:tc>
              <w:tc>
                <w:tcPr>
                  <w:tcW w:w="2202" w:type="dxa"/>
                  <w:gridSpan w:val="2"/>
                  <w:vAlign w:val="center"/>
                </w:tcPr>
                <w:p w14:paraId="63A207FA">
                  <w:pPr>
                    <w:jc w:val="center"/>
                    <w:rPr>
                      <w:rFonts w:cs="Times New Roman"/>
                      <w:i/>
                      <w:iCs/>
                      <w:kern w:val="0"/>
                      <w:sz w:val="21"/>
                      <w:szCs w:val="21"/>
                      <w:u w:val="single"/>
                    </w:rPr>
                  </w:pPr>
                  <w:r>
                    <w:rPr>
                      <w:rFonts w:hint="eastAsia" w:cs="Times New Roman"/>
                      <w:i/>
                      <w:iCs/>
                      <w:kern w:val="0"/>
                      <w:sz w:val="21"/>
                      <w:szCs w:val="21"/>
                      <w:u w:val="single"/>
                    </w:rPr>
                    <w:t>5≤SV＜15</w:t>
                  </w:r>
                </w:p>
              </w:tc>
              <w:tc>
                <w:tcPr>
                  <w:tcW w:w="1066" w:type="dxa"/>
                  <w:vAlign w:val="center"/>
                </w:tcPr>
                <w:p w14:paraId="5A18F103">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09E2EF36">
                  <w:pPr>
                    <w:jc w:val="center"/>
                    <w:rPr>
                      <w:rFonts w:cs="Times New Roman"/>
                      <w:i/>
                      <w:iCs/>
                      <w:kern w:val="0"/>
                      <w:sz w:val="21"/>
                      <w:szCs w:val="21"/>
                      <w:u w:val="single"/>
                    </w:rPr>
                  </w:pPr>
                  <w:r>
                    <w:rPr>
                      <w:rFonts w:hint="eastAsia" w:cs="Times New Roman"/>
                      <w:i/>
                      <w:iCs/>
                      <w:kern w:val="0"/>
                      <w:sz w:val="21"/>
                      <w:szCs w:val="21"/>
                      <w:u w:val="single"/>
                    </w:rPr>
                    <w:t>7.8</w:t>
                  </w:r>
                </w:p>
              </w:tc>
              <w:tc>
                <w:tcPr>
                  <w:tcW w:w="1066" w:type="dxa"/>
                  <w:vAlign w:val="center"/>
                </w:tcPr>
                <w:p w14:paraId="61FFAC67">
                  <w:pPr>
                    <w:jc w:val="center"/>
                    <w:rPr>
                      <w:rFonts w:cs="Times New Roman"/>
                      <w:i/>
                      <w:iCs/>
                      <w:kern w:val="0"/>
                      <w:sz w:val="21"/>
                      <w:szCs w:val="21"/>
                      <w:u w:val="single"/>
                    </w:rPr>
                  </w:pPr>
                  <w:r>
                    <w:rPr>
                      <w:rFonts w:hint="eastAsia" w:cs="Times New Roman"/>
                      <w:i/>
                      <w:iCs/>
                      <w:kern w:val="0"/>
                      <w:sz w:val="21"/>
                      <w:szCs w:val="21"/>
                      <w:u w:val="single"/>
                    </w:rPr>
                    <w:t>1.5</w:t>
                  </w:r>
                </w:p>
              </w:tc>
              <w:tc>
                <w:tcPr>
                  <w:tcW w:w="1066" w:type="dxa"/>
                  <w:vAlign w:val="center"/>
                </w:tcPr>
                <w:p w14:paraId="2885D7B1">
                  <w:pPr>
                    <w:jc w:val="center"/>
                    <w:rPr>
                      <w:rFonts w:cs="Times New Roman"/>
                      <w:i/>
                      <w:iCs/>
                      <w:kern w:val="0"/>
                      <w:sz w:val="21"/>
                      <w:szCs w:val="21"/>
                      <w:u w:val="single"/>
                    </w:rPr>
                  </w:pPr>
                  <w:r>
                    <w:rPr>
                      <w:rFonts w:hint="eastAsia" w:cs="Times New Roman"/>
                      <w:i/>
                      <w:iCs/>
                      <w:kern w:val="0"/>
                      <w:sz w:val="21"/>
                      <w:szCs w:val="21"/>
                      <w:u w:val="single"/>
                    </w:rPr>
                    <w:t>0.27</w:t>
                  </w:r>
                </w:p>
              </w:tc>
            </w:tr>
            <w:tr w14:paraId="36ACA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5765E8CC">
                  <w:pPr>
                    <w:jc w:val="center"/>
                    <w:rPr>
                      <w:rFonts w:cs="Times New Roman"/>
                      <w:i/>
                      <w:iCs/>
                      <w:kern w:val="0"/>
                      <w:sz w:val="21"/>
                      <w:szCs w:val="21"/>
                      <w:u w:val="single"/>
                    </w:rPr>
                  </w:pPr>
                </w:p>
              </w:tc>
              <w:tc>
                <w:tcPr>
                  <w:tcW w:w="649" w:type="dxa"/>
                  <w:vMerge w:val="continue"/>
                  <w:vAlign w:val="center"/>
                </w:tcPr>
                <w:p w14:paraId="7BA0B7C4">
                  <w:pPr>
                    <w:jc w:val="center"/>
                    <w:rPr>
                      <w:rFonts w:cs="Times New Roman"/>
                      <w:i/>
                      <w:iCs/>
                      <w:kern w:val="0"/>
                      <w:sz w:val="21"/>
                      <w:szCs w:val="21"/>
                      <w:u w:val="single"/>
                    </w:rPr>
                  </w:pPr>
                </w:p>
              </w:tc>
              <w:tc>
                <w:tcPr>
                  <w:tcW w:w="1134" w:type="dxa"/>
                  <w:vMerge w:val="restart"/>
                  <w:vAlign w:val="center"/>
                </w:tcPr>
                <w:p w14:paraId="5FB6DC5A">
                  <w:pPr>
                    <w:jc w:val="center"/>
                    <w:rPr>
                      <w:rFonts w:cs="Times New Roman"/>
                      <w:i/>
                      <w:iCs/>
                      <w:kern w:val="0"/>
                      <w:sz w:val="21"/>
                      <w:szCs w:val="21"/>
                      <w:u w:val="single"/>
                    </w:rPr>
                  </w:pPr>
                  <w:r>
                    <w:rPr>
                      <w:rFonts w:hint="eastAsia" w:cs="Times New Roman"/>
                      <w:i/>
                      <w:iCs/>
                      <w:kern w:val="0"/>
                      <w:sz w:val="21"/>
                      <w:szCs w:val="21"/>
                      <w:u w:val="single"/>
                    </w:rPr>
                    <w:t>15≤SV＜20</w:t>
                  </w:r>
                </w:p>
              </w:tc>
              <w:tc>
                <w:tcPr>
                  <w:tcW w:w="1068" w:type="dxa"/>
                  <w:vAlign w:val="center"/>
                </w:tcPr>
                <w:p w14:paraId="0530562B">
                  <w:pPr>
                    <w:jc w:val="center"/>
                    <w:rPr>
                      <w:rFonts w:cs="Times New Roman"/>
                      <w:i/>
                      <w:iCs/>
                      <w:kern w:val="0"/>
                      <w:sz w:val="21"/>
                      <w:szCs w:val="21"/>
                      <w:u w:val="single"/>
                    </w:rPr>
                  </w:pPr>
                  <w:r>
                    <w:rPr>
                      <w:rFonts w:hint="eastAsia" w:cs="Times New Roman"/>
                      <w:i/>
                      <w:iCs/>
                      <w:kern w:val="0"/>
                      <w:sz w:val="21"/>
                      <w:szCs w:val="21"/>
                      <w:u w:val="single"/>
                    </w:rPr>
                    <w:t>P＜3300</w:t>
                  </w:r>
                </w:p>
              </w:tc>
              <w:tc>
                <w:tcPr>
                  <w:tcW w:w="1066" w:type="dxa"/>
                  <w:vAlign w:val="center"/>
                </w:tcPr>
                <w:p w14:paraId="2A66718F">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371F4ECB">
                  <w:pPr>
                    <w:jc w:val="center"/>
                    <w:rPr>
                      <w:rFonts w:cs="Times New Roman"/>
                      <w:i/>
                      <w:iCs/>
                      <w:kern w:val="0"/>
                      <w:sz w:val="21"/>
                      <w:szCs w:val="21"/>
                      <w:u w:val="single"/>
                    </w:rPr>
                  </w:pPr>
                  <w:r>
                    <w:rPr>
                      <w:rFonts w:hint="eastAsia" w:cs="Times New Roman"/>
                      <w:i/>
                      <w:iCs/>
                      <w:kern w:val="0"/>
                      <w:sz w:val="21"/>
                      <w:szCs w:val="21"/>
                      <w:u w:val="single"/>
                    </w:rPr>
                    <w:t>8.7</w:t>
                  </w:r>
                </w:p>
              </w:tc>
              <w:tc>
                <w:tcPr>
                  <w:tcW w:w="1066" w:type="dxa"/>
                  <w:vAlign w:val="center"/>
                </w:tcPr>
                <w:p w14:paraId="471EA567">
                  <w:pPr>
                    <w:jc w:val="center"/>
                    <w:rPr>
                      <w:rFonts w:cs="Times New Roman"/>
                      <w:i/>
                      <w:iCs/>
                      <w:kern w:val="0"/>
                      <w:sz w:val="21"/>
                      <w:szCs w:val="21"/>
                      <w:u w:val="single"/>
                    </w:rPr>
                  </w:pPr>
                  <w:r>
                    <w:rPr>
                      <w:rFonts w:hint="eastAsia" w:cs="Times New Roman"/>
                      <w:i/>
                      <w:iCs/>
                      <w:kern w:val="0"/>
                      <w:sz w:val="21"/>
                      <w:szCs w:val="21"/>
                      <w:u w:val="single"/>
                    </w:rPr>
                    <w:t>1.6</w:t>
                  </w:r>
                </w:p>
              </w:tc>
              <w:tc>
                <w:tcPr>
                  <w:tcW w:w="1066" w:type="dxa"/>
                  <w:vAlign w:val="center"/>
                </w:tcPr>
                <w:p w14:paraId="7DBC2A38">
                  <w:pPr>
                    <w:jc w:val="center"/>
                    <w:rPr>
                      <w:rFonts w:cs="Times New Roman"/>
                      <w:i/>
                      <w:iCs/>
                      <w:kern w:val="0"/>
                      <w:sz w:val="21"/>
                      <w:szCs w:val="21"/>
                      <w:u w:val="single"/>
                    </w:rPr>
                  </w:pPr>
                  <w:r>
                    <w:rPr>
                      <w:rFonts w:hint="eastAsia" w:cs="Times New Roman"/>
                      <w:i/>
                      <w:iCs/>
                      <w:kern w:val="0"/>
                      <w:sz w:val="21"/>
                      <w:szCs w:val="21"/>
                      <w:u w:val="single"/>
                    </w:rPr>
                    <w:t>0.50</w:t>
                  </w:r>
                </w:p>
              </w:tc>
            </w:tr>
            <w:tr w14:paraId="1A676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18028018">
                  <w:pPr>
                    <w:jc w:val="center"/>
                    <w:rPr>
                      <w:rFonts w:cs="Times New Roman"/>
                      <w:i/>
                      <w:iCs/>
                      <w:kern w:val="0"/>
                      <w:sz w:val="21"/>
                      <w:szCs w:val="21"/>
                      <w:u w:val="single"/>
                    </w:rPr>
                  </w:pPr>
                </w:p>
              </w:tc>
              <w:tc>
                <w:tcPr>
                  <w:tcW w:w="649" w:type="dxa"/>
                  <w:vMerge w:val="continue"/>
                  <w:vAlign w:val="center"/>
                </w:tcPr>
                <w:p w14:paraId="32F8E380">
                  <w:pPr>
                    <w:jc w:val="center"/>
                    <w:rPr>
                      <w:rFonts w:cs="Times New Roman"/>
                      <w:i/>
                      <w:iCs/>
                      <w:kern w:val="0"/>
                      <w:sz w:val="21"/>
                      <w:szCs w:val="21"/>
                      <w:u w:val="single"/>
                    </w:rPr>
                  </w:pPr>
                </w:p>
              </w:tc>
              <w:tc>
                <w:tcPr>
                  <w:tcW w:w="1134" w:type="dxa"/>
                  <w:vMerge w:val="continue"/>
                  <w:vAlign w:val="center"/>
                </w:tcPr>
                <w:p w14:paraId="113C639E">
                  <w:pPr>
                    <w:jc w:val="center"/>
                    <w:rPr>
                      <w:rFonts w:cs="Times New Roman"/>
                      <w:i/>
                      <w:iCs/>
                      <w:kern w:val="0"/>
                      <w:sz w:val="21"/>
                      <w:szCs w:val="21"/>
                      <w:u w:val="single"/>
                    </w:rPr>
                  </w:pPr>
                </w:p>
              </w:tc>
              <w:tc>
                <w:tcPr>
                  <w:tcW w:w="1068" w:type="dxa"/>
                  <w:vAlign w:val="center"/>
                </w:tcPr>
                <w:p w14:paraId="54C66E20">
                  <w:pPr>
                    <w:jc w:val="center"/>
                    <w:rPr>
                      <w:rFonts w:cs="Times New Roman"/>
                      <w:i/>
                      <w:iCs/>
                      <w:kern w:val="0"/>
                      <w:sz w:val="21"/>
                      <w:szCs w:val="21"/>
                      <w:u w:val="single"/>
                    </w:rPr>
                  </w:pPr>
                  <w:r>
                    <w:rPr>
                      <w:rFonts w:hint="eastAsia" w:cs="Times New Roman"/>
                      <w:i/>
                      <w:iCs/>
                      <w:kern w:val="0"/>
                      <w:sz w:val="21"/>
                      <w:szCs w:val="21"/>
                      <w:u w:val="single"/>
                    </w:rPr>
                    <w:t>P≥3300</w:t>
                  </w:r>
                </w:p>
              </w:tc>
              <w:tc>
                <w:tcPr>
                  <w:tcW w:w="1066" w:type="dxa"/>
                  <w:vAlign w:val="center"/>
                </w:tcPr>
                <w:p w14:paraId="5B7BB7A3">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3440C547">
                  <w:pPr>
                    <w:jc w:val="center"/>
                    <w:rPr>
                      <w:rFonts w:cs="Times New Roman"/>
                      <w:i/>
                      <w:iCs/>
                      <w:kern w:val="0"/>
                      <w:sz w:val="21"/>
                      <w:szCs w:val="21"/>
                      <w:u w:val="single"/>
                    </w:rPr>
                  </w:pPr>
                  <w:r>
                    <w:rPr>
                      <w:rFonts w:hint="eastAsia" w:cs="Times New Roman"/>
                      <w:i/>
                      <w:iCs/>
                      <w:kern w:val="0"/>
                      <w:sz w:val="21"/>
                      <w:szCs w:val="21"/>
                      <w:u w:val="single"/>
                    </w:rPr>
                    <w:t>9.8</w:t>
                  </w:r>
                </w:p>
              </w:tc>
              <w:tc>
                <w:tcPr>
                  <w:tcW w:w="1066" w:type="dxa"/>
                  <w:vAlign w:val="center"/>
                </w:tcPr>
                <w:p w14:paraId="33DCFF33">
                  <w:pPr>
                    <w:jc w:val="center"/>
                    <w:rPr>
                      <w:rFonts w:cs="Times New Roman"/>
                      <w:i/>
                      <w:iCs/>
                      <w:kern w:val="0"/>
                      <w:sz w:val="21"/>
                      <w:szCs w:val="21"/>
                      <w:u w:val="single"/>
                    </w:rPr>
                  </w:pPr>
                  <w:r>
                    <w:rPr>
                      <w:rFonts w:hint="eastAsia" w:cs="Times New Roman"/>
                      <w:i/>
                      <w:iCs/>
                      <w:kern w:val="0"/>
                      <w:sz w:val="21"/>
                      <w:szCs w:val="21"/>
                      <w:u w:val="single"/>
                    </w:rPr>
                    <w:t>1.8</w:t>
                  </w:r>
                </w:p>
              </w:tc>
              <w:tc>
                <w:tcPr>
                  <w:tcW w:w="1066" w:type="dxa"/>
                  <w:vAlign w:val="center"/>
                </w:tcPr>
                <w:p w14:paraId="4037092A">
                  <w:pPr>
                    <w:jc w:val="center"/>
                    <w:rPr>
                      <w:rFonts w:cs="Times New Roman"/>
                      <w:i/>
                      <w:iCs/>
                      <w:kern w:val="0"/>
                      <w:sz w:val="21"/>
                      <w:szCs w:val="21"/>
                      <w:u w:val="single"/>
                    </w:rPr>
                  </w:pPr>
                  <w:r>
                    <w:rPr>
                      <w:rFonts w:hint="eastAsia" w:cs="Times New Roman"/>
                      <w:i/>
                      <w:iCs/>
                      <w:kern w:val="0"/>
                      <w:sz w:val="21"/>
                      <w:szCs w:val="21"/>
                      <w:u w:val="single"/>
                    </w:rPr>
                    <w:t>0.50</w:t>
                  </w:r>
                </w:p>
              </w:tc>
            </w:tr>
            <w:tr w14:paraId="1A8B8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0D0A8AFF">
                  <w:pPr>
                    <w:jc w:val="center"/>
                    <w:rPr>
                      <w:rFonts w:cs="Times New Roman"/>
                      <w:i/>
                      <w:iCs/>
                      <w:kern w:val="0"/>
                      <w:sz w:val="21"/>
                      <w:szCs w:val="21"/>
                      <w:u w:val="single"/>
                    </w:rPr>
                  </w:pPr>
                </w:p>
              </w:tc>
              <w:tc>
                <w:tcPr>
                  <w:tcW w:w="649" w:type="dxa"/>
                  <w:vMerge w:val="continue"/>
                  <w:vAlign w:val="center"/>
                </w:tcPr>
                <w:p w14:paraId="688320F1">
                  <w:pPr>
                    <w:jc w:val="center"/>
                    <w:rPr>
                      <w:rFonts w:cs="Times New Roman"/>
                      <w:i/>
                      <w:iCs/>
                      <w:kern w:val="0"/>
                      <w:sz w:val="21"/>
                      <w:szCs w:val="21"/>
                      <w:u w:val="single"/>
                    </w:rPr>
                  </w:pPr>
                </w:p>
              </w:tc>
              <w:tc>
                <w:tcPr>
                  <w:tcW w:w="2202" w:type="dxa"/>
                  <w:gridSpan w:val="2"/>
                  <w:vAlign w:val="center"/>
                </w:tcPr>
                <w:p w14:paraId="7FC4763F">
                  <w:pPr>
                    <w:jc w:val="center"/>
                    <w:rPr>
                      <w:rFonts w:cs="Times New Roman"/>
                      <w:i/>
                      <w:iCs/>
                      <w:kern w:val="0"/>
                      <w:sz w:val="21"/>
                      <w:szCs w:val="21"/>
                      <w:u w:val="single"/>
                    </w:rPr>
                  </w:pPr>
                  <w:r>
                    <w:rPr>
                      <w:rFonts w:hint="eastAsia" w:cs="Times New Roman"/>
                      <w:i/>
                      <w:iCs/>
                      <w:kern w:val="0"/>
                      <w:sz w:val="21"/>
                      <w:szCs w:val="21"/>
                      <w:u w:val="single"/>
                    </w:rPr>
                    <w:t>20≤SV＜25</w:t>
                  </w:r>
                </w:p>
              </w:tc>
              <w:tc>
                <w:tcPr>
                  <w:tcW w:w="1066" w:type="dxa"/>
                  <w:vAlign w:val="center"/>
                </w:tcPr>
                <w:p w14:paraId="2EF93889">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29FABE1B">
                  <w:pPr>
                    <w:jc w:val="center"/>
                    <w:rPr>
                      <w:rFonts w:cs="Times New Roman"/>
                      <w:i/>
                      <w:iCs/>
                      <w:kern w:val="0"/>
                      <w:sz w:val="21"/>
                      <w:szCs w:val="21"/>
                      <w:u w:val="single"/>
                    </w:rPr>
                  </w:pPr>
                  <w:r>
                    <w:rPr>
                      <w:rFonts w:hint="eastAsia" w:cs="Times New Roman"/>
                      <w:i/>
                      <w:iCs/>
                      <w:kern w:val="0"/>
                      <w:sz w:val="21"/>
                      <w:szCs w:val="21"/>
                      <w:u w:val="single"/>
                    </w:rPr>
                    <w:t>9.8</w:t>
                  </w:r>
                </w:p>
              </w:tc>
              <w:tc>
                <w:tcPr>
                  <w:tcW w:w="1066" w:type="dxa"/>
                  <w:vAlign w:val="center"/>
                </w:tcPr>
                <w:p w14:paraId="135BDF96">
                  <w:pPr>
                    <w:jc w:val="center"/>
                    <w:rPr>
                      <w:rFonts w:cs="Times New Roman"/>
                      <w:i/>
                      <w:iCs/>
                      <w:kern w:val="0"/>
                      <w:sz w:val="21"/>
                      <w:szCs w:val="21"/>
                      <w:u w:val="single"/>
                    </w:rPr>
                  </w:pPr>
                  <w:r>
                    <w:rPr>
                      <w:rFonts w:hint="eastAsia" w:cs="Times New Roman"/>
                      <w:i/>
                      <w:iCs/>
                      <w:kern w:val="0"/>
                      <w:sz w:val="21"/>
                      <w:szCs w:val="21"/>
                      <w:u w:val="single"/>
                    </w:rPr>
                    <w:t>1.8</w:t>
                  </w:r>
                </w:p>
              </w:tc>
              <w:tc>
                <w:tcPr>
                  <w:tcW w:w="1066" w:type="dxa"/>
                  <w:vAlign w:val="center"/>
                </w:tcPr>
                <w:p w14:paraId="469D45CC">
                  <w:pPr>
                    <w:jc w:val="center"/>
                    <w:rPr>
                      <w:rFonts w:cs="Times New Roman"/>
                      <w:i/>
                      <w:iCs/>
                      <w:kern w:val="0"/>
                      <w:sz w:val="21"/>
                      <w:szCs w:val="21"/>
                      <w:u w:val="single"/>
                    </w:rPr>
                  </w:pPr>
                  <w:r>
                    <w:rPr>
                      <w:rFonts w:hint="eastAsia" w:cs="Times New Roman"/>
                      <w:i/>
                      <w:iCs/>
                      <w:kern w:val="0"/>
                      <w:sz w:val="21"/>
                      <w:szCs w:val="21"/>
                      <w:u w:val="single"/>
                    </w:rPr>
                    <w:t>0.50</w:t>
                  </w:r>
                </w:p>
              </w:tc>
            </w:tr>
            <w:tr w14:paraId="3811A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065D4302">
                  <w:pPr>
                    <w:jc w:val="center"/>
                    <w:rPr>
                      <w:rFonts w:cs="Times New Roman"/>
                      <w:i/>
                      <w:iCs/>
                      <w:kern w:val="0"/>
                      <w:sz w:val="21"/>
                      <w:szCs w:val="21"/>
                      <w:u w:val="single"/>
                    </w:rPr>
                  </w:pPr>
                </w:p>
              </w:tc>
              <w:tc>
                <w:tcPr>
                  <w:tcW w:w="649" w:type="dxa"/>
                  <w:vMerge w:val="continue"/>
                  <w:vAlign w:val="center"/>
                </w:tcPr>
                <w:p w14:paraId="42E061FE">
                  <w:pPr>
                    <w:jc w:val="center"/>
                    <w:rPr>
                      <w:rFonts w:cs="Times New Roman"/>
                      <w:i/>
                      <w:iCs/>
                      <w:kern w:val="0"/>
                      <w:sz w:val="21"/>
                      <w:szCs w:val="21"/>
                      <w:u w:val="single"/>
                    </w:rPr>
                  </w:pPr>
                </w:p>
              </w:tc>
              <w:tc>
                <w:tcPr>
                  <w:tcW w:w="2202" w:type="dxa"/>
                  <w:gridSpan w:val="2"/>
                  <w:vAlign w:val="center"/>
                </w:tcPr>
                <w:p w14:paraId="13C1F8F6">
                  <w:pPr>
                    <w:jc w:val="center"/>
                    <w:rPr>
                      <w:rFonts w:cs="Times New Roman"/>
                      <w:i/>
                      <w:iCs/>
                      <w:kern w:val="0"/>
                      <w:sz w:val="21"/>
                      <w:szCs w:val="21"/>
                      <w:u w:val="single"/>
                    </w:rPr>
                  </w:pPr>
                  <w:r>
                    <w:rPr>
                      <w:rFonts w:hint="eastAsia" w:cs="Times New Roman"/>
                      <w:i/>
                      <w:iCs/>
                      <w:kern w:val="0"/>
                      <w:sz w:val="21"/>
                      <w:szCs w:val="21"/>
                      <w:u w:val="single"/>
                    </w:rPr>
                    <w:t>25≤SV＜30</w:t>
                  </w:r>
                </w:p>
              </w:tc>
              <w:tc>
                <w:tcPr>
                  <w:tcW w:w="1066" w:type="dxa"/>
                  <w:vAlign w:val="center"/>
                </w:tcPr>
                <w:p w14:paraId="1378ACD1">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178A914A">
                  <w:pPr>
                    <w:jc w:val="center"/>
                    <w:rPr>
                      <w:rFonts w:cs="Times New Roman"/>
                      <w:i/>
                      <w:iCs/>
                      <w:kern w:val="0"/>
                      <w:sz w:val="21"/>
                      <w:szCs w:val="21"/>
                      <w:u w:val="single"/>
                    </w:rPr>
                  </w:pPr>
                  <w:r>
                    <w:rPr>
                      <w:rFonts w:hint="eastAsia" w:cs="Times New Roman"/>
                      <w:i/>
                      <w:iCs/>
                      <w:kern w:val="0"/>
                      <w:sz w:val="21"/>
                      <w:szCs w:val="21"/>
                      <w:u w:val="single"/>
                    </w:rPr>
                    <w:t>11.0</w:t>
                  </w:r>
                </w:p>
              </w:tc>
              <w:tc>
                <w:tcPr>
                  <w:tcW w:w="1066" w:type="dxa"/>
                  <w:vAlign w:val="center"/>
                </w:tcPr>
                <w:p w14:paraId="39F482AC">
                  <w:pPr>
                    <w:jc w:val="center"/>
                    <w:rPr>
                      <w:rFonts w:cs="Times New Roman"/>
                      <w:i/>
                      <w:iCs/>
                      <w:kern w:val="0"/>
                      <w:sz w:val="21"/>
                      <w:szCs w:val="21"/>
                      <w:u w:val="single"/>
                    </w:rPr>
                  </w:pPr>
                  <w:r>
                    <w:rPr>
                      <w:rFonts w:hint="eastAsia" w:cs="Times New Roman"/>
                      <w:i/>
                      <w:iCs/>
                      <w:kern w:val="0"/>
                      <w:sz w:val="21"/>
                      <w:szCs w:val="21"/>
                      <w:u w:val="single"/>
                    </w:rPr>
                    <w:t>2.0</w:t>
                  </w:r>
                </w:p>
              </w:tc>
              <w:tc>
                <w:tcPr>
                  <w:tcW w:w="1066" w:type="dxa"/>
                  <w:vAlign w:val="center"/>
                </w:tcPr>
                <w:p w14:paraId="7445E290">
                  <w:pPr>
                    <w:jc w:val="center"/>
                    <w:rPr>
                      <w:rFonts w:cs="Times New Roman"/>
                      <w:i/>
                      <w:iCs/>
                      <w:kern w:val="0"/>
                      <w:sz w:val="21"/>
                      <w:szCs w:val="21"/>
                      <w:u w:val="single"/>
                    </w:rPr>
                  </w:pPr>
                  <w:r>
                    <w:rPr>
                      <w:rFonts w:hint="eastAsia" w:cs="Times New Roman"/>
                      <w:i/>
                      <w:iCs/>
                      <w:kern w:val="0"/>
                      <w:sz w:val="21"/>
                      <w:szCs w:val="21"/>
                      <w:u w:val="single"/>
                    </w:rPr>
                    <w:t>0.50</w:t>
                  </w:r>
                </w:p>
              </w:tc>
            </w:tr>
            <w:tr w14:paraId="289BA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restart"/>
                  <w:vAlign w:val="center"/>
                </w:tcPr>
                <w:p w14:paraId="72452189">
                  <w:pPr>
                    <w:jc w:val="center"/>
                    <w:rPr>
                      <w:rFonts w:cs="Times New Roman"/>
                      <w:i/>
                      <w:iCs/>
                      <w:kern w:val="0"/>
                      <w:sz w:val="21"/>
                      <w:szCs w:val="21"/>
                      <w:u w:val="single"/>
                    </w:rPr>
                  </w:pPr>
                  <w:r>
                    <w:rPr>
                      <w:rFonts w:hint="eastAsia" w:cs="Times New Roman"/>
                      <w:i/>
                      <w:iCs/>
                      <w:kern w:val="0"/>
                      <w:sz w:val="21"/>
                      <w:szCs w:val="21"/>
                      <w:u w:val="single"/>
                    </w:rPr>
                    <w:t>第二阶段</w:t>
                  </w:r>
                </w:p>
              </w:tc>
              <w:tc>
                <w:tcPr>
                  <w:tcW w:w="649" w:type="dxa"/>
                  <w:vMerge w:val="restart"/>
                  <w:vAlign w:val="center"/>
                </w:tcPr>
                <w:p w14:paraId="61246B58">
                  <w:pPr>
                    <w:jc w:val="center"/>
                    <w:rPr>
                      <w:rFonts w:cs="Times New Roman"/>
                      <w:i/>
                      <w:iCs/>
                      <w:kern w:val="0"/>
                      <w:sz w:val="21"/>
                      <w:szCs w:val="21"/>
                      <w:u w:val="single"/>
                    </w:rPr>
                  </w:pPr>
                  <w:r>
                    <w:rPr>
                      <w:rFonts w:hint="eastAsia" w:cs="Times New Roman"/>
                      <w:i/>
                      <w:iCs/>
                      <w:kern w:val="0"/>
                      <w:sz w:val="21"/>
                      <w:szCs w:val="21"/>
                      <w:u w:val="single"/>
                    </w:rPr>
                    <w:t>第1类</w:t>
                  </w:r>
                </w:p>
              </w:tc>
              <w:tc>
                <w:tcPr>
                  <w:tcW w:w="1134" w:type="dxa"/>
                  <w:vAlign w:val="center"/>
                </w:tcPr>
                <w:p w14:paraId="4D37026F">
                  <w:pPr>
                    <w:jc w:val="center"/>
                    <w:rPr>
                      <w:rFonts w:cs="Times New Roman"/>
                      <w:i/>
                      <w:iCs/>
                      <w:kern w:val="0"/>
                      <w:sz w:val="21"/>
                      <w:szCs w:val="21"/>
                      <w:u w:val="single"/>
                    </w:rPr>
                  </w:pPr>
                  <w:r>
                    <w:rPr>
                      <w:rFonts w:hint="eastAsia" w:cs="Times New Roman"/>
                      <w:i/>
                      <w:iCs/>
                      <w:kern w:val="0"/>
                      <w:sz w:val="21"/>
                      <w:szCs w:val="21"/>
                      <w:u w:val="single"/>
                    </w:rPr>
                    <w:t>SV＜0.9</w:t>
                  </w:r>
                </w:p>
              </w:tc>
              <w:tc>
                <w:tcPr>
                  <w:tcW w:w="1068" w:type="dxa"/>
                  <w:vAlign w:val="center"/>
                </w:tcPr>
                <w:p w14:paraId="526532A4">
                  <w:pPr>
                    <w:jc w:val="center"/>
                    <w:rPr>
                      <w:rFonts w:cs="Times New Roman"/>
                      <w:i/>
                      <w:iCs/>
                      <w:kern w:val="0"/>
                      <w:sz w:val="21"/>
                      <w:szCs w:val="21"/>
                      <w:u w:val="single"/>
                    </w:rPr>
                  </w:pPr>
                  <w:r>
                    <w:rPr>
                      <w:rFonts w:hint="eastAsia" w:cs="Times New Roman"/>
                      <w:i/>
                      <w:iCs/>
                      <w:kern w:val="0"/>
                      <w:sz w:val="21"/>
                      <w:szCs w:val="21"/>
                      <w:u w:val="single"/>
                    </w:rPr>
                    <w:t>P≥37</w:t>
                  </w:r>
                </w:p>
              </w:tc>
              <w:tc>
                <w:tcPr>
                  <w:tcW w:w="1066" w:type="dxa"/>
                  <w:vAlign w:val="center"/>
                </w:tcPr>
                <w:p w14:paraId="0F54A103">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3CB1A4FD">
                  <w:pPr>
                    <w:jc w:val="center"/>
                    <w:rPr>
                      <w:rFonts w:cs="Times New Roman"/>
                      <w:i/>
                      <w:iCs/>
                      <w:kern w:val="0"/>
                      <w:sz w:val="21"/>
                      <w:szCs w:val="21"/>
                      <w:u w:val="single"/>
                    </w:rPr>
                  </w:pPr>
                  <w:r>
                    <w:rPr>
                      <w:rFonts w:hint="eastAsia" w:cs="Times New Roman"/>
                      <w:i/>
                      <w:iCs/>
                      <w:kern w:val="0"/>
                      <w:sz w:val="21"/>
                      <w:szCs w:val="21"/>
                      <w:u w:val="single"/>
                    </w:rPr>
                    <w:t>5.8</w:t>
                  </w:r>
                </w:p>
              </w:tc>
              <w:tc>
                <w:tcPr>
                  <w:tcW w:w="1066" w:type="dxa"/>
                  <w:vAlign w:val="center"/>
                </w:tcPr>
                <w:p w14:paraId="061360E5">
                  <w:pPr>
                    <w:jc w:val="center"/>
                    <w:rPr>
                      <w:rFonts w:cs="Times New Roman"/>
                      <w:i/>
                      <w:iCs/>
                      <w:kern w:val="0"/>
                      <w:sz w:val="21"/>
                      <w:szCs w:val="21"/>
                      <w:u w:val="single"/>
                    </w:rPr>
                  </w:pPr>
                  <w:r>
                    <w:rPr>
                      <w:rFonts w:hint="eastAsia" w:cs="Times New Roman"/>
                      <w:i/>
                      <w:iCs/>
                      <w:kern w:val="0"/>
                      <w:sz w:val="21"/>
                      <w:szCs w:val="21"/>
                      <w:u w:val="single"/>
                    </w:rPr>
                    <w:t>1.0</w:t>
                  </w:r>
                </w:p>
              </w:tc>
              <w:tc>
                <w:tcPr>
                  <w:tcW w:w="1066" w:type="dxa"/>
                  <w:vAlign w:val="center"/>
                </w:tcPr>
                <w:p w14:paraId="3078E2A5">
                  <w:pPr>
                    <w:jc w:val="center"/>
                    <w:rPr>
                      <w:rFonts w:cs="Times New Roman"/>
                      <w:i/>
                      <w:iCs/>
                      <w:kern w:val="0"/>
                      <w:sz w:val="21"/>
                      <w:szCs w:val="21"/>
                      <w:u w:val="single"/>
                    </w:rPr>
                  </w:pPr>
                  <w:r>
                    <w:rPr>
                      <w:rFonts w:hint="eastAsia" w:cs="Times New Roman"/>
                      <w:i/>
                      <w:iCs/>
                      <w:kern w:val="0"/>
                      <w:sz w:val="21"/>
                      <w:szCs w:val="21"/>
                      <w:u w:val="single"/>
                    </w:rPr>
                    <w:t>0.3</w:t>
                  </w:r>
                </w:p>
              </w:tc>
            </w:tr>
            <w:tr w14:paraId="5D80F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5A7CA2D5">
                  <w:pPr>
                    <w:jc w:val="center"/>
                    <w:rPr>
                      <w:rFonts w:cs="Times New Roman"/>
                      <w:i/>
                      <w:iCs/>
                      <w:kern w:val="0"/>
                      <w:sz w:val="21"/>
                      <w:szCs w:val="21"/>
                      <w:u w:val="single"/>
                    </w:rPr>
                  </w:pPr>
                </w:p>
              </w:tc>
              <w:tc>
                <w:tcPr>
                  <w:tcW w:w="649" w:type="dxa"/>
                  <w:vMerge w:val="continue"/>
                  <w:vAlign w:val="center"/>
                </w:tcPr>
                <w:p w14:paraId="7A7FA44F">
                  <w:pPr>
                    <w:jc w:val="center"/>
                    <w:rPr>
                      <w:rFonts w:cs="Times New Roman"/>
                      <w:i/>
                      <w:iCs/>
                      <w:kern w:val="0"/>
                      <w:sz w:val="21"/>
                      <w:szCs w:val="21"/>
                      <w:u w:val="single"/>
                    </w:rPr>
                  </w:pPr>
                </w:p>
              </w:tc>
              <w:tc>
                <w:tcPr>
                  <w:tcW w:w="2202" w:type="dxa"/>
                  <w:gridSpan w:val="2"/>
                  <w:vAlign w:val="center"/>
                </w:tcPr>
                <w:p w14:paraId="6A11088E">
                  <w:pPr>
                    <w:jc w:val="center"/>
                    <w:rPr>
                      <w:rFonts w:cs="Times New Roman"/>
                      <w:i/>
                      <w:iCs/>
                      <w:kern w:val="0"/>
                      <w:sz w:val="21"/>
                      <w:szCs w:val="21"/>
                      <w:u w:val="single"/>
                    </w:rPr>
                  </w:pPr>
                  <w:r>
                    <w:rPr>
                      <w:rFonts w:hint="eastAsia" w:cs="Times New Roman"/>
                      <w:i/>
                      <w:iCs/>
                      <w:kern w:val="0"/>
                      <w:sz w:val="21"/>
                      <w:szCs w:val="21"/>
                      <w:u w:val="single"/>
                    </w:rPr>
                    <w:t>0.9≤SV＜1.2</w:t>
                  </w:r>
                </w:p>
              </w:tc>
              <w:tc>
                <w:tcPr>
                  <w:tcW w:w="1066" w:type="dxa"/>
                  <w:vAlign w:val="center"/>
                </w:tcPr>
                <w:p w14:paraId="2A82253A">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5DDADC4A">
                  <w:pPr>
                    <w:jc w:val="center"/>
                    <w:rPr>
                      <w:rFonts w:cs="Times New Roman"/>
                      <w:i/>
                      <w:iCs/>
                      <w:kern w:val="0"/>
                      <w:sz w:val="21"/>
                      <w:szCs w:val="21"/>
                      <w:u w:val="single"/>
                    </w:rPr>
                  </w:pPr>
                  <w:r>
                    <w:rPr>
                      <w:rFonts w:hint="eastAsia" w:cs="Times New Roman"/>
                      <w:i/>
                      <w:iCs/>
                      <w:kern w:val="0"/>
                      <w:sz w:val="21"/>
                      <w:szCs w:val="21"/>
                      <w:u w:val="single"/>
                    </w:rPr>
                    <w:t>5.8</w:t>
                  </w:r>
                </w:p>
              </w:tc>
              <w:tc>
                <w:tcPr>
                  <w:tcW w:w="1066" w:type="dxa"/>
                  <w:vAlign w:val="center"/>
                </w:tcPr>
                <w:p w14:paraId="3041E1E5">
                  <w:pPr>
                    <w:jc w:val="center"/>
                    <w:rPr>
                      <w:rFonts w:cs="Times New Roman"/>
                      <w:i/>
                      <w:iCs/>
                      <w:kern w:val="0"/>
                      <w:sz w:val="21"/>
                      <w:szCs w:val="21"/>
                      <w:u w:val="single"/>
                    </w:rPr>
                  </w:pPr>
                  <w:r>
                    <w:rPr>
                      <w:rFonts w:hint="eastAsia" w:cs="Times New Roman"/>
                      <w:i/>
                      <w:iCs/>
                      <w:kern w:val="0"/>
                      <w:sz w:val="21"/>
                      <w:szCs w:val="21"/>
                      <w:u w:val="single"/>
                    </w:rPr>
                    <w:t>1.0</w:t>
                  </w:r>
                </w:p>
              </w:tc>
              <w:tc>
                <w:tcPr>
                  <w:tcW w:w="1066" w:type="dxa"/>
                  <w:vAlign w:val="center"/>
                </w:tcPr>
                <w:p w14:paraId="6A83CDF4">
                  <w:pPr>
                    <w:jc w:val="center"/>
                    <w:rPr>
                      <w:rFonts w:cs="Times New Roman"/>
                      <w:i/>
                      <w:iCs/>
                      <w:kern w:val="0"/>
                      <w:sz w:val="21"/>
                      <w:szCs w:val="21"/>
                      <w:u w:val="single"/>
                    </w:rPr>
                  </w:pPr>
                  <w:r>
                    <w:rPr>
                      <w:rFonts w:hint="eastAsia" w:cs="Times New Roman"/>
                      <w:i/>
                      <w:iCs/>
                      <w:kern w:val="0"/>
                      <w:sz w:val="21"/>
                      <w:szCs w:val="21"/>
                      <w:u w:val="single"/>
                    </w:rPr>
                    <w:t>0.14</w:t>
                  </w:r>
                </w:p>
              </w:tc>
            </w:tr>
            <w:tr w14:paraId="3DCC3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74F00FFA">
                  <w:pPr>
                    <w:jc w:val="center"/>
                    <w:rPr>
                      <w:rFonts w:cs="Times New Roman"/>
                      <w:i/>
                      <w:iCs/>
                      <w:kern w:val="0"/>
                      <w:sz w:val="21"/>
                      <w:szCs w:val="21"/>
                      <w:u w:val="single"/>
                    </w:rPr>
                  </w:pPr>
                </w:p>
              </w:tc>
              <w:tc>
                <w:tcPr>
                  <w:tcW w:w="649" w:type="dxa"/>
                  <w:vMerge w:val="continue"/>
                  <w:vAlign w:val="center"/>
                </w:tcPr>
                <w:p w14:paraId="38A1EA19">
                  <w:pPr>
                    <w:jc w:val="center"/>
                    <w:rPr>
                      <w:rFonts w:cs="Times New Roman"/>
                      <w:i/>
                      <w:iCs/>
                      <w:kern w:val="0"/>
                      <w:sz w:val="21"/>
                      <w:szCs w:val="21"/>
                      <w:u w:val="single"/>
                    </w:rPr>
                  </w:pPr>
                </w:p>
              </w:tc>
              <w:tc>
                <w:tcPr>
                  <w:tcW w:w="2202" w:type="dxa"/>
                  <w:gridSpan w:val="2"/>
                  <w:vAlign w:val="center"/>
                </w:tcPr>
                <w:p w14:paraId="7D7C2379">
                  <w:pPr>
                    <w:jc w:val="center"/>
                    <w:rPr>
                      <w:rFonts w:cs="Times New Roman"/>
                      <w:i/>
                      <w:iCs/>
                      <w:kern w:val="0"/>
                      <w:sz w:val="21"/>
                      <w:szCs w:val="21"/>
                      <w:u w:val="single"/>
                    </w:rPr>
                  </w:pPr>
                  <w:r>
                    <w:rPr>
                      <w:rFonts w:hint="eastAsia" w:cs="Times New Roman"/>
                      <w:i/>
                      <w:iCs/>
                      <w:kern w:val="0"/>
                      <w:sz w:val="21"/>
                      <w:szCs w:val="21"/>
                      <w:u w:val="single"/>
                    </w:rPr>
                    <w:t>1.2≤SV＜5</w:t>
                  </w:r>
                </w:p>
              </w:tc>
              <w:tc>
                <w:tcPr>
                  <w:tcW w:w="1066" w:type="dxa"/>
                  <w:vAlign w:val="center"/>
                </w:tcPr>
                <w:p w14:paraId="1E69CDEC">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5C0D9F0A">
                  <w:pPr>
                    <w:jc w:val="center"/>
                    <w:rPr>
                      <w:rFonts w:cs="Times New Roman"/>
                      <w:i/>
                      <w:iCs/>
                      <w:kern w:val="0"/>
                      <w:sz w:val="21"/>
                      <w:szCs w:val="21"/>
                      <w:u w:val="single"/>
                    </w:rPr>
                  </w:pPr>
                  <w:r>
                    <w:rPr>
                      <w:rFonts w:hint="eastAsia" w:cs="Times New Roman"/>
                      <w:i/>
                      <w:iCs/>
                      <w:kern w:val="0"/>
                      <w:sz w:val="21"/>
                      <w:szCs w:val="21"/>
                      <w:u w:val="single"/>
                    </w:rPr>
                    <w:t>5.8</w:t>
                  </w:r>
                </w:p>
              </w:tc>
              <w:tc>
                <w:tcPr>
                  <w:tcW w:w="1066" w:type="dxa"/>
                  <w:vAlign w:val="center"/>
                </w:tcPr>
                <w:p w14:paraId="119B2757">
                  <w:pPr>
                    <w:jc w:val="center"/>
                    <w:rPr>
                      <w:rFonts w:cs="Times New Roman"/>
                      <w:i/>
                      <w:iCs/>
                      <w:kern w:val="0"/>
                      <w:sz w:val="21"/>
                      <w:szCs w:val="21"/>
                      <w:u w:val="single"/>
                    </w:rPr>
                  </w:pPr>
                  <w:r>
                    <w:rPr>
                      <w:rFonts w:hint="eastAsia" w:cs="Times New Roman"/>
                      <w:i/>
                      <w:iCs/>
                      <w:kern w:val="0"/>
                      <w:sz w:val="21"/>
                      <w:szCs w:val="21"/>
                      <w:u w:val="single"/>
                    </w:rPr>
                    <w:t>1.0</w:t>
                  </w:r>
                </w:p>
              </w:tc>
              <w:tc>
                <w:tcPr>
                  <w:tcW w:w="1066" w:type="dxa"/>
                  <w:vAlign w:val="center"/>
                </w:tcPr>
                <w:p w14:paraId="0840ECE1">
                  <w:pPr>
                    <w:jc w:val="center"/>
                    <w:rPr>
                      <w:rFonts w:cs="Times New Roman"/>
                      <w:i/>
                      <w:iCs/>
                      <w:kern w:val="0"/>
                      <w:sz w:val="21"/>
                      <w:szCs w:val="21"/>
                      <w:u w:val="single"/>
                    </w:rPr>
                  </w:pPr>
                  <w:r>
                    <w:rPr>
                      <w:rFonts w:hint="eastAsia" w:cs="Times New Roman"/>
                      <w:i/>
                      <w:iCs/>
                      <w:kern w:val="0"/>
                      <w:sz w:val="21"/>
                      <w:szCs w:val="21"/>
                      <w:u w:val="single"/>
                    </w:rPr>
                    <w:t>0.12</w:t>
                  </w:r>
                </w:p>
              </w:tc>
            </w:tr>
            <w:tr w14:paraId="10D6D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77DCAAD7">
                  <w:pPr>
                    <w:jc w:val="center"/>
                    <w:rPr>
                      <w:rFonts w:cs="Times New Roman"/>
                      <w:i/>
                      <w:iCs/>
                      <w:kern w:val="0"/>
                      <w:sz w:val="21"/>
                      <w:szCs w:val="21"/>
                      <w:u w:val="single"/>
                    </w:rPr>
                  </w:pPr>
                </w:p>
              </w:tc>
              <w:tc>
                <w:tcPr>
                  <w:tcW w:w="649" w:type="dxa"/>
                  <w:vMerge w:val="restart"/>
                  <w:vAlign w:val="center"/>
                </w:tcPr>
                <w:p w14:paraId="6792F1C4">
                  <w:pPr>
                    <w:jc w:val="center"/>
                    <w:rPr>
                      <w:rFonts w:cs="Times New Roman"/>
                      <w:i/>
                      <w:iCs/>
                      <w:kern w:val="0"/>
                      <w:sz w:val="21"/>
                      <w:szCs w:val="21"/>
                      <w:u w:val="single"/>
                    </w:rPr>
                  </w:pPr>
                  <w:r>
                    <w:rPr>
                      <w:rFonts w:hint="eastAsia" w:cs="Times New Roman"/>
                      <w:i/>
                      <w:iCs/>
                      <w:kern w:val="0"/>
                      <w:sz w:val="21"/>
                      <w:szCs w:val="21"/>
                      <w:u w:val="single"/>
                    </w:rPr>
                    <w:t>第2类</w:t>
                  </w:r>
                </w:p>
              </w:tc>
              <w:tc>
                <w:tcPr>
                  <w:tcW w:w="1134" w:type="dxa"/>
                  <w:vMerge w:val="restart"/>
                  <w:vAlign w:val="center"/>
                </w:tcPr>
                <w:p w14:paraId="0B51C931">
                  <w:pPr>
                    <w:jc w:val="center"/>
                    <w:rPr>
                      <w:rFonts w:cs="Times New Roman"/>
                      <w:i/>
                      <w:iCs/>
                      <w:kern w:val="0"/>
                      <w:sz w:val="21"/>
                      <w:szCs w:val="21"/>
                      <w:u w:val="single"/>
                    </w:rPr>
                  </w:pPr>
                  <w:r>
                    <w:rPr>
                      <w:rFonts w:hint="eastAsia" w:cs="Times New Roman"/>
                      <w:i/>
                      <w:iCs/>
                      <w:kern w:val="0"/>
                      <w:sz w:val="21"/>
                      <w:szCs w:val="21"/>
                      <w:u w:val="single"/>
                    </w:rPr>
                    <w:t>5≤SV＜15</w:t>
                  </w:r>
                </w:p>
              </w:tc>
              <w:tc>
                <w:tcPr>
                  <w:tcW w:w="1068" w:type="dxa"/>
                  <w:vAlign w:val="center"/>
                </w:tcPr>
                <w:p w14:paraId="5BA0203C">
                  <w:pPr>
                    <w:jc w:val="center"/>
                    <w:rPr>
                      <w:rFonts w:cs="Times New Roman"/>
                      <w:i/>
                      <w:iCs/>
                      <w:kern w:val="0"/>
                      <w:sz w:val="21"/>
                      <w:szCs w:val="21"/>
                      <w:u w:val="single"/>
                    </w:rPr>
                  </w:pPr>
                  <w:r>
                    <w:rPr>
                      <w:rFonts w:hint="eastAsia" w:cs="Times New Roman"/>
                      <w:i/>
                      <w:iCs/>
                      <w:kern w:val="0"/>
                      <w:sz w:val="21"/>
                      <w:szCs w:val="21"/>
                      <w:u w:val="single"/>
                    </w:rPr>
                    <w:t>P＜2000</w:t>
                  </w:r>
                </w:p>
              </w:tc>
              <w:tc>
                <w:tcPr>
                  <w:tcW w:w="1066" w:type="dxa"/>
                  <w:vAlign w:val="center"/>
                </w:tcPr>
                <w:p w14:paraId="290189EC">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3B14DA55">
                  <w:pPr>
                    <w:jc w:val="center"/>
                    <w:rPr>
                      <w:rFonts w:cs="Times New Roman"/>
                      <w:i/>
                      <w:iCs/>
                      <w:kern w:val="0"/>
                      <w:sz w:val="21"/>
                      <w:szCs w:val="21"/>
                      <w:u w:val="single"/>
                    </w:rPr>
                  </w:pPr>
                  <w:r>
                    <w:rPr>
                      <w:rFonts w:hint="eastAsia" w:cs="Times New Roman"/>
                      <w:i/>
                      <w:iCs/>
                      <w:kern w:val="0"/>
                      <w:sz w:val="21"/>
                      <w:szCs w:val="21"/>
                      <w:u w:val="single"/>
                    </w:rPr>
                    <w:t>6.2</w:t>
                  </w:r>
                </w:p>
              </w:tc>
              <w:tc>
                <w:tcPr>
                  <w:tcW w:w="1066" w:type="dxa"/>
                  <w:vAlign w:val="center"/>
                </w:tcPr>
                <w:p w14:paraId="2A08C02E">
                  <w:pPr>
                    <w:jc w:val="center"/>
                    <w:rPr>
                      <w:rFonts w:cs="Times New Roman"/>
                      <w:i/>
                      <w:iCs/>
                      <w:kern w:val="0"/>
                      <w:sz w:val="21"/>
                      <w:szCs w:val="21"/>
                      <w:u w:val="single"/>
                    </w:rPr>
                  </w:pPr>
                  <w:r>
                    <w:rPr>
                      <w:rFonts w:hint="eastAsia" w:cs="Times New Roman"/>
                      <w:i/>
                      <w:iCs/>
                      <w:kern w:val="0"/>
                      <w:sz w:val="21"/>
                      <w:szCs w:val="21"/>
                      <w:u w:val="single"/>
                    </w:rPr>
                    <w:t>1.2</w:t>
                  </w:r>
                </w:p>
              </w:tc>
              <w:tc>
                <w:tcPr>
                  <w:tcW w:w="1066" w:type="dxa"/>
                  <w:vAlign w:val="center"/>
                </w:tcPr>
                <w:p w14:paraId="2CC15B43">
                  <w:pPr>
                    <w:jc w:val="center"/>
                    <w:rPr>
                      <w:rFonts w:cs="Times New Roman"/>
                      <w:i/>
                      <w:iCs/>
                      <w:kern w:val="0"/>
                      <w:sz w:val="21"/>
                      <w:szCs w:val="21"/>
                      <w:u w:val="single"/>
                    </w:rPr>
                  </w:pPr>
                  <w:r>
                    <w:rPr>
                      <w:rFonts w:hint="eastAsia" w:cs="Times New Roman"/>
                      <w:i/>
                      <w:iCs/>
                      <w:kern w:val="0"/>
                      <w:sz w:val="21"/>
                      <w:szCs w:val="21"/>
                      <w:u w:val="single"/>
                    </w:rPr>
                    <w:t>0.14</w:t>
                  </w:r>
                </w:p>
              </w:tc>
            </w:tr>
            <w:tr w14:paraId="549D7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6CFDD49D">
                  <w:pPr>
                    <w:jc w:val="center"/>
                    <w:rPr>
                      <w:rFonts w:cs="Times New Roman"/>
                      <w:i/>
                      <w:iCs/>
                      <w:kern w:val="0"/>
                      <w:sz w:val="21"/>
                      <w:szCs w:val="21"/>
                      <w:u w:val="single"/>
                    </w:rPr>
                  </w:pPr>
                </w:p>
              </w:tc>
              <w:tc>
                <w:tcPr>
                  <w:tcW w:w="649" w:type="dxa"/>
                  <w:vMerge w:val="continue"/>
                  <w:vAlign w:val="center"/>
                </w:tcPr>
                <w:p w14:paraId="60D28F48">
                  <w:pPr>
                    <w:jc w:val="center"/>
                    <w:rPr>
                      <w:rFonts w:cs="Times New Roman"/>
                      <w:i/>
                      <w:iCs/>
                      <w:kern w:val="0"/>
                      <w:sz w:val="21"/>
                      <w:szCs w:val="21"/>
                      <w:u w:val="single"/>
                    </w:rPr>
                  </w:pPr>
                </w:p>
              </w:tc>
              <w:tc>
                <w:tcPr>
                  <w:tcW w:w="1134" w:type="dxa"/>
                  <w:vMerge w:val="continue"/>
                  <w:vAlign w:val="center"/>
                </w:tcPr>
                <w:p w14:paraId="08CFADED">
                  <w:pPr>
                    <w:jc w:val="center"/>
                    <w:rPr>
                      <w:rFonts w:cs="Times New Roman"/>
                      <w:i/>
                      <w:iCs/>
                      <w:kern w:val="0"/>
                      <w:sz w:val="21"/>
                      <w:szCs w:val="21"/>
                      <w:u w:val="single"/>
                    </w:rPr>
                  </w:pPr>
                </w:p>
              </w:tc>
              <w:tc>
                <w:tcPr>
                  <w:tcW w:w="1068" w:type="dxa"/>
                  <w:vAlign w:val="center"/>
                </w:tcPr>
                <w:p w14:paraId="22501EBD">
                  <w:pPr>
                    <w:jc w:val="center"/>
                    <w:rPr>
                      <w:rFonts w:cs="Times New Roman"/>
                      <w:i/>
                      <w:iCs/>
                      <w:kern w:val="0"/>
                      <w:sz w:val="21"/>
                      <w:szCs w:val="21"/>
                      <w:u w:val="single"/>
                    </w:rPr>
                  </w:pPr>
                  <w:r>
                    <w:rPr>
                      <w:rFonts w:hint="eastAsia" w:cs="Times New Roman"/>
                      <w:i/>
                      <w:iCs/>
                      <w:kern w:val="0"/>
                      <w:sz w:val="21"/>
                      <w:szCs w:val="21"/>
                      <w:u w:val="single"/>
                    </w:rPr>
                    <w:t>2000≤P＜3700</w:t>
                  </w:r>
                </w:p>
              </w:tc>
              <w:tc>
                <w:tcPr>
                  <w:tcW w:w="1066" w:type="dxa"/>
                  <w:vAlign w:val="center"/>
                </w:tcPr>
                <w:p w14:paraId="76B7F0A1">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099744A1">
                  <w:pPr>
                    <w:jc w:val="center"/>
                    <w:rPr>
                      <w:rFonts w:cs="Times New Roman"/>
                      <w:i/>
                      <w:iCs/>
                      <w:kern w:val="0"/>
                      <w:sz w:val="21"/>
                      <w:szCs w:val="21"/>
                      <w:u w:val="single"/>
                    </w:rPr>
                  </w:pPr>
                  <w:r>
                    <w:rPr>
                      <w:rFonts w:hint="eastAsia" w:cs="Times New Roman"/>
                      <w:i/>
                      <w:iCs/>
                      <w:kern w:val="0"/>
                      <w:sz w:val="21"/>
                      <w:szCs w:val="21"/>
                      <w:u w:val="single"/>
                    </w:rPr>
                    <w:t>7.8</w:t>
                  </w:r>
                </w:p>
              </w:tc>
              <w:tc>
                <w:tcPr>
                  <w:tcW w:w="1066" w:type="dxa"/>
                  <w:vAlign w:val="center"/>
                </w:tcPr>
                <w:p w14:paraId="0B309CF3">
                  <w:pPr>
                    <w:jc w:val="center"/>
                    <w:rPr>
                      <w:rFonts w:cs="Times New Roman"/>
                      <w:i/>
                      <w:iCs/>
                      <w:kern w:val="0"/>
                      <w:sz w:val="21"/>
                      <w:szCs w:val="21"/>
                      <w:u w:val="single"/>
                    </w:rPr>
                  </w:pPr>
                  <w:r>
                    <w:rPr>
                      <w:rFonts w:hint="eastAsia" w:cs="Times New Roman"/>
                      <w:i/>
                      <w:iCs/>
                      <w:kern w:val="0"/>
                      <w:sz w:val="21"/>
                      <w:szCs w:val="21"/>
                      <w:u w:val="single"/>
                    </w:rPr>
                    <w:t>1.5</w:t>
                  </w:r>
                </w:p>
              </w:tc>
              <w:tc>
                <w:tcPr>
                  <w:tcW w:w="1066" w:type="dxa"/>
                  <w:vAlign w:val="center"/>
                </w:tcPr>
                <w:p w14:paraId="6301BC30">
                  <w:pPr>
                    <w:jc w:val="center"/>
                    <w:rPr>
                      <w:rFonts w:cs="Times New Roman"/>
                      <w:i/>
                      <w:iCs/>
                      <w:kern w:val="0"/>
                      <w:sz w:val="21"/>
                      <w:szCs w:val="21"/>
                      <w:u w:val="single"/>
                    </w:rPr>
                  </w:pPr>
                  <w:r>
                    <w:rPr>
                      <w:rFonts w:hint="eastAsia" w:cs="Times New Roman"/>
                      <w:i/>
                      <w:iCs/>
                      <w:kern w:val="0"/>
                      <w:sz w:val="21"/>
                      <w:szCs w:val="21"/>
                      <w:u w:val="single"/>
                    </w:rPr>
                    <w:t>0.14</w:t>
                  </w:r>
                </w:p>
              </w:tc>
            </w:tr>
            <w:tr w14:paraId="392B7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352B4FF6">
                  <w:pPr>
                    <w:jc w:val="center"/>
                    <w:rPr>
                      <w:rFonts w:cs="Times New Roman"/>
                      <w:i/>
                      <w:iCs/>
                      <w:kern w:val="0"/>
                      <w:sz w:val="21"/>
                      <w:szCs w:val="21"/>
                      <w:u w:val="single"/>
                    </w:rPr>
                  </w:pPr>
                </w:p>
              </w:tc>
              <w:tc>
                <w:tcPr>
                  <w:tcW w:w="649" w:type="dxa"/>
                  <w:vMerge w:val="continue"/>
                  <w:vAlign w:val="center"/>
                </w:tcPr>
                <w:p w14:paraId="59A760B0">
                  <w:pPr>
                    <w:jc w:val="center"/>
                    <w:rPr>
                      <w:rFonts w:cs="Times New Roman"/>
                      <w:i/>
                      <w:iCs/>
                      <w:kern w:val="0"/>
                      <w:sz w:val="21"/>
                      <w:szCs w:val="21"/>
                      <w:u w:val="single"/>
                    </w:rPr>
                  </w:pPr>
                </w:p>
              </w:tc>
              <w:tc>
                <w:tcPr>
                  <w:tcW w:w="1134" w:type="dxa"/>
                  <w:vMerge w:val="continue"/>
                  <w:vAlign w:val="center"/>
                </w:tcPr>
                <w:p w14:paraId="0535355B">
                  <w:pPr>
                    <w:jc w:val="center"/>
                    <w:rPr>
                      <w:rFonts w:cs="Times New Roman"/>
                      <w:i/>
                      <w:iCs/>
                      <w:kern w:val="0"/>
                      <w:sz w:val="21"/>
                      <w:szCs w:val="21"/>
                      <w:u w:val="single"/>
                    </w:rPr>
                  </w:pPr>
                </w:p>
              </w:tc>
              <w:tc>
                <w:tcPr>
                  <w:tcW w:w="1068" w:type="dxa"/>
                  <w:vAlign w:val="center"/>
                </w:tcPr>
                <w:p w14:paraId="654C895F">
                  <w:pPr>
                    <w:jc w:val="center"/>
                    <w:rPr>
                      <w:rFonts w:cs="Times New Roman"/>
                      <w:i/>
                      <w:iCs/>
                      <w:kern w:val="0"/>
                      <w:sz w:val="21"/>
                      <w:szCs w:val="21"/>
                      <w:u w:val="single"/>
                    </w:rPr>
                  </w:pPr>
                  <w:r>
                    <w:rPr>
                      <w:rFonts w:hint="eastAsia" w:cs="Times New Roman"/>
                      <w:i/>
                      <w:iCs/>
                      <w:kern w:val="0"/>
                      <w:sz w:val="21"/>
                      <w:szCs w:val="21"/>
                      <w:u w:val="single"/>
                    </w:rPr>
                    <w:t>P≥3700</w:t>
                  </w:r>
                </w:p>
              </w:tc>
              <w:tc>
                <w:tcPr>
                  <w:tcW w:w="1066" w:type="dxa"/>
                  <w:vAlign w:val="center"/>
                </w:tcPr>
                <w:p w14:paraId="443EECE2">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3D127F1B">
                  <w:pPr>
                    <w:jc w:val="center"/>
                    <w:rPr>
                      <w:rFonts w:cs="Times New Roman"/>
                      <w:i/>
                      <w:iCs/>
                      <w:kern w:val="0"/>
                      <w:sz w:val="21"/>
                      <w:szCs w:val="21"/>
                      <w:u w:val="single"/>
                    </w:rPr>
                  </w:pPr>
                  <w:r>
                    <w:rPr>
                      <w:rFonts w:hint="eastAsia" w:cs="Times New Roman"/>
                      <w:i/>
                      <w:iCs/>
                      <w:kern w:val="0"/>
                      <w:sz w:val="21"/>
                      <w:szCs w:val="21"/>
                      <w:u w:val="single"/>
                    </w:rPr>
                    <w:t>7.8</w:t>
                  </w:r>
                </w:p>
              </w:tc>
              <w:tc>
                <w:tcPr>
                  <w:tcW w:w="1066" w:type="dxa"/>
                  <w:vAlign w:val="center"/>
                </w:tcPr>
                <w:p w14:paraId="09A302F5">
                  <w:pPr>
                    <w:jc w:val="center"/>
                    <w:rPr>
                      <w:rFonts w:cs="Times New Roman"/>
                      <w:i/>
                      <w:iCs/>
                      <w:kern w:val="0"/>
                      <w:sz w:val="21"/>
                      <w:szCs w:val="21"/>
                      <w:u w:val="single"/>
                    </w:rPr>
                  </w:pPr>
                  <w:r>
                    <w:rPr>
                      <w:rFonts w:hint="eastAsia" w:cs="Times New Roman"/>
                      <w:i/>
                      <w:iCs/>
                      <w:kern w:val="0"/>
                      <w:sz w:val="21"/>
                      <w:szCs w:val="21"/>
                      <w:u w:val="single"/>
                    </w:rPr>
                    <w:t>1.5</w:t>
                  </w:r>
                </w:p>
              </w:tc>
              <w:tc>
                <w:tcPr>
                  <w:tcW w:w="1066" w:type="dxa"/>
                  <w:vAlign w:val="center"/>
                </w:tcPr>
                <w:p w14:paraId="4DB523CE">
                  <w:pPr>
                    <w:jc w:val="center"/>
                    <w:rPr>
                      <w:rFonts w:cs="Times New Roman"/>
                      <w:i/>
                      <w:iCs/>
                      <w:kern w:val="0"/>
                      <w:sz w:val="21"/>
                      <w:szCs w:val="21"/>
                      <w:u w:val="single"/>
                    </w:rPr>
                  </w:pPr>
                  <w:r>
                    <w:rPr>
                      <w:rFonts w:hint="eastAsia" w:cs="Times New Roman"/>
                      <w:i/>
                      <w:iCs/>
                      <w:kern w:val="0"/>
                      <w:sz w:val="21"/>
                      <w:szCs w:val="21"/>
                      <w:u w:val="single"/>
                    </w:rPr>
                    <w:t>0.27</w:t>
                  </w:r>
                </w:p>
              </w:tc>
            </w:tr>
            <w:tr w14:paraId="14F26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62CFA0F8">
                  <w:pPr>
                    <w:jc w:val="center"/>
                    <w:rPr>
                      <w:rFonts w:cs="Times New Roman"/>
                      <w:i/>
                      <w:iCs/>
                      <w:kern w:val="0"/>
                      <w:sz w:val="21"/>
                      <w:szCs w:val="21"/>
                      <w:u w:val="single"/>
                    </w:rPr>
                  </w:pPr>
                </w:p>
              </w:tc>
              <w:tc>
                <w:tcPr>
                  <w:tcW w:w="649" w:type="dxa"/>
                  <w:vMerge w:val="continue"/>
                  <w:vAlign w:val="center"/>
                </w:tcPr>
                <w:p w14:paraId="525F420E">
                  <w:pPr>
                    <w:jc w:val="center"/>
                    <w:rPr>
                      <w:rFonts w:cs="Times New Roman"/>
                      <w:i/>
                      <w:iCs/>
                      <w:kern w:val="0"/>
                      <w:sz w:val="21"/>
                      <w:szCs w:val="21"/>
                      <w:u w:val="single"/>
                    </w:rPr>
                  </w:pPr>
                </w:p>
              </w:tc>
              <w:tc>
                <w:tcPr>
                  <w:tcW w:w="1134" w:type="dxa"/>
                  <w:vMerge w:val="restart"/>
                  <w:vAlign w:val="center"/>
                </w:tcPr>
                <w:p w14:paraId="2B75E582">
                  <w:pPr>
                    <w:jc w:val="center"/>
                    <w:rPr>
                      <w:rFonts w:cs="Times New Roman"/>
                      <w:i/>
                      <w:iCs/>
                      <w:kern w:val="0"/>
                      <w:sz w:val="21"/>
                      <w:szCs w:val="21"/>
                      <w:u w:val="single"/>
                    </w:rPr>
                  </w:pPr>
                  <w:r>
                    <w:rPr>
                      <w:rFonts w:hint="eastAsia" w:cs="Times New Roman"/>
                      <w:i/>
                      <w:iCs/>
                      <w:kern w:val="0"/>
                      <w:sz w:val="21"/>
                      <w:szCs w:val="21"/>
                      <w:u w:val="single"/>
                    </w:rPr>
                    <w:t>15≤SV＜20</w:t>
                  </w:r>
                </w:p>
              </w:tc>
              <w:tc>
                <w:tcPr>
                  <w:tcW w:w="1068" w:type="dxa"/>
                  <w:vAlign w:val="center"/>
                </w:tcPr>
                <w:p w14:paraId="64F27E92">
                  <w:pPr>
                    <w:jc w:val="center"/>
                    <w:rPr>
                      <w:rFonts w:cs="Times New Roman"/>
                      <w:i/>
                      <w:iCs/>
                      <w:kern w:val="0"/>
                      <w:sz w:val="21"/>
                      <w:szCs w:val="21"/>
                      <w:u w:val="single"/>
                    </w:rPr>
                  </w:pPr>
                  <w:r>
                    <w:rPr>
                      <w:rFonts w:hint="eastAsia" w:cs="Times New Roman"/>
                      <w:i/>
                      <w:iCs/>
                      <w:kern w:val="0"/>
                      <w:sz w:val="21"/>
                      <w:szCs w:val="21"/>
                      <w:u w:val="single"/>
                    </w:rPr>
                    <w:t>P＜2000</w:t>
                  </w:r>
                </w:p>
              </w:tc>
              <w:tc>
                <w:tcPr>
                  <w:tcW w:w="1066" w:type="dxa"/>
                  <w:vAlign w:val="center"/>
                </w:tcPr>
                <w:p w14:paraId="45EE98C8">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6D680027">
                  <w:pPr>
                    <w:jc w:val="center"/>
                    <w:rPr>
                      <w:rFonts w:cs="Times New Roman"/>
                      <w:i/>
                      <w:iCs/>
                      <w:kern w:val="0"/>
                      <w:sz w:val="21"/>
                      <w:szCs w:val="21"/>
                      <w:u w:val="single"/>
                    </w:rPr>
                  </w:pPr>
                  <w:r>
                    <w:rPr>
                      <w:rFonts w:hint="eastAsia" w:cs="Times New Roman"/>
                      <w:i/>
                      <w:iCs/>
                      <w:kern w:val="0"/>
                      <w:sz w:val="21"/>
                      <w:szCs w:val="21"/>
                      <w:u w:val="single"/>
                    </w:rPr>
                    <w:t>7.0</w:t>
                  </w:r>
                </w:p>
              </w:tc>
              <w:tc>
                <w:tcPr>
                  <w:tcW w:w="1066" w:type="dxa"/>
                  <w:vAlign w:val="center"/>
                </w:tcPr>
                <w:p w14:paraId="49DACDA8">
                  <w:pPr>
                    <w:jc w:val="center"/>
                    <w:rPr>
                      <w:rFonts w:cs="Times New Roman"/>
                      <w:i/>
                      <w:iCs/>
                      <w:kern w:val="0"/>
                      <w:sz w:val="21"/>
                      <w:szCs w:val="21"/>
                      <w:u w:val="single"/>
                    </w:rPr>
                  </w:pPr>
                  <w:r>
                    <w:rPr>
                      <w:rFonts w:hint="eastAsia" w:cs="Times New Roman"/>
                      <w:i/>
                      <w:iCs/>
                      <w:kern w:val="0"/>
                      <w:sz w:val="21"/>
                      <w:szCs w:val="21"/>
                      <w:u w:val="single"/>
                    </w:rPr>
                    <w:t>1.5</w:t>
                  </w:r>
                </w:p>
              </w:tc>
              <w:tc>
                <w:tcPr>
                  <w:tcW w:w="1066" w:type="dxa"/>
                  <w:vAlign w:val="center"/>
                </w:tcPr>
                <w:p w14:paraId="6A1078AD">
                  <w:pPr>
                    <w:jc w:val="center"/>
                    <w:rPr>
                      <w:rFonts w:cs="Times New Roman"/>
                      <w:i/>
                      <w:iCs/>
                      <w:kern w:val="0"/>
                      <w:sz w:val="21"/>
                      <w:szCs w:val="21"/>
                      <w:u w:val="single"/>
                    </w:rPr>
                  </w:pPr>
                  <w:r>
                    <w:rPr>
                      <w:rFonts w:hint="eastAsia" w:cs="Times New Roman"/>
                      <w:i/>
                      <w:iCs/>
                      <w:kern w:val="0"/>
                      <w:sz w:val="21"/>
                      <w:szCs w:val="21"/>
                      <w:u w:val="single"/>
                    </w:rPr>
                    <w:t>0.34</w:t>
                  </w:r>
                </w:p>
              </w:tc>
            </w:tr>
            <w:tr w14:paraId="7D167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147A8FD8">
                  <w:pPr>
                    <w:jc w:val="center"/>
                    <w:rPr>
                      <w:rFonts w:cs="Times New Roman"/>
                      <w:i/>
                      <w:iCs/>
                      <w:kern w:val="0"/>
                      <w:sz w:val="21"/>
                      <w:szCs w:val="21"/>
                      <w:u w:val="single"/>
                    </w:rPr>
                  </w:pPr>
                </w:p>
              </w:tc>
              <w:tc>
                <w:tcPr>
                  <w:tcW w:w="649" w:type="dxa"/>
                  <w:vMerge w:val="continue"/>
                  <w:vAlign w:val="center"/>
                </w:tcPr>
                <w:p w14:paraId="3CED10A2">
                  <w:pPr>
                    <w:jc w:val="center"/>
                    <w:rPr>
                      <w:rFonts w:cs="Times New Roman"/>
                      <w:i/>
                      <w:iCs/>
                      <w:kern w:val="0"/>
                      <w:sz w:val="21"/>
                      <w:szCs w:val="21"/>
                      <w:u w:val="single"/>
                    </w:rPr>
                  </w:pPr>
                </w:p>
              </w:tc>
              <w:tc>
                <w:tcPr>
                  <w:tcW w:w="1134" w:type="dxa"/>
                  <w:vMerge w:val="continue"/>
                  <w:vAlign w:val="center"/>
                </w:tcPr>
                <w:p w14:paraId="6DA3F569">
                  <w:pPr>
                    <w:jc w:val="center"/>
                    <w:rPr>
                      <w:rFonts w:cs="Times New Roman"/>
                      <w:i/>
                      <w:iCs/>
                      <w:kern w:val="0"/>
                      <w:sz w:val="21"/>
                      <w:szCs w:val="21"/>
                      <w:u w:val="single"/>
                    </w:rPr>
                  </w:pPr>
                </w:p>
              </w:tc>
              <w:tc>
                <w:tcPr>
                  <w:tcW w:w="1068" w:type="dxa"/>
                  <w:vAlign w:val="center"/>
                </w:tcPr>
                <w:p w14:paraId="460A9FD3">
                  <w:pPr>
                    <w:jc w:val="center"/>
                    <w:rPr>
                      <w:rFonts w:cs="Times New Roman"/>
                      <w:i/>
                      <w:iCs/>
                      <w:kern w:val="0"/>
                      <w:sz w:val="21"/>
                      <w:szCs w:val="21"/>
                      <w:u w:val="single"/>
                    </w:rPr>
                  </w:pPr>
                  <w:r>
                    <w:rPr>
                      <w:rFonts w:hint="eastAsia" w:cs="Times New Roman"/>
                      <w:i/>
                      <w:iCs/>
                      <w:kern w:val="0"/>
                      <w:sz w:val="21"/>
                      <w:szCs w:val="21"/>
                      <w:u w:val="single"/>
                    </w:rPr>
                    <w:t>2000≤P＜3300</w:t>
                  </w:r>
                </w:p>
              </w:tc>
              <w:tc>
                <w:tcPr>
                  <w:tcW w:w="1066" w:type="dxa"/>
                  <w:vAlign w:val="center"/>
                </w:tcPr>
                <w:p w14:paraId="20A24409">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0C18D3B5">
                  <w:pPr>
                    <w:jc w:val="center"/>
                    <w:rPr>
                      <w:rFonts w:cs="Times New Roman"/>
                      <w:i/>
                      <w:iCs/>
                      <w:kern w:val="0"/>
                      <w:sz w:val="21"/>
                      <w:szCs w:val="21"/>
                      <w:u w:val="single"/>
                    </w:rPr>
                  </w:pPr>
                  <w:r>
                    <w:rPr>
                      <w:rFonts w:hint="eastAsia" w:cs="Times New Roman"/>
                      <w:i/>
                      <w:iCs/>
                      <w:kern w:val="0"/>
                      <w:sz w:val="21"/>
                      <w:szCs w:val="21"/>
                      <w:u w:val="single"/>
                    </w:rPr>
                    <w:t>8.7</w:t>
                  </w:r>
                </w:p>
              </w:tc>
              <w:tc>
                <w:tcPr>
                  <w:tcW w:w="1066" w:type="dxa"/>
                  <w:vAlign w:val="center"/>
                </w:tcPr>
                <w:p w14:paraId="2F7E7057">
                  <w:pPr>
                    <w:jc w:val="center"/>
                    <w:rPr>
                      <w:rFonts w:cs="Times New Roman"/>
                      <w:i/>
                      <w:iCs/>
                      <w:kern w:val="0"/>
                      <w:sz w:val="21"/>
                      <w:szCs w:val="21"/>
                      <w:u w:val="single"/>
                    </w:rPr>
                  </w:pPr>
                  <w:r>
                    <w:rPr>
                      <w:rFonts w:hint="eastAsia" w:cs="Times New Roman"/>
                      <w:i/>
                      <w:iCs/>
                      <w:kern w:val="0"/>
                      <w:sz w:val="21"/>
                      <w:szCs w:val="21"/>
                      <w:u w:val="single"/>
                    </w:rPr>
                    <w:t>1.6</w:t>
                  </w:r>
                </w:p>
              </w:tc>
              <w:tc>
                <w:tcPr>
                  <w:tcW w:w="1066" w:type="dxa"/>
                  <w:vAlign w:val="center"/>
                </w:tcPr>
                <w:p w14:paraId="20A88C2E">
                  <w:pPr>
                    <w:jc w:val="center"/>
                    <w:rPr>
                      <w:rFonts w:cs="Times New Roman"/>
                      <w:i/>
                      <w:iCs/>
                      <w:kern w:val="0"/>
                      <w:sz w:val="21"/>
                      <w:szCs w:val="21"/>
                      <w:u w:val="single"/>
                    </w:rPr>
                  </w:pPr>
                  <w:r>
                    <w:rPr>
                      <w:rFonts w:hint="eastAsia" w:cs="Times New Roman"/>
                      <w:i/>
                      <w:iCs/>
                      <w:kern w:val="0"/>
                      <w:sz w:val="21"/>
                      <w:szCs w:val="21"/>
                      <w:u w:val="single"/>
                    </w:rPr>
                    <w:t>0.50</w:t>
                  </w:r>
                </w:p>
              </w:tc>
            </w:tr>
            <w:tr w14:paraId="275CE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7B991884">
                  <w:pPr>
                    <w:jc w:val="center"/>
                    <w:rPr>
                      <w:rFonts w:cs="Times New Roman"/>
                      <w:i/>
                      <w:iCs/>
                      <w:kern w:val="0"/>
                      <w:sz w:val="21"/>
                      <w:szCs w:val="21"/>
                      <w:u w:val="single"/>
                    </w:rPr>
                  </w:pPr>
                </w:p>
              </w:tc>
              <w:tc>
                <w:tcPr>
                  <w:tcW w:w="649" w:type="dxa"/>
                  <w:vMerge w:val="continue"/>
                  <w:vAlign w:val="center"/>
                </w:tcPr>
                <w:p w14:paraId="3B4E6BC7">
                  <w:pPr>
                    <w:jc w:val="center"/>
                    <w:rPr>
                      <w:rFonts w:cs="Times New Roman"/>
                      <w:i/>
                      <w:iCs/>
                      <w:kern w:val="0"/>
                      <w:sz w:val="21"/>
                      <w:szCs w:val="21"/>
                      <w:u w:val="single"/>
                    </w:rPr>
                  </w:pPr>
                </w:p>
              </w:tc>
              <w:tc>
                <w:tcPr>
                  <w:tcW w:w="1134" w:type="dxa"/>
                  <w:vMerge w:val="continue"/>
                  <w:vAlign w:val="center"/>
                </w:tcPr>
                <w:p w14:paraId="4A897374">
                  <w:pPr>
                    <w:jc w:val="center"/>
                    <w:rPr>
                      <w:rFonts w:cs="Times New Roman"/>
                      <w:i/>
                      <w:iCs/>
                      <w:kern w:val="0"/>
                      <w:sz w:val="21"/>
                      <w:szCs w:val="21"/>
                      <w:u w:val="single"/>
                    </w:rPr>
                  </w:pPr>
                </w:p>
              </w:tc>
              <w:tc>
                <w:tcPr>
                  <w:tcW w:w="1068" w:type="dxa"/>
                  <w:vAlign w:val="center"/>
                </w:tcPr>
                <w:p w14:paraId="161F11E5">
                  <w:pPr>
                    <w:jc w:val="center"/>
                    <w:rPr>
                      <w:rFonts w:cs="Times New Roman"/>
                      <w:i/>
                      <w:iCs/>
                      <w:kern w:val="0"/>
                      <w:sz w:val="21"/>
                      <w:szCs w:val="21"/>
                      <w:u w:val="single"/>
                    </w:rPr>
                  </w:pPr>
                  <w:r>
                    <w:rPr>
                      <w:rFonts w:hint="eastAsia" w:cs="Times New Roman"/>
                      <w:i/>
                      <w:iCs/>
                      <w:kern w:val="0"/>
                      <w:sz w:val="21"/>
                      <w:szCs w:val="21"/>
                      <w:u w:val="single"/>
                    </w:rPr>
                    <w:t>P≥3300</w:t>
                  </w:r>
                </w:p>
              </w:tc>
              <w:tc>
                <w:tcPr>
                  <w:tcW w:w="1066" w:type="dxa"/>
                  <w:vAlign w:val="center"/>
                </w:tcPr>
                <w:p w14:paraId="40FE2F1F">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72628330">
                  <w:pPr>
                    <w:jc w:val="center"/>
                    <w:rPr>
                      <w:rFonts w:cs="Times New Roman"/>
                      <w:i/>
                      <w:iCs/>
                      <w:kern w:val="0"/>
                      <w:sz w:val="21"/>
                      <w:szCs w:val="21"/>
                      <w:u w:val="single"/>
                    </w:rPr>
                  </w:pPr>
                  <w:r>
                    <w:rPr>
                      <w:rFonts w:hint="eastAsia" w:cs="Times New Roman"/>
                      <w:i/>
                      <w:iCs/>
                      <w:kern w:val="0"/>
                      <w:sz w:val="21"/>
                      <w:szCs w:val="21"/>
                      <w:u w:val="single"/>
                    </w:rPr>
                    <w:t>9.8</w:t>
                  </w:r>
                </w:p>
              </w:tc>
              <w:tc>
                <w:tcPr>
                  <w:tcW w:w="1066" w:type="dxa"/>
                  <w:vAlign w:val="center"/>
                </w:tcPr>
                <w:p w14:paraId="484FBADA">
                  <w:pPr>
                    <w:jc w:val="center"/>
                    <w:rPr>
                      <w:rFonts w:cs="Times New Roman"/>
                      <w:i/>
                      <w:iCs/>
                      <w:kern w:val="0"/>
                      <w:sz w:val="21"/>
                      <w:szCs w:val="21"/>
                      <w:u w:val="single"/>
                    </w:rPr>
                  </w:pPr>
                  <w:r>
                    <w:rPr>
                      <w:rFonts w:hint="eastAsia" w:cs="Times New Roman"/>
                      <w:i/>
                      <w:iCs/>
                      <w:kern w:val="0"/>
                      <w:sz w:val="21"/>
                      <w:szCs w:val="21"/>
                      <w:u w:val="single"/>
                    </w:rPr>
                    <w:t>1.8</w:t>
                  </w:r>
                </w:p>
              </w:tc>
              <w:tc>
                <w:tcPr>
                  <w:tcW w:w="1066" w:type="dxa"/>
                  <w:vAlign w:val="center"/>
                </w:tcPr>
                <w:p w14:paraId="35C0251F">
                  <w:pPr>
                    <w:jc w:val="center"/>
                    <w:rPr>
                      <w:rFonts w:cs="Times New Roman"/>
                      <w:i/>
                      <w:iCs/>
                      <w:kern w:val="0"/>
                      <w:sz w:val="21"/>
                      <w:szCs w:val="21"/>
                      <w:u w:val="single"/>
                    </w:rPr>
                  </w:pPr>
                  <w:r>
                    <w:rPr>
                      <w:rFonts w:hint="eastAsia" w:cs="Times New Roman"/>
                      <w:i/>
                      <w:iCs/>
                      <w:kern w:val="0"/>
                      <w:sz w:val="21"/>
                      <w:szCs w:val="21"/>
                      <w:u w:val="single"/>
                    </w:rPr>
                    <w:t>0.50</w:t>
                  </w:r>
                </w:p>
              </w:tc>
            </w:tr>
            <w:tr w14:paraId="6BC3F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75E61532">
                  <w:pPr>
                    <w:jc w:val="center"/>
                    <w:rPr>
                      <w:rFonts w:cs="Times New Roman"/>
                      <w:i/>
                      <w:iCs/>
                      <w:kern w:val="0"/>
                      <w:sz w:val="21"/>
                      <w:szCs w:val="21"/>
                      <w:u w:val="single"/>
                    </w:rPr>
                  </w:pPr>
                </w:p>
              </w:tc>
              <w:tc>
                <w:tcPr>
                  <w:tcW w:w="649" w:type="dxa"/>
                  <w:vMerge w:val="continue"/>
                  <w:vAlign w:val="center"/>
                </w:tcPr>
                <w:p w14:paraId="16C808D1">
                  <w:pPr>
                    <w:jc w:val="center"/>
                    <w:rPr>
                      <w:rFonts w:cs="Times New Roman"/>
                      <w:i/>
                      <w:iCs/>
                      <w:kern w:val="0"/>
                      <w:sz w:val="21"/>
                      <w:szCs w:val="21"/>
                      <w:u w:val="single"/>
                    </w:rPr>
                  </w:pPr>
                </w:p>
              </w:tc>
              <w:tc>
                <w:tcPr>
                  <w:tcW w:w="1134" w:type="dxa"/>
                  <w:vMerge w:val="restart"/>
                  <w:vAlign w:val="center"/>
                </w:tcPr>
                <w:p w14:paraId="1306F1E6">
                  <w:pPr>
                    <w:jc w:val="center"/>
                    <w:rPr>
                      <w:rFonts w:cs="Times New Roman"/>
                      <w:i/>
                      <w:iCs/>
                      <w:kern w:val="0"/>
                      <w:sz w:val="21"/>
                      <w:szCs w:val="21"/>
                      <w:u w:val="single"/>
                    </w:rPr>
                  </w:pPr>
                  <w:r>
                    <w:rPr>
                      <w:rFonts w:hint="eastAsia" w:cs="Times New Roman"/>
                      <w:i/>
                      <w:iCs/>
                      <w:kern w:val="0"/>
                      <w:sz w:val="21"/>
                      <w:szCs w:val="21"/>
                      <w:u w:val="single"/>
                    </w:rPr>
                    <w:t>20≤SV＜25</w:t>
                  </w:r>
                </w:p>
              </w:tc>
              <w:tc>
                <w:tcPr>
                  <w:tcW w:w="1068" w:type="dxa"/>
                  <w:vAlign w:val="center"/>
                </w:tcPr>
                <w:p w14:paraId="0C7AD255">
                  <w:pPr>
                    <w:jc w:val="center"/>
                    <w:rPr>
                      <w:rFonts w:cs="Times New Roman"/>
                      <w:i/>
                      <w:iCs/>
                      <w:kern w:val="0"/>
                      <w:sz w:val="21"/>
                      <w:szCs w:val="21"/>
                      <w:u w:val="single"/>
                    </w:rPr>
                  </w:pPr>
                  <w:r>
                    <w:rPr>
                      <w:rFonts w:hint="eastAsia" w:cs="Times New Roman"/>
                      <w:i/>
                      <w:iCs/>
                      <w:kern w:val="0"/>
                      <w:sz w:val="21"/>
                      <w:szCs w:val="21"/>
                      <w:u w:val="single"/>
                    </w:rPr>
                    <w:t>P＜2000</w:t>
                  </w:r>
                </w:p>
              </w:tc>
              <w:tc>
                <w:tcPr>
                  <w:tcW w:w="1066" w:type="dxa"/>
                  <w:vAlign w:val="center"/>
                </w:tcPr>
                <w:p w14:paraId="5EE3CF2F">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649022C7">
                  <w:pPr>
                    <w:jc w:val="center"/>
                    <w:rPr>
                      <w:rFonts w:cs="Times New Roman"/>
                      <w:i/>
                      <w:iCs/>
                      <w:kern w:val="0"/>
                      <w:sz w:val="21"/>
                      <w:szCs w:val="21"/>
                      <w:u w:val="single"/>
                    </w:rPr>
                  </w:pPr>
                  <w:r>
                    <w:rPr>
                      <w:rFonts w:hint="eastAsia" w:cs="Times New Roman"/>
                      <w:i/>
                      <w:iCs/>
                      <w:kern w:val="0"/>
                      <w:sz w:val="21"/>
                      <w:szCs w:val="21"/>
                      <w:u w:val="single"/>
                    </w:rPr>
                    <w:t>9.8</w:t>
                  </w:r>
                </w:p>
              </w:tc>
              <w:tc>
                <w:tcPr>
                  <w:tcW w:w="1066" w:type="dxa"/>
                  <w:vAlign w:val="center"/>
                </w:tcPr>
                <w:p w14:paraId="08930AEE">
                  <w:pPr>
                    <w:jc w:val="center"/>
                    <w:rPr>
                      <w:rFonts w:cs="Times New Roman"/>
                      <w:i/>
                      <w:iCs/>
                      <w:kern w:val="0"/>
                      <w:sz w:val="21"/>
                      <w:szCs w:val="21"/>
                      <w:u w:val="single"/>
                    </w:rPr>
                  </w:pPr>
                  <w:r>
                    <w:rPr>
                      <w:rFonts w:hint="eastAsia" w:cs="Times New Roman"/>
                      <w:i/>
                      <w:iCs/>
                      <w:kern w:val="0"/>
                      <w:sz w:val="21"/>
                      <w:szCs w:val="21"/>
                      <w:u w:val="single"/>
                    </w:rPr>
                    <w:t>1.8</w:t>
                  </w:r>
                </w:p>
              </w:tc>
              <w:tc>
                <w:tcPr>
                  <w:tcW w:w="1066" w:type="dxa"/>
                  <w:vAlign w:val="center"/>
                </w:tcPr>
                <w:p w14:paraId="0C170FC0">
                  <w:pPr>
                    <w:jc w:val="center"/>
                    <w:rPr>
                      <w:rFonts w:cs="Times New Roman"/>
                      <w:i/>
                      <w:iCs/>
                      <w:kern w:val="0"/>
                      <w:sz w:val="21"/>
                      <w:szCs w:val="21"/>
                      <w:u w:val="single"/>
                    </w:rPr>
                  </w:pPr>
                  <w:r>
                    <w:rPr>
                      <w:rFonts w:hint="eastAsia" w:cs="Times New Roman"/>
                      <w:i/>
                      <w:iCs/>
                      <w:kern w:val="0"/>
                      <w:sz w:val="21"/>
                      <w:szCs w:val="21"/>
                      <w:u w:val="single"/>
                    </w:rPr>
                    <w:t>0.27</w:t>
                  </w:r>
                </w:p>
              </w:tc>
            </w:tr>
            <w:tr w14:paraId="0091C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60F2D851">
                  <w:pPr>
                    <w:jc w:val="center"/>
                    <w:rPr>
                      <w:rFonts w:cs="Times New Roman"/>
                      <w:i/>
                      <w:iCs/>
                      <w:kern w:val="0"/>
                      <w:sz w:val="21"/>
                      <w:szCs w:val="21"/>
                      <w:u w:val="single"/>
                    </w:rPr>
                  </w:pPr>
                </w:p>
              </w:tc>
              <w:tc>
                <w:tcPr>
                  <w:tcW w:w="649" w:type="dxa"/>
                  <w:vMerge w:val="continue"/>
                  <w:vAlign w:val="center"/>
                </w:tcPr>
                <w:p w14:paraId="5F617843">
                  <w:pPr>
                    <w:jc w:val="center"/>
                    <w:rPr>
                      <w:rFonts w:cs="Times New Roman"/>
                      <w:i/>
                      <w:iCs/>
                      <w:kern w:val="0"/>
                      <w:sz w:val="21"/>
                      <w:szCs w:val="21"/>
                      <w:u w:val="single"/>
                    </w:rPr>
                  </w:pPr>
                </w:p>
              </w:tc>
              <w:tc>
                <w:tcPr>
                  <w:tcW w:w="1134" w:type="dxa"/>
                  <w:vMerge w:val="continue"/>
                  <w:vAlign w:val="center"/>
                </w:tcPr>
                <w:p w14:paraId="394F7E34">
                  <w:pPr>
                    <w:jc w:val="center"/>
                    <w:rPr>
                      <w:rFonts w:cs="Times New Roman"/>
                      <w:i/>
                      <w:iCs/>
                      <w:kern w:val="0"/>
                      <w:sz w:val="21"/>
                      <w:szCs w:val="21"/>
                      <w:u w:val="single"/>
                    </w:rPr>
                  </w:pPr>
                </w:p>
              </w:tc>
              <w:tc>
                <w:tcPr>
                  <w:tcW w:w="1068" w:type="dxa"/>
                  <w:vAlign w:val="center"/>
                </w:tcPr>
                <w:p w14:paraId="39A95EE4">
                  <w:pPr>
                    <w:jc w:val="center"/>
                    <w:rPr>
                      <w:rFonts w:cs="Times New Roman"/>
                      <w:i/>
                      <w:iCs/>
                      <w:kern w:val="0"/>
                      <w:sz w:val="21"/>
                      <w:szCs w:val="21"/>
                      <w:u w:val="single"/>
                    </w:rPr>
                  </w:pPr>
                  <w:r>
                    <w:rPr>
                      <w:rFonts w:hint="eastAsia" w:cs="Times New Roman"/>
                      <w:i/>
                      <w:iCs/>
                      <w:kern w:val="0"/>
                      <w:sz w:val="21"/>
                      <w:szCs w:val="21"/>
                      <w:u w:val="single"/>
                    </w:rPr>
                    <w:t>P≥2000</w:t>
                  </w:r>
                </w:p>
              </w:tc>
              <w:tc>
                <w:tcPr>
                  <w:tcW w:w="1066" w:type="dxa"/>
                  <w:vAlign w:val="center"/>
                </w:tcPr>
                <w:p w14:paraId="31AA2E0A">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68B50DF9">
                  <w:pPr>
                    <w:jc w:val="center"/>
                    <w:rPr>
                      <w:rFonts w:cs="Times New Roman"/>
                      <w:i/>
                      <w:iCs/>
                      <w:kern w:val="0"/>
                      <w:sz w:val="21"/>
                      <w:szCs w:val="21"/>
                      <w:u w:val="single"/>
                    </w:rPr>
                  </w:pPr>
                  <w:r>
                    <w:rPr>
                      <w:rFonts w:hint="eastAsia" w:cs="Times New Roman"/>
                      <w:i/>
                      <w:iCs/>
                      <w:kern w:val="0"/>
                      <w:sz w:val="21"/>
                      <w:szCs w:val="21"/>
                      <w:u w:val="single"/>
                    </w:rPr>
                    <w:t>9.8</w:t>
                  </w:r>
                </w:p>
              </w:tc>
              <w:tc>
                <w:tcPr>
                  <w:tcW w:w="1066" w:type="dxa"/>
                  <w:vAlign w:val="center"/>
                </w:tcPr>
                <w:p w14:paraId="04E5E938">
                  <w:pPr>
                    <w:jc w:val="center"/>
                    <w:rPr>
                      <w:rFonts w:cs="Times New Roman"/>
                      <w:i/>
                      <w:iCs/>
                      <w:kern w:val="0"/>
                      <w:sz w:val="21"/>
                      <w:szCs w:val="21"/>
                      <w:u w:val="single"/>
                    </w:rPr>
                  </w:pPr>
                  <w:r>
                    <w:rPr>
                      <w:rFonts w:hint="eastAsia" w:cs="Times New Roman"/>
                      <w:i/>
                      <w:iCs/>
                      <w:kern w:val="0"/>
                      <w:sz w:val="21"/>
                      <w:szCs w:val="21"/>
                      <w:u w:val="single"/>
                    </w:rPr>
                    <w:t>1.8</w:t>
                  </w:r>
                </w:p>
              </w:tc>
              <w:tc>
                <w:tcPr>
                  <w:tcW w:w="1066" w:type="dxa"/>
                  <w:vAlign w:val="center"/>
                </w:tcPr>
                <w:p w14:paraId="0330C212">
                  <w:pPr>
                    <w:jc w:val="center"/>
                    <w:rPr>
                      <w:rFonts w:cs="Times New Roman"/>
                      <w:i/>
                      <w:iCs/>
                      <w:kern w:val="0"/>
                      <w:sz w:val="21"/>
                      <w:szCs w:val="21"/>
                      <w:u w:val="single"/>
                    </w:rPr>
                  </w:pPr>
                  <w:r>
                    <w:rPr>
                      <w:rFonts w:hint="eastAsia" w:cs="Times New Roman"/>
                      <w:i/>
                      <w:iCs/>
                      <w:kern w:val="0"/>
                      <w:sz w:val="21"/>
                      <w:szCs w:val="21"/>
                      <w:u w:val="single"/>
                    </w:rPr>
                    <w:t>0.50</w:t>
                  </w:r>
                </w:p>
              </w:tc>
            </w:tr>
            <w:tr w14:paraId="328B3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22371253">
                  <w:pPr>
                    <w:jc w:val="center"/>
                    <w:rPr>
                      <w:rFonts w:cs="Times New Roman"/>
                      <w:i/>
                      <w:iCs/>
                      <w:kern w:val="0"/>
                      <w:sz w:val="21"/>
                      <w:szCs w:val="21"/>
                      <w:u w:val="single"/>
                    </w:rPr>
                  </w:pPr>
                </w:p>
              </w:tc>
              <w:tc>
                <w:tcPr>
                  <w:tcW w:w="649" w:type="dxa"/>
                  <w:vMerge w:val="continue"/>
                  <w:vAlign w:val="center"/>
                </w:tcPr>
                <w:p w14:paraId="35C6CBD3">
                  <w:pPr>
                    <w:jc w:val="center"/>
                    <w:rPr>
                      <w:rFonts w:cs="Times New Roman"/>
                      <w:i/>
                      <w:iCs/>
                      <w:kern w:val="0"/>
                      <w:sz w:val="21"/>
                      <w:szCs w:val="21"/>
                      <w:u w:val="single"/>
                    </w:rPr>
                  </w:pPr>
                </w:p>
              </w:tc>
              <w:tc>
                <w:tcPr>
                  <w:tcW w:w="1134" w:type="dxa"/>
                  <w:vMerge w:val="restart"/>
                  <w:vAlign w:val="center"/>
                </w:tcPr>
                <w:p w14:paraId="2686370B">
                  <w:pPr>
                    <w:jc w:val="center"/>
                    <w:rPr>
                      <w:rFonts w:cs="Times New Roman"/>
                      <w:i/>
                      <w:iCs/>
                      <w:kern w:val="0"/>
                      <w:sz w:val="21"/>
                      <w:szCs w:val="21"/>
                      <w:u w:val="single"/>
                    </w:rPr>
                  </w:pPr>
                  <w:r>
                    <w:rPr>
                      <w:rFonts w:hint="eastAsia" w:cs="Times New Roman"/>
                      <w:i/>
                      <w:iCs/>
                      <w:kern w:val="0"/>
                      <w:sz w:val="21"/>
                      <w:szCs w:val="21"/>
                      <w:u w:val="single"/>
                    </w:rPr>
                    <w:t>25≤SV＜30</w:t>
                  </w:r>
                </w:p>
              </w:tc>
              <w:tc>
                <w:tcPr>
                  <w:tcW w:w="1068" w:type="dxa"/>
                  <w:vAlign w:val="center"/>
                </w:tcPr>
                <w:p w14:paraId="05FA6F3A">
                  <w:pPr>
                    <w:jc w:val="center"/>
                    <w:rPr>
                      <w:rFonts w:cs="Times New Roman"/>
                      <w:i/>
                      <w:iCs/>
                      <w:kern w:val="0"/>
                      <w:sz w:val="21"/>
                      <w:szCs w:val="21"/>
                      <w:u w:val="single"/>
                    </w:rPr>
                  </w:pPr>
                  <w:r>
                    <w:rPr>
                      <w:rFonts w:hint="eastAsia" w:cs="Times New Roman"/>
                      <w:i/>
                      <w:iCs/>
                      <w:kern w:val="0"/>
                      <w:sz w:val="21"/>
                      <w:szCs w:val="21"/>
                      <w:u w:val="single"/>
                    </w:rPr>
                    <w:t>P＜2000</w:t>
                  </w:r>
                </w:p>
              </w:tc>
              <w:tc>
                <w:tcPr>
                  <w:tcW w:w="1066" w:type="dxa"/>
                  <w:vAlign w:val="center"/>
                </w:tcPr>
                <w:p w14:paraId="7389A975">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0336DFD9">
                  <w:pPr>
                    <w:jc w:val="center"/>
                    <w:rPr>
                      <w:rFonts w:cs="Times New Roman"/>
                      <w:i/>
                      <w:iCs/>
                      <w:kern w:val="0"/>
                      <w:sz w:val="21"/>
                      <w:szCs w:val="21"/>
                      <w:u w:val="single"/>
                    </w:rPr>
                  </w:pPr>
                  <w:r>
                    <w:rPr>
                      <w:rFonts w:hint="eastAsia" w:cs="Times New Roman"/>
                      <w:i/>
                      <w:iCs/>
                      <w:kern w:val="0"/>
                      <w:sz w:val="21"/>
                      <w:szCs w:val="21"/>
                      <w:u w:val="single"/>
                    </w:rPr>
                    <w:t>11.0</w:t>
                  </w:r>
                </w:p>
              </w:tc>
              <w:tc>
                <w:tcPr>
                  <w:tcW w:w="1066" w:type="dxa"/>
                  <w:vAlign w:val="center"/>
                </w:tcPr>
                <w:p w14:paraId="6B364280">
                  <w:pPr>
                    <w:jc w:val="center"/>
                    <w:rPr>
                      <w:rFonts w:cs="Times New Roman"/>
                      <w:i/>
                      <w:iCs/>
                      <w:kern w:val="0"/>
                      <w:sz w:val="21"/>
                      <w:szCs w:val="21"/>
                      <w:u w:val="single"/>
                    </w:rPr>
                  </w:pPr>
                  <w:r>
                    <w:rPr>
                      <w:rFonts w:hint="eastAsia" w:cs="Times New Roman"/>
                      <w:i/>
                      <w:iCs/>
                      <w:kern w:val="0"/>
                      <w:sz w:val="21"/>
                      <w:szCs w:val="21"/>
                      <w:u w:val="single"/>
                    </w:rPr>
                    <w:t>2.0</w:t>
                  </w:r>
                </w:p>
              </w:tc>
              <w:tc>
                <w:tcPr>
                  <w:tcW w:w="1066" w:type="dxa"/>
                  <w:vAlign w:val="center"/>
                </w:tcPr>
                <w:p w14:paraId="1BA20AF6">
                  <w:pPr>
                    <w:jc w:val="center"/>
                    <w:rPr>
                      <w:rFonts w:cs="Times New Roman"/>
                      <w:i/>
                      <w:iCs/>
                      <w:kern w:val="0"/>
                      <w:sz w:val="21"/>
                      <w:szCs w:val="21"/>
                      <w:u w:val="single"/>
                    </w:rPr>
                  </w:pPr>
                  <w:r>
                    <w:rPr>
                      <w:rFonts w:hint="eastAsia" w:cs="Times New Roman"/>
                      <w:i/>
                      <w:iCs/>
                      <w:kern w:val="0"/>
                      <w:sz w:val="21"/>
                      <w:szCs w:val="21"/>
                      <w:u w:val="single"/>
                    </w:rPr>
                    <w:t>0.27</w:t>
                  </w:r>
                </w:p>
              </w:tc>
            </w:tr>
            <w:tr w14:paraId="7A86C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dxa"/>
                  <w:vMerge w:val="continue"/>
                  <w:vAlign w:val="center"/>
                </w:tcPr>
                <w:p w14:paraId="0308B489">
                  <w:pPr>
                    <w:jc w:val="center"/>
                    <w:rPr>
                      <w:rFonts w:cs="Times New Roman"/>
                      <w:i/>
                      <w:iCs/>
                      <w:kern w:val="0"/>
                      <w:sz w:val="21"/>
                      <w:szCs w:val="21"/>
                      <w:u w:val="single"/>
                    </w:rPr>
                  </w:pPr>
                </w:p>
              </w:tc>
              <w:tc>
                <w:tcPr>
                  <w:tcW w:w="649" w:type="dxa"/>
                  <w:vMerge w:val="continue"/>
                  <w:vAlign w:val="center"/>
                </w:tcPr>
                <w:p w14:paraId="00029416">
                  <w:pPr>
                    <w:jc w:val="center"/>
                    <w:rPr>
                      <w:rFonts w:cs="Times New Roman"/>
                      <w:i/>
                      <w:iCs/>
                      <w:kern w:val="0"/>
                      <w:sz w:val="21"/>
                      <w:szCs w:val="21"/>
                      <w:u w:val="single"/>
                    </w:rPr>
                  </w:pPr>
                </w:p>
              </w:tc>
              <w:tc>
                <w:tcPr>
                  <w:tcW w:w="1134" w:type="dxa"/>
                  <w:vMerge w:val="continue"/>
                  <w:vAlign w:val="center"/>
                </w:tcPr>
                <w:p w14:paraId="7DF7B8D4">
                  <w:pPr>
                    <w:jc w:val="center"/>
                    <w:rPr>
                      <w:rFonts w:cs="Times New Roman"/>
                      <w:i/>
                      <w:iCs/>
                      <w:kern w:val="0"/>
                      <w:sz w:val="21"/>
                      <w:szCs w:val="21"/>
                      <w:u w:val="single"/>
                    </w:rPr>
                  </w:pPr>
                </w:p>
              </w:tc>
              <w:tc>
                <w:tcPr>
                  <w:tcW w:w="1068" w:type="dxa"/>
                  <w:vAlign w:val="center"/>
                </w:tcPr>
                <w:p w14:paraId="237A8DA1">
                  <w:pPr>
                    <w:jc w:val="center"/>
                    <w:rPr>
                      <w:rFonts w:cs="Times New Roman"/>
                      <w:i/>
                      <w:iCs/>
                      <w:kern w:val="0"/>
                      <w:sz w:val="21"/>
                      <w:szCs w:val="21"/>
                      <w:u w:val="single"/>
                    </w:rPr>
                  </w:pPr>
                  <w:r>
                    <w:rPr>
                      <w:rFonts w:hint="eastAsia" w:cs="Times New Roman"/>
                      <w:i/>
                      <w:iCs/>
                      <w:kern w:val="0"/>
                      <w:sz w:val="21"/>
                      <w:szCs w:val="21"/>
                      <w:u w:val="single"/>
                    </w:rPr>
                    <w:t>P≥2000</w:t>
                  </w:r>
                </w:p>
              </w:tc>
              <w:tc>
                <w:tcPr>
                  <w:tcW w:w="1066" w:type="dxa"/>
                  <w:vAlign w:val="center"/>
                </w:tcPr>
                <w:p w14:paraId="2F9822D8">
                  <w:pPr>
                    <w:jc w:val="center"/>
                    <w:rPr>
                      <w:rFonts w:cs="Times New Roman"/>
                      <w:i/>
                      <w:iCs/>
                      <w:kern w:val="0"/>
                      <w:sz w:val="21"/>
                      <w:szCs w:val="21"/>
                      <w:u w:val="single"/>
                    </w:rPr>
                  </w:pPr>
                  <w:r>
                    <w:rPr>
                      <w:rFonts w:hint="eastAsia" w:cs="Times New Roman"/>
                      <w:i/>
                      <w:iCs/>
                      <w:kern w:val="0"/>
                      <w:sz w:val="21"/>
                      <w:szCs w:val="21"/>
                      <w:u w:val="single"/>
                    </w:rPr>
                    <w:t>5.0</w:t>
                  </w:r>
                </w:p>
              </w:tc>
              <w:tc>
                <w:tcPr>
                  <w:tcW w:w="1095" w:type="dxa"/>
                  <w:vAlign w:val="center"/>
                </w:tcPr>
                <w:p w14:paraId="7A7D8BA3">
                  <w:pPr>
                    <w:jc w:val="center"/>
                    <w:rPr>
                      <w:rFonts w:cs="Times New Roman"/>
                      <w:i/>
                      <w:iCs/>
                      <w:kern w:val="0"/>
                      <w:sz w:val="21"/>
                      <w:szCs w:val="21"/>
                      <w:u w:val="single"/>
                    </w:rPr>
                  </w:pPr>
                  <w:r>
                    <w:rPr>
                      <w:rFonts w:hint="eastAsia" w:cs="Times New Roman"/>
                      <w:i/>
                      <w:iCs/>
                      <w:kern w:val="0"/>
                      <w:sz w:val="21"/>
                      <w:szCs w:val="21"/>
                      <w:u w:val="single"/>
                    </w:rPr>
                    <w:t>11.0</w:t>
                  </w:r>
                </w:p>
              </w:tc>
              <w:tc>
                <w:tcPr>
                  <w:tcW w:w="1066" w:type="dxa"/>
                  <w:vAlign w:val="center"/>
                </w:tcPr>
                <w:p w14:paraId="3D62DDE2">
                  <w:pPr>
                    <w:jc w:val="center"/>
                    <w:rPr>
                      <w:rFonts w:cs="Times New Roman"/>
                      <w:i/>
                      <w:iCs/>
                      <w:kern w:val="0"/>
                      <w:sz w:val="21"/>
                      <w:szCs w:val="21"/>
                      <w:u w:val="single"/>
                    </w:rPr>
                  </w:pPr>
                  <w:r>
                    <w:rPr>
                      <w:rFonts w:hint="eastAsia" w:cs="Times New Roman"/>
                      <w:i/>
                      <w:iCs/>
                      <w:kern w:val="0"/>
                      <w:sz w:val="21"/>
                      <w:szCs w:val="21"/>
                      <w:u w:val="single"/>
                    </w:rPr>
                    <w:t>2.0</w:t>
                  </w:r>
                </w:p>
              </w:tc>
              <w:tc>
                <w:tcPr>
                  <w:tcW w:w="1066" w:type="dxa"/>
                  <w:vAlign w:val="center"/>
                </w:tcPr>
                <w:p w14:paraId="14E6EFB6">
                  <w:pPr>
                    <w:jc w:val="center"/>
                    <w:rPr>
                      <w:rFonts w:cs="Times New Roman"/>
                      <w:i/>
                      <w:iCs/>
                      <w:kern w:val="0"/>
                      <w:sz w:val="21"/>
                      <w:szCs w:val="21"/>
                      <w:u w:val="single"/>
                    </w:rPr>
                  </w:pPr>
                  <w:r>
                    <w:rPr>
                      <w:rFonts w:hint="eastAsia" w:cs="Times New Roman"/>
                      <w:i/>
                      <w:iCs/>
                      <w:kern w:val="0"/>
                      <w:sz w:val="21"/>
                      <w:szCs w:val="21"/>
                      <w:u w:val="single"/>
                    </w:rPr>
                    <w:t>0.50</w:t>
                  </w:r>
                </w:p>
              </w:tc>
            </w:tr>
            <w:tr w14:paraId="422D3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76" w:type="dxa"/>
                  <w:gridSpan w:val="8"/>
                  <w:vAlign w:val="center"/>
                </w:tcPr>
                <w:p w14:paraId="2DDAE919">
                  <w:pPr>
                    <w:rPr>
                      <w:rFonts w:cs="Times New Roman"/>
                      <w:i/>
                      <w:iCs/>
                      <w:kern w:val="0"/>
                      <w:sz w:val="21"/>
                      <w:szCs w:val="21"/>
                      <w:u w:val="single"/>
                    </w:rPr>
                  </w:pPr>
                  <w:r>
                    <w:rPr>
                      <w:rFonts w:hint="eastAsia" w:cs="Times New Roman"/>
                      <w:i/>
                      <w:iCs/>
                      <w:kern w:val="0"/>
                      <w:sz w:val="21"/>
                      <w:szCs w:val="21"/>
                      <w:u w:val="single"/>
                    </w:rPr>
                    <w:t>注：（1）仅适用于NG（含双燃料）船机。</w:t>
                  </w:r>
                </w:p>
              </w:tc>
            </w:tr>
          </w:tbl>
          <w:p w14:paraId="6C2B8588">
            <w:pPr>
              <w:spacing w:line="360" w:lineRule="auto"/>
              <w:ind w:firstLine="480" w:firstLineChars="200"/>
              <w:jc w:val="left"/>
            </w:pPr>
            <w:r>
              <w:rPr>
                <w:rFonts w:hint="eastAsia"/>
              </w:rPr>
              <w:t>本项目运营期码头设置的食堂规模为小型，厨房油烟排放标准及油烟净化设施最低去除率执行《饮食业油烟排放标准》（GB 18483-2001）中相应标准，详</w:t>
            </w:r>
            <w:r>
              <w:t>见</w:t>
            </w:r>
            <w:r>
              <w:rPr>
                <w:rFonts w:hint="eastAsia"/>
              </w:rPr>
              <w:t>下</w:t>
            </w:r>
            <w:r>
              <w:t>表</w:t>
            </w:r>
            <w:r>
              <w:rPr>
                <w:rFonts w:hint="eastAsia"/>
              </w:rPr>
              <w:t>：</w:t>
            </w:r>
          </w:p>
          <w:p w14:paraId="1E553193">
            <w:pPr>
              <w:spacing w:line="360" w:lineRule="auto"/>
              <w:ind w:firstLine="480" w:firstLineChars="200"/>
              <w:jc w:val="left"/>
            </w:pPr>
          </w:p>
          <w:p w14:paraId="5CAEA33F">
            <w:pPr>
              <w:spacing w:line="360" w:lineRule="auto"/>
              <w:jc w:val="center"/>
              <w:rPr>
                <w:b/>
                <w:bCs/>
              </w:rPr>
            </w:pPr>
            <w:r>
              <w:rPr>
                <w:rFonts w:hint="eastAsia"/>
                <w:b/>
                <w:bCs/>
              </w:rPr>
              <w:t xml:space="preserve">表47     </w:t>
            </w:r>
            <w:r>
              <w:rPr>
                <w:b/>
                <w:bCs/>
              </w:rPr>
              <w:t>饮食单位的规模划分</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06"/>
              <w:gridCol w:w="1304"/>
              <w:gridCol w:w="1306"/>
              <w:gridCol w:w="1014"/>
              <w:gridCol w:w="2156"/>
            </w:tblGrid>
            <w:tr w14:paraId="243BB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24" w:type="pct"/>
                  <w:vMerge w:val="restart"/>
                  <w:vAlign w:val="center"/>
                </w:tcPr>
                <w:p w14:paraId="223F992C">
                  <w:pPr>
                    <w:jc w:val="center"/>
                    <w:rPr>
                      <w:rFonts w:hint="eastAsia" w:ascii="宋体" w:hAnsi="宋体" w:cs="Times New Roman"/>
                      <w:b/>
                      <w:bCs/>
                      <w:kern w:val="0"/>
                      <w:sz w:val="21"/>
                      <w:szCs w:val="21"/>
                    </w:rPr>
                  </w:pPr>
                  <w:r>
                    <w:rPr>
                      <w:rFonts w:ascii="宋体" w:hAnsi="宋体" w:cs="Times New Roman"/>
                      <w:b/>
                      <w:bCs/>
                      <w:kern w:val="0"/>
                      <w:sz w:val="21"/>
                      <w:szCs w:val="21"/>
                    </w:rPr>
                    <w:t>废气排放环节</w:t>
                  </w:r>
                </w:p>
              </w:tc>
              <w:tc>
                <w:tcPr>
                  <w:tcW w:w="511" w:type="pct"/>
                  <w:vMerge w:val="restart"/>
                  <w:vAlign w:val="center"/>
                </w:tcPr>
                <w:p w14:paraId="7CE3FAC2">
                  <w:pPr>
                    <w:jc w:val="center"/>
                    <w:rPr>
                      <w:rFonts w:hint="eastAsia" w:ascii="宋体" w:hAnsi="宋体" w:cs="Times New Roman"/>
                      <w:b/>
                      <w:bCs/>
                      <w:kern w:val="0"/>
                      <w:sz w:val="21"/>
                      <w:szCs w:val="21"/>
                    </w:rPr>
                  </w:pPr>
                  <w:r>
                    <w:rPr>
                      <w:rFonts w:ascii="宋体" w:hAnsi="宋体" w:cs="Times New Roman"/>
                      <w:b/>
                      <w:bCs/>
                      <w:kern w:val="0"/>
                      <w:sz w:val="21"/>
                      <w:szCs w:val="21"/>
                    </w:rPr>
                    <w:t>污染因子</w:t>
                  </w:r>
                </w:p>
              </w:tc>
              <w:tc>
                <w:tcPr>
                  <w:tcW w:w="1655" w:type="pct"/>
                  <w:gridSpan w:val="2"/>
                  <w:vAlign w:val="center"/>
                </w:tcPr>
                <w:p w14:paraId="5117D325">
                  <w:pPr>
                    <w:jc w:val="center"/>
                    <w:rPr>
                      <w:rFonts w:hint="eastAsia" w:ascii="宋体" w:hAnsi="宋体" w:cs="Times New Roman"/>
                      <w:b/>
                      <w:bCs/>
                      <w:kern w:val="0"/>
                      <w:sz w:val="21"/>
                      <w:szCs w:val="21"/>
                    </w:rPr>
                  </w:pPr>
                  <w:r>
                    <w:rPr>
                      <w:rFonts w:ascii="宋体" w:hAnsi="宋体" w:cs="Times New Roman"/>
                      <w:b/>
                      <w:bCs/>
                      <w:kern w:val="0"/>
                      <w:sz w:val="21"/>
                      <w:szCs w:val="21"/>
                    </w:rPr>
                    <w:t>有组织排放</w:t>
                  </w:r>
                </w:p>
              </w:tc>
              <w:tc>
                <w:tcPr>
                  <w:tcW w:w="643" w:type="pct"/>
                  <w:vMerge w:val="restart"/>
                  <w:vAlign w:val="center"/>
                </w:tcPr>
                <w:p w14:paraId="4787CC6D">
                  <w:pPr>
                    <w:jc w:val="center"/>
                    <w:rPr>
                      <w:rFonts w:hint="eastAsia" w:ascii="宋体" w:hAnsi="宋体" w:cs="Times New Roman"/>
                      <w:b/>
                      <w:bCs/>
                      <w:kern w:val="0"/>
                      <w:sz w:val="21"/>
                      <w:szCs w:val="21"/>
                    </w:rPr>
                  </w:pPr>
                  <w:r>
                    <w:rPr>
                      <w:rFonts w:hint="eastAsia" w:ascii="宋体" w:hAnsi="宋体" w:cs="Times New Roman"/>
                      <w:b/>
                      <w:bCs/>
                      <w:kern w:val="0"/>
                      <w:sz w:val="21"/>
                      <w:szCs w:val="21"/>
                    </w:rPr>
                    <w:t>去除率</w:t>
                  </w:r>
                </w:p>
                <w:p w14:paraId="3A4A35B9">
                  <w:pPr>
                    <w:jc w:val="center"/>
                    <w:rPr>
                      <w:rFonts w:hint="eastAsia" w:ascii="宋体" w:hAnsi="宋体" w:cs="Times New Roman"/>
                      <w:b/>
                      <w:bCs/>
                      <w:kern w:val="0"/>
                      <w:sz w:val="21"/>
                      <w:szCs w:val="21"/>
                    </w:rPr>
                  </w:pPr>
                  <w:r>
                    <w:rPr>
                      <w:rFonts w:hint="eastAsia" w:ascii="宋体" w:hAnsi="宋体" w:cs="Times New Roman"/>
                      <w:b/>
                      <w:bCs/>
                      <w:kern w:val="0"/>
                      <w:sz w:val="21"/>
                      <w:szCs w:val="21"/>
                    </w:rPr>
                    <w:t>%</w:t>
                  </w:r>
                </w:p>
              </w:tc>
              <w:tc>
                <w:tcPr>
                  <w:tcW w:w="1368" w:type="pct"/>
                  <w:vMerge w:val="restart"/>
                  <w:vAlign w:val="center"/>
                </w:tcPr>
                <w:p w14:paraId="5CE3A4F2">
                  <w:pPr>
                    <w:jc w:val="center"/>
                    <w:rPr>
                      <w:rFonts w:hint="eastAsia" w:ascii="宋体" w:hAnsi="宋体" w:cs="Times New Roman"/>
                      <w:b/>
                      <w:bCs/>
                      <w:kern w:val="0"/>
                      <w:sz w:val="21"/>
                      <w:szCs w:val="21"/>
                    </w:rPr>
                  </w:pPr>
                  <w:r>
                    <w:rPr>
                      <w:rFonts w:ascii="宋体" w:hAnsi="宋体" w:cs="Times New Roman"/>
                      <w:b/>
                      <w:bCs/>
                      <w:kern w:val="0"/>
                      <w:sz w:val="21"/>
                      <w:szCs w:val="21"/>
                    </w:rPr>
                    <w:t>标准来源</w:t>
                  </w:r>
                </w:p>
              </w:tc>
            </w:tr>
            <w:tr w14:paraId="75D24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24" w:type="pct"/>
                  <w:vMerge w:val="continue"/>
                  <w:vAlign w:val="center"/>
                </w:tcPr>
                <w:p w14:paraId="22DF769D">
                  <w:pPr>
                    <w:jc w:val="center"/>
                    <w:rPr>
                      <w:rFonts w:hint="eastAsia" w:ascii="宋体" w:hAnsi="宋体" w:cs="Times New Roman"/>
                      <w:b/>
                      <w:bCs/>
                      <w:kern w:val="0"/>
                      <w:sz w:val="21"/>
                      <w:szCs w:val="21"/>
                    </w:rPr>
                  </w:pPr>
                </w:p>
              </w:tc>
              <w:tc>
                <w:tcPr>
                  <w:tcW w:w="511" w:type="pct"/>
                  <w:vMerge w:val="continue"/>
                  <w:vAlign w:val="center"/>
                </w:tcPr>
                <w:p w14:paraId="71D6215A">
                  <w:pPr>
                    <w:jc w:val="center"/>
                    <w:rPr>
                      <w:rFonts w:hint="eastAsia" w:ascii="宋体" w:hAnsi="宋体" w:cs="Times New Roman"/>
                      <w:b/>
                      <w:bCs/>
                      <w:kern w:val="0"/>
                      <w:sz w:val="21"/>
                      <w:szCs w:val="21"/>
                    </w:rPr>
                  </w:pPr>
                </w:p>
              </w:tc>
              <w:tc>
                <w:tcPr>
                  <w:tcW w:w="827" w:type="pct"/>
                  <w:vAlign w:val="center"/>
                </w:tcPr>
                <w:p w14:paraId="3ECA5C00">
                  <w:pPr>
                    <w:jc w:val="center"/>
                    <w:rPr>
                      <w:rFonts w:hint="eastAsia" w:ascii="宋体" w:hAnsi="宋体" w:cs="Times New Roman"/>
                      <w:b/>
                      <w:bCs/>
                      <w:kern w:val="0"/>
                      <w:sz w:val="21"/>
                      <w:szCs w:val="21"/>
                    </w:rPr>
                  </w:pPr>
                  <w:r>
                    <w:rPr>
                      <w:rFonts w:ascii="宋体" w:hAnsi="宋体" w:cs="Times New Roman"/>
                      <w:b/>
                      <w:bCs/>
                      <w:kern w:val="0"/>
                      <w:sz w:val="21"/>
                      <w:szCs w:val="21"/>
                    </w:rPr>
                    <w:t>标准限值</w:t>
                  </w:r>
                </w:p>
              </w:tc>
              <w:tc>
                <w:tcPr>
                  <w:tcW w:w="827" w:type="pct"/>
                  <w:vAlign w:val="center"/>
                </w:tcPr>
                <w:p w14:paraId="743851D3">
                  <w:pPr>
                    <w:jc w:val="center"/>
                    <w:rPr>
                      <w:rFonts w:hint="eastAsia" w:ascii="宋体" w:hAnsi="宋体" w:cs="Times New Roman"/>
                      <w:b/>
                      <w:bCs/>
                      <w:kern w:val="0"/>
                      <w:sz w:val="21"/>
                      <w:szCs w:val="21"/>
                    </w:rPr>
                  </w:pPr>
                  <w:r>
                    <w:rPr>
                      <w:rFonts w:ascii="宋体" w:hAnsi="宋体" w:cs="Times New Roman"/>
                      <w:b/>
                      <w:bCs/>
                      <w:kern w:val="0"/>
                      <w:sz w:val="21"/>
                      <w:szCs w:val="21"/>
                    </w:rPr>
                    <w:t>单位</w:t>
                  </w:r>
                </w:p>
              </w:tc>
              <w:tc>
                <w:tcPr>
                  <w:tcW w:w="643" w:type="pct"/>
                  <w:vMerge w:val="continue"/>
                  <w:vAlign w:val="center"/>
                </w:tcPr>
                <w:p w14:paraId="1675C85F">
                  <w:pPr>
                    <w:jc w:val="center"/>
                    <w:rPr>
                      <w:rFonts w:hint="eastAsia" w:ascii="宋体" w:hAnsi="宋体" w:cs="Times New Roman"/>
                      <w:b/>
                      <w:bCs/>
                      <w:kern w:val="0"/>
                      <w:sz w:val="21"/>
                      <w:szCs w:val="21"/>
                    </w:rPr>
                  </w:pPr>
                </w:p>
              </w:tc>
              <w:tc>
                <w:tcPr>
                  <w:tcW w:w="1368" w:type="pct"/>
                  <w:vMerge w:val="continue"/>
                  <w:vAlign w:val="center"/>
                </w:tcPr>
                <w:p w14:paraId="45C370FC">
                  <w:pPr>
                    <w:jc w:val="center"/>
                    <w:rPr>
                      <w:rFonts w:hint="eastAsia" w:ascii="宋体" w:hAnsi="宋体" w:cs="Times New Roman"/>
                      <w:b/>
                      <w:bCs/>
                      <w:kern w:val="0"/>
                      <w:sz w:val="21"/>
                      <w:szCs w:val="21"/>
                    </w:rPr>
                  </w:pPr>
                </w:p>
              </w:tc>
            </w:tr>
            <w:tr w14:paraId="41258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4" w:type="pct"/>
                  <w:vAlign w:val="center"/>
                </w:tcPr>
                <w:p w14:paraId="7D862B5E">
                  <w:pPr>
                    <w:jc w:val="center"/>
                    <w:rPr>
                      <w:rFonts w:hint="eastAsia" w:ascii="宋体" w:hAnsi="宋体" w:cs="Times New Roman"/>
                      <w:kern w:val="0"/>
                      <w:sz w:val="21"/>
                      <w:szCs w:val="21"/>
                    </w:rPr>
                  </w:pPr>
                  <w:r>
                    <w:rPr>
                      <w:rFonts w:ascii="宋体" w:hAnsi="宋体" w:cs="Times New Roman"/>
                      <w:kern w:val="0"/>
                      <w:sz w:val="21"/>
                      <w:szCs w:val="21"/>
                    </w:rPr>
                    <w:t>食堂油烟</w:t>
                  </w:r>
                </w:p>
              </w:tc>
              <w:tc>
                <w:tcPr>
                  <w:tcW w:w="511" w:type="pct"/>
                  <w:vAlign w:val="center"/>
                </w:tcPr>
                <w:p w14:paraId="1F3AAD1C">
                  <w:pPr>
                    <w:jc w:val="center"/>
                    <w:rPr>
                      <w:rFonts w:hint="eastAsia" w:ascii="宋体" w:hAnsi="宋体" w:cs="Times New Roman"/>
                      <w:kern w:val="0"/>
                      <w:sz w:val="21"/>
                      <w:szCs w:val="21"/>
                    </w:rPr>
                  </w:pPr>
                  <w:r>
                    <w:rPr>
                      <w:rFonts w:ascii="宋体" w:hAnsi="宋体" w:cs="Times New Roman"/>
                      <w:kern w:val="0"/>
                      <w:sz w:val="21"/>
                      <w:szCs w:val="21"/>
                    </w:rPr>
                    <w:t>油烟</w:t>
                  </w:r>
                </w:p>
              </w:tc>
              <w:tc>
                <w:tcPr>
                  <w:tcW w:w="827" w:type="pct"/>
                  <w:vAlign w:val="center"/>
                </w:tcPr>
                <w:p w14:paraId="290FDDAB">
                  <w:pPr>
                    <w:jc w:val="center"/>
                    <w:rPr>
                      <w:rFonts w:hint="eastAsia" w:ascii="宋体" w:hAnsi="宋体" w:cs="Times New Roman"/>
                      <w:kern w:val="0"/>
                      <w:sz w:val="21"/>
                      <w:szCs w:val="21"/>
                    </w:rPr>
                  </w:pPr>
                  <w:r>
                    <w:rPr>
                      <w:rFonts w:ascii="宋体" w:hAnsi="宋体" w:cs="Times New Roman"/>
                      <w:kern w:val="0"/>
                      <w:sz w:val="21"/>
                      <w:szCs w:val="21"/>
                    </w:rPr>
                    <w:t>2.0</w:t>
                  </w:r>
                </w:p>
              </w:tc>
              <w:tc>
                <w:tcPr>
                  <w:tcW w:w="827" w:type="pct"/>
                  <w:vAlign w:val="center"/>
                </w:tcPr>
                <w:p w14:paraId="60B7C26F">
                  <w:pPr>
                    <w:jc w:val="center"/>
                    <w:rPr>
                      <w:rFonts w:hint="eastAsia" w:ascii="宋体" w:hAnsi="宋体" w:cs="Times New Roman"/>
                      <w:kern w:val="0"/>
                      <w:sz w:val="21"/>
                      <w:szCs w:val="21"/>
                    </w:rPr>
                  </w:pPr>
                  <w:r>
                    <w:rPr>
                      <w:rFonts w:ascii="宋体" w:hAnsi="宋体" w:cs="Times New Roman"/>
                      <w:kern w:val="0"/>
                      <w:sz w:val="21"/>
                      <w:szCs w:val="21"/>
                    </w:rPr>
                    <w:t>mg/m³</w:t>
                  </w:r>
                </w:p>
              </w:tc>
              <w:tc>
                <w:tcPr>
                  <w:tcW w:w="643" w:type="pct"/>
                  <w:vAlign w:val="center"/>
                </w:tcPr>
                <w:p w14:paraId="440A65E6">
                  <w:pPr>
                    <w:jc w:val="center"/>
                    <w:rPr>
                      <w:rFonts w:hint="eastAsia" w:ascii="宋体" w:hAnsi="宋体" w:cs="Times New Roman"/>
                      <w:kern w:val="0"/>
                      <w:sz w:val="21"/>
                      <w:szCs w:val="21"/>
                    </w:rPr>
                  </w:pPr>
                  <w:r>
                    <w:rPr>
                      <w:rFonts w:hint="eastAsia" w:ascii="宋体" w:hAnsi="宋体" w:cs="Times New Roman"/>
                      <w:kern w:val="0"/>
                      <w:sz w:val="21"/>
                      <w:szCs w:val="21"/>
                    </w:rPr>
                    <w:t>60</w:t>
                  </w:r>
                </w:p>
              </w:tc>
              <w:tc>
                <w:tcPr>
                  <w:tcW w:w="1368" w:type="pct"/>
                  <w:vAlign w:val="center"/>
                </w:tcPr>
                <w:p w14:paraId="6BC008FC">
                  <w:pPr>
                    <w:jc w:val="center"/>
                    <w:rPr>
                      <w:rFonts w:hint="eastAsia" w:ascii="宋体" w:hAnsi="宋体" w:cs="Times New Roman"/>
                      <w:kern w:val="0"/>
                      <w:sz w:val="21"/>
                      <w:szCs w:val="21"/>
                    </w:rPr>
                  </w:pPr>
                  <w:r>
                    <w:rPr>
                      <w:rFonts w:ascii="宋体" w:hAnsi="宋体" w:cs="Times New Roman"/>
                      <w:kern w:val="0"/>
                      <w:sz w:val="21"/>
                      <w:szCs w:val="21"/>
                    </w:rPr>
                    <w:t>《饮食业油烟排放标准（试行）》（GB 18483-2001）</w:t>
                  </w:r>
                </w:p>
              </w:tc>
            </w:tr>
          </w:tbl>
          <w:p w14:paraId="460E33DF">
            <w:pPr>
              <w:spacing w:line="360" w:lineRule="auto"/>
              <w:ind w:firstLine="480" w:firstLineChars="200"/>
              <w:jc w:val="left"/>
            </w:pPr>
            <w:r>
              <w:rPr>
                <w:rFonts w:hint="eastAsia"/>
              </w:rPr>
              <w:t>（2）废水</w:t>
            </w:r>
          </w:p>
          <w:p w14:paraId="0F27D001">
            <w:pPr>
              <w:spacing w:line="360" w:lineRule="auto"/>
              <w:ind w:firstLine="480" w:firstLineChars="200"/>
            </w:pPr>
            <w:r>
              <w:rPr>
                <w:rFonts w:hint="eastAsia"/>
              </w:rPr>
              <w:t>来往本项目的船只为燃油船，根据《船舶水污染物排放控制标准》（GB 3552-2018）中船舶含油污水排放控制要求，本项目运营期来往码头的船舶含油污水需收集并排入接收设施，本工程船舶排放的舱底油污水的含油量排放执行《船舶水污染物排放控制标准》（GB 3552-2018）。</w:t>
            </w:r>
          </w:p>
          <w:p w14:paraId="577F38AD">
            <w:pPr>
              <w:spacing w:line="360" w:lineRule="auto"/>
              <w:ind w:firstLine="480" w:firstLineChars="200"/>
            </w:pPr>
          </w:p>
          <w:p w14:paraId="05636CFD">
            <w:pPr>
              <w:spacing w:line="360" w:lineRule="auto"/>
              <w:jc w:val="center"/>
              <w:rPr>
                <w:b/>
                <w:bCs/>
              </w:rPr>
            </w:pPr>
            <w:r>
              <w:rPr>
                <w:rFonts w:hint="eastAsia"/>
                <w:b/>
                <w:bCs/>
              </w:rPr>
              <w:t>表48     船舶机器处所油污水污染物排放限值</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20"/>
              <w:gridCol w:w="3094"/>
              <w:gridCol w:w="2771"/>
            </w:tblGrid>
            <w:tr w14:paraId="6AD68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127" w:type="dxa"/>
                  <w:vAlign w:val="center"/>
                </w:tcPr>
                <w:p w14:paraId="5258E958">
                  <w:pPr>
                    <w:pStyle w:val="42"/>
                    <w:rPr>
                      <w:b/>
                      <w:bCs/>
                    </w:rPr>
                  </w:pPr>
                  <w:r>
                    <w:rPr>
                      <w:rFonts w:hint="eastAsia"/>
                      <w:b/>
                      <w:bCs/>
                    </w:rPr>
                    <w:t>污染物项目</w:t>
                  </w:r>
                </w:p>
              </w:tc>
              <w:tc>
                <w:tcPr>
                  <w:tcW w:w="3398" w:type="dxa"/>
                  <w:vAlign w:val="center"/>
                </w:tcPr>
                <w:p w14:paraId="37FCC117">
                  <w:pPr>
                    <w:pStyle w:val="42"/>
                    <w:rPr>
                      <w:b/>
                      <w:bCs/>
                    </w:rPr>
                  </w:pPr>
                  <w:r>
                    <w:rPr>
                      <w:rFonts w:hint="eastAsia"/>
                      <w:b/>
                      <w:bCs/>
                    </w:rPr>
                    <w:t>排放限值</w:t>
                  </w:r>
                </w:p>
              </w:tc>
              <w:tc>
                <w:tcPr>
                  <w:tcW w:w="3038" w:type="dxa"/>
                  <w:vAlign w:val="center"/>
                </w:tcPr>
                <w:p w14:paraId="76886D50">
                  <w:pPr>
                    <w:pStyle w:val="42"/>
                    <w:rPr>
                      <w:b/>
                      <w:bCs/>
                    </w:rPr>
                  </w:pPr>
                  <w:r>
                    <w:rPr>
                      <w:rFonts w:hint="eastAsia"/>
                      <w:b/>
                      <w:bCs/>
                    </w:rPr>
                    <w:t>污染物排放监测位置</w:t>
                  </w:r>
                </w:p>
              </w:tc>
            </w:tr>
            <w:tr w14:paraId="786D2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4407CF31">
                  <w:pPr>
                    <w:pStyle w:val="42"/>
                  </w:pPr>
                  <w:r>
                    <w:rPr>
                      <w:rFonts w:hint="eastAsia"/>
                    </w:rPr>
                    <w:t>石油类（</w:t>
                  </w:r>
                  <w:r>
                    <w:rPr>
                      <w:lang w:val="zh-CN"/>
                    </w:rPr>
                    <w:t>mg/L</w:t>
                  </w:r>
                  <w:r>
                    <w:rPr>
                      <w:rFonts w:hint="eastAsia"/>
                    </w:rPr>
                    <w:t>）</w:t>
                  </w:r>
                </w:p>
              </w:tc>
              <w:tc>
                <w:tcPr>
                  <w:tcW w:w="3398" w:type="dxa"/>
                  <w:vAlign w:val="center"/>
                </w:tcPr>
                <w:p w14:paraId="7AA474AC">
                  <w:pPr>
                    <w:pStyle w:val="42"/>
                  </w:pPr>
                  <w:r>
                    <w:rPr>
                      <w:rFonts w:hint="eastAsia"/>
                    </w:rPr>
                    <w:t>15</w:t>
                  </w:r>
                </w:p>
              </w:tc>
              <w:tc>
                <w:tcPr>
                  <w:tcW w:w="3038" w:type="dxa"/>
                  <w:vAlign w:val="center"/>
                </w:tcPr>
                <w:p w14:paraId="121CDD94">
                  <w:pPr>
                    <w:pStyle w:val="42"/>
                  </w:pPr>
                  <w:r>
                    <w:rPr>
                      <w:rFonts w:hint="eastAsia"/>
                    </w:rPr>
                    <w:t>油污水处理装置出水口</w:t>
                  </w:r>
                </w:p>
              </w:tc>
            </w:tr>
          </w:tbl>
          <w:p w14:paraId="7276219A">
            <w:pPr>
              <w:spacing w:line="360" w:lineRule="auto"/>
              <w:ind w:firstLine="480" w:firstLineChars="200"/>
              <w:jc w:val="left"/>
            </w:pPr>
            <w:r>
              <w:rPr>
                <w:rFonts w:hint="eastAsia"/>
              </w:rPr>
              <w:t>（3）噪声</w:t>
            </w:r>
          </w:p>
          <w:p w14:paraId="2517C6DB">
            <w:pPr>
              <w:spacing w:line="360" w:lineRule="auto"/>
              <w:ind w:firstLine="480" w:firstLineChars="200"/>
            </w:pPr>
            <w:r>
              <w:rPr>
                <w:rFonts w:hint="eastAsia"/>
              </w:rPr>
              <w:t>鉴于本工程施工安排，施工期厂界噪声执行《建筑施工场界环境噪声排放标准》（GB 12523-2025）中的限值；</w:t>
            </w:r>
            <w:r>
              <w:rPr>
                <w:rFonts w:hint="eastAsia"/>
                <w:b/>
                <w:bCs/>
                <w:u w:val="single"/>
              </w:rPr>
              <w:t>本项目运营期码头内工作生产工序产生的噪声排放标准执行《工业企业厂界环境噪声排放标准》（GB 12348-2008），其中西侧厂界临近G331故执行4类标准，码头东侧、南侧及北侧厂界执行1类标准，见下表：</w:t>
            </w:r>
          </w:p>
          <w:p w14:paraId="6525A163">
            <w:pPr>
              <w:spacing w:line="360" w:lineRule="auto"/>
              <w:ind w:firstLine="2168" w:firstLineChars="900"/>
              <w:jc w:val="both"/>
              <w:rPr>
                <w:b/>
                <w:bCs/>
              </w:rPr>
            </w:pPr>
            <w:r>
              <w:rPr>
                <w:rFonts w:hint="eastAsia"/>
                <w:b/>
                <w:bCs/>
              </w:rPr>
              <w:t xml:space="preserve">表49     </w:t>
            </w:r>
            <w:r>
              <w:rPr>
                <w:b/>
                <w:bCs/>
              </w:rPr>
              <w:t>建筑施工场界环境噪声排放标准</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746"/>
              <w:gridCol w:w="4139"/>
            </w:tblGrid>
            <w:tr w14:paraId="57CB0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995" w:type="dxa"/>
                  <w:vAlign w:val="center"/>
                </w:tcPr>
                <w:p w14:paraId="6FAD4860">
                  <w:pPr>
                    <w:jc w:val="center"/>
                    <w:rPr>
                      <w:rFonts w:hint="eastAsia" w:ascii="宋体" w:hAnsi="宋体"/>
                      <w:b/>
                      <w:bCs/>
                      <w:sz w:val="21"/>
                      <w:szCs w:val="21"/>
                    </w:rPr>
                  </w:pPr>
                  <w:r>
                    <w:rPr>
                      <w:rFonts w:ascii="宋体" w:hAnsi="宋体"/>
                      <w:b/>
                      <w:bCs/>
                      <w:sz w:val="21"/>
                      <w:szCs w:val="21"/>
                    </w:rPr>
                    <w:t>昼间dB(A)</w:t>
                  </w:r>
                </w:p>
              </w:tc>
              <w:tc>
                <w:tcPr>
                  <w:tcW w:w="4420" w:type="dxa"/>
                  <w:vAlign w:val="center"/>
                </w:tcPr>
                <w:p w14:paraId="65BE7CEA">
                  <w:pPr>
                    <w:jc w:val="center"/>
                    <w:rPr>
                      <w:rFonts w:hint="eastAsia" w:ascii="宋体" w:hAnsi="宋体"/>
                      <w:b/>
                      <w:bCs/>
                      <w:sz w:val="21"/>
                      <w:szCs w:val="21"/>
                    </w:rPr>
                  </w:pPr>
                  <w:r>
                    <w:rPr>
                      <w:rFonts w:ascii="宋体" w:hAnsi="宋体"/>
                      <w:b/>
                      <w:bCs/>
                      <w:sz w:val="21"/>
                      <w:szCs w:val="21"/>
                    </w:rPr>
                    <w:t>夜间dB(A)</w:t>
                  </w:r>
                </w:p>
              </w:tc>
            </w:tr>
            <w:tr w14:paraId="49328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95" w:type="dxa"/>
                  <w:vAlign w:val="center"/>
                </w:tcPr>
                <w:p w14:paraId="231315FC">
                  <w:pPr>
                    <w:jc w:val="center"/>
                    <w:rPr>
                      <w:rFonts w:hint="eastAsia" w:ascii="宋体" w:hAnsi="宋体"/>
                      <w:sz w:val="21"/>
                      <w:szCs w:val="21"/>
                    </w:rPr>
                  </w:pPr>
                  <w:r>
                    <w:rPr>
                      <w:rFonts w:ascii="宋体" w:hAnsi="宋体"/>
                      <w:sz w:val="21"/>
                      <w:szCs w:val="21"/>
                    </w:rPr>
                    <w:t>70</w:t>
                  </w:r>
                </w:p>
              </w:tc>
              <w:tc>
                <w:tcPr>
                  <w:tcW w:w="4420" w:type="dxa"/>
                  <w:vAlign w:val="center"/>
                </w:tcPr>
                <w:p w14:paraId="2E3F3073">
                  <w:pPr>
                    <w:jc w:val="center"/>
                    <w:rPr>
                      <w:rFonts w:hint="eastAsia" w:ascii="宋体" w:hAnsi="宋体"/>
                      <w:sz w:val="21"/>
                      <w:szCs w:val="21"/>
                    </w:rPr>
                  </w:pPr>
                  <w:r>
                    <w:rPr>
                      <w:rFonts w:ascii="宋体" w:hAnsi="宋体"/>
                      <w:sz w:val="21"/>
                      <w:szCs w:val="21"/>
                    </w:rPr>
                    <w:t>55</w:t>
                  </w:r>
                </w:p>
              </w:tc>
            </w:tr>
          </w:tbl>
          <w:p w14:paraId="504D85D2">
            <w:pPr>
              <w:spacing w:line="360" w:lineRule="auto"/>
              <w:ind w:firstLine="2409" w:firstLineChars="1000"/>
              <w:jc w:val="both"/>
              <w:rPr>
                <w:b/>
                <w:bCs/>
                <w:u w:val="single"/>
              </w:rPr>
            </w:pPr>
            <w:r>
              <w:rPr>
                <w:rFonts w:hint="eastAsia"/>
                <w:b/>
                <w:bCs/>
                <w:u w:val="single"/>
              </w:rPr>
              <w:t xml:space="preserve">表50     </w:t>
            </w:r>
            <w:r>
              <w:rPr>
                <w:b/>
                <w:bCs/>
                <w:u w:val="single"/>
              </w:rPr>
              <w:t>厂界噪声控制标准</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51"/>
              <w:gridCol w:w="1355"/>
              <w:gridCol w:w="1984"/>
              <w:gridCol w:w="3088"/>
            </w:tblGrid>
            <w:tr w14:paraId="2C7D34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2" w:hRule="atLeast"/>
              </w:trPr>
              <w:tc>
                <w:tcPr>
                  <w:tcW w:w="2606" w:type="dxa"/>
                  <w:gridSpan w:val="2"/>
                  <w:vAlign w:val="center"/>
                </w:tcPr>
                <w:p w14:paraId="491397E3">
                  <w:pPr>
                    <w:pStyle w:val="42"/>
                    <w:rPr>
                      <w:rFonts w:hint="eastAsia" w:ascii="宋体" w:hAnsi="宋体"/>
                      <w:b/>
                      <w:bCs/>
                      <w:i/>
                      <w:iCs/>
                      <w:u w:val="single"/>
                    </w:rPr>
                  </w:pPr>
                  <w:r>
                    <w:rPr>
                      <w:rFonts w:ascii="宋体" w:hAnsi="宋体"/>
                      <w:b/>
                      <w:bCs/>
                      <w:i/>
                      <w:iCs/>
                      <w:u w:val="single"/>
                    </w:rPr>
                    <w:t>标准值dB（A）</w:t>
                  </w:r>
                </w:p>
              </w:tc>
              <w:tc>
                <w:tcPr>
                  <w:tcW w:w="1984" w:type="dxa"/>
                  <w:vMerge w:val="restart"/>
                  <w:vAlign w:val="center"/>
                </w:tcPr>
                <w:p w14:paraId="0FB6CE10">
                  <w:pPr>
                    <w:pStyle w:val="42"/>
                    <w:rPr>
                      <w:rFonts w:hint="eastAsia" w:ascii="宋体" w:hAnsi="宋体"/>
                      <w:b/>
                      <w:bCs/>
                      <w:i/>
                      <w:iCs/>
                      <w:u w:val="single"/>
                    </w:rPr>
                  </w:pPr>
                  <w:r>
                    <w:rPr>
                      <w:rFonts w:ascii="宋体" w:hAnsi="宋体"/>
                      <w:b/>
                      <w:bCs/>
                      <w:i/>
                      <w:iCs/>
                      <w:u w:val="single"/>
                    </w:rPr>
                    <w:t>声环境功能区类别</w:t>
                  </w:r>
                </w:p>
              </w:tc>
              <w:tc>
                <w:tcPr>
                  <w:tcW w:w="3088" w:type="dxa"/>
                  <w:vMerge w:val="restart"/>
                  <w:vAlign w:val="center"/>
                </w:tcPr>
                <w:p w14:paraId="730BF32F">
                  <w:pPr>
                    <w:pStyle w:val="42"/>
                    <w:rPr>
                      <w:rFonts w:hint="eastAsia" w:ascii="宋体" w:hAnsi="宋体"/>
                      <w:b/>
                      <w:bCs/>
                      <w:i/>
                      <w:iCs/>
                      <w:u w:val="single"/>
                    </w:rPr>
                  </w:pPr>
                  <w:r>
                    <w:rPr>
                      <w:rFonts w:ascii="宋体" w:hAnsi="宋体"/>
                      <w:b/>
                      <w:bCs/>
                      <w:i/>
                      <w:iCs/>
                      <w:u w:val="single"/>
                    </w:rPr>
                    <w:t>标准来源</w:t>
                  </w:r>
                </w:p>
              </w:tc>
            </w:tr>
            <w:tr w14:paraId="71543D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1251" w:type="dxa"/>
                  <w:vAlign w:val="center"/>
                </w:tcPr>
                <w:p w14:paraId="5A609270">
                  <w:pPr>
                    <w:pStyle w:val="42"/>
                    <w:rPr>
                      <w:rFonts w:hint="eastAsia" w:ascii="宋体" w:hAnsi="宋体"/>
                      <w:b/>
                      <w:bCs/>
                      <w:i/>
                      <w:iCs/>
                      <w:u w:val="single"/>
                    </w:rPr>
                  </w:pPr>
                  <w:r>
                    <w:rPr>
                      <w:rFonts w:ascii="宋体" w:hAnsi="宋体"/>
                      <w:b/>
                      <w:bCs/>
                      <w:i/>
                      <w:iCs/>
                      <w:u w:val="single"/>
                    </w:rPr>
                    <w:t>昼间</w:t>
                  </w:r>
                </w:p>
              </w:tc>
              <w:tc>
                <w:tcPr>
                  <w:tcW w:w="1355" w:type="dxa"/>
                  <w:vAlign w:val="center"/>
                </w:tcPr>
                <w:p w14:paraId="45DEC255">
                  <w:pPr>
                    <w:pStyle w:val="42"/>
                    <w:rPr>
                      <w:rFonts w:hint="eastAsia" w:ascii="宋体" w:hAnsi="宋体"/>
                      <w:b/>
                      <w:bCs/>
                      <w:i/>
                      <w:iCs/>
                      <w:u w:val="single"/>
                    </w:rPr>
                  </w:pPr>
                  <w:r>
                    <w:rPr>
                      <w:rFonts w:ascii="宋体" w:hAnsi="宋体"/>
                      <w:b/>
                      <w:bCs/>
                      <w:i/>
                      <w:iCs/>
                      <w:u w:val="single"/>
                    </w:rPr>
                    <w:t>夜间</w:t>
                  </w:r>
                </w:p>
              </w:tc>
              <w:tc>
                <w:tcPr>
                  <w:tcW w:w="1984" w:type="dxa"/>
                  <w:vMerge w:val="continue"/>
                  <w:vAlign w:val="center"/>
                </w:tcPr>
                <w:p w14:paraId="0DD20316">
                  <w:pPr>
                    <w:pStyle w:val="42"/>
                    <w:rPr>
                      <w:rFonts w:hint="eastAsia" w:ascii="宋体" w:hAnsi="宋体"/>
                      <w:b/>
                      <w:bCs/>
                      <w:i/>
                      <w:iCs/>
                      <w:u w:val="single"/>
                    </w:rPr>
                  </w:pPr>
                </w:p>
              </w:tc>
              <w:tc>
                <w:tcPr>
                  <w:tcW w:w="3088" w:type="dxa"/>
                  <w:vMerge w:val="continue"/>
                  <w:vAlign w:val="center"/>
                </w:tcPr>
                <w:p w14:paraId="4CCD0C0D">
                  <w:pPr>
                    <w:pStyle w:val="42"/>
                    <w:rPr>
                      <w:rFonts w:hint="eastAsia" w:ascii="宋体" w:hAnsi="宋体"/>
                      <w:b/>
                      <w:bCs/>
                      <w:i/>
                      <w:iCs/>
                      <w:u w:val="single"/>
                    </w:rPr>
                  </w:pPr>
                </w:p>
              </w:tc>
            </w:tr>
            <w:tr w14:paraId="4CC804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1" w:hRule="atLeast"/>
              </w:trPr>
              <w:tc>
                <w:tcPr>
                  <w:tcW w:w="1251" w:type="dxa"/>
                  <w:vAlign w:val="center"/>
                </w:tcPr>
                <w:p w14:paraId="47BE4A4A">
                  <w:pPr>
                    <w:pStyle w:val="42"/>
                    <w:rPr>
                      <w:rFonts w:hint="eastAsia" w:ascii="宋体" w:hAnsi="宋体"/>
                      <w:i/>
                      <w:iCs/>
                      <w:u w:val="single"/>
                    </w:rPr>
                  </w:pPr>
                  <w:r>
                    <w:rPr>
                      <w:rFonts w:hint="eastAsia" w:ascii="宋体" w:hAnsi="宋体"/>
                      <w:i/>
                      <w:iCs/>
                      <w:u w:val="single"/>
                    </w:rPr>
                    <w:t>55</w:t>
                  </w:r>
                </w:p>
              </w:tc>
              <w:tc>
                <w:tcPr>
                  <w:tcW w:w="1355" w:type="dxa"/>
                  <w:vAlign w:val="center"/>
                </w:tcPr>
                <w:p w14:paraId="6A34DFE8">
                  <w:pPr>
                    <w:pStyle w:val="42"/>
                    <w:rPr>
                      <w:rFonts w:hint="eastAsia" w:ascii="宋体" w:hAnsi="宋体"/>
                      <w:i/>
                      <w:iCs/>
                      <w:u w:val="single"/>
                    </w:rPr>
                  </w:pPr>
                  <w:r>
                    <w:rPr>
                      <w:rFonts w:hint="eastAsia" w:ascii="宋体" w:hAnsi="宋体"/>
                      <w:i/>
                      <w:iCs/>
                      <w:u w:val="single"/>
                    </w:rPr>
                    <w:t>45</w:t>
                  </w:r>
                </w:p>
              </w:tc>
              <w:tc>
                <w:tcPr>
                  <w:tcW w:w="1984" w:type="dxa"/>
                  <w:vAlign w:val="center"/>
                </w:tcPr>
                <w:p w14:paraId="097EBE1F">
                  <w:pPr>
                    <w:pStyle w:val="42"/>
                    <w:rPr>
                      <w:rFonts w:hint="eastAsia" w:ascii="宋体" w:hAnsi="宋体"/>
                      <w:i/>
                      <w:iCs/>
                      <w:u w:val="single"/>
                    </w:rPr>
                  </w:pPr>
                  <w:r>
                    <w:rPr>
                      <w:rFonts w:hint="eastAsia" w:ascii="宋体" w:hAnsi="宋体"/>
                      <w:i/>
                      <w:iCs/>
                      <w:u w:val="single"/>
                    </w:rPr>
                    <w:t>1</w:t>
                  </w:r>
                </w:p>
              </w:tc>
              <w:tc>
                <w:tcPr>
                  <w:tcW w:w="3088" w:type="dxa"/>
                  <w:vMerge w:val="restart"/>
                  <w:vAlign w:val="center"/>
                </w:tcPr>
                <w:p w14:paraId="5E5061E2">
                  <w:pPr>
                    <w:pStyle w:val="42"/>
                    <w:rPr>
                      <w:rFonts w:hint="eastAsia" w:ascii="宋体" w:hAnsi="宋体"/>
                      <w:i/>
                      <w:iCs/>
                      <w:u w:val="single"/>
                    </w:rPr>
                  </w:pPr>
                  <w:r>
                    <w:rPr>
                      <w:rFonts w:ascii="宋体" w:hAnsi="宋体"/>
                      <w:i/>
                      <w:iCs/>
                      <w:u w:val="single"/>
                    </w:rPr>
                    <w:t>《工业企业厂界环境噪声排放标准》（GB12348-2008）</w:t>
                  </w:r>
                </w:p>
              </w:tc>
            </w:tr>
            <w:tr w14:paraId="34413F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1" w:hRule="atLeast"/>
              </w:trPr>
              <w:tc>
                <w:tcPr>
                  <w:tcW w:w="1251" w:type="dxa"/>
                  <w:vAlign w:val="center"/>
                </w:tcPr>
                <w:p w14:paraId="3070D7AD">
                  <w:pPr>
                    <w:pStyle w:val="42"/>
                    <w:rPr>
                      <w:rFonts w:hint="eastAsia" w:ascii="宋体" w:hAnsi="宋体"/>
                      <w:i/>
                      <w:iCs/>
                      <w:u w:val="single"/>
                    </w:rPr>
                  </w:pPr>
                  <w:r>
                    <w:rPr>
                      <w:rFonts w:hint="eastAsia" w:ascii="宋体" w:hAnsi="宋体"/>
                      <w:i/>
                      <w:iCs/>
                      <w:u w:val="single"/>
                    </w:rPr>
                    <w:t>70</w:t>
                  </w:r>
                </w:p>
              </w:tc>
              <w:tc>
                <w:tcPr>
                  <w:tcW w:w="1355" w:type="dxa"/>
                  <w:vAlign w:val="center"/>
                </w:tcPr>
                <w:p w14:paraId="740EE5CE">
                  <w:pPr>
                    <w:pStyle w:val="42"/>
                    <w:rPr>
                      <w:rFonts w:hint="eastAsia" w:ascii="宋体" w:hAnsi="宋体"/>
                      <w:i/>
                      <w:iCs/>
                      <w:u w:val="single"/>
                    </w:rPr>
                  </w:pPr>
                  <w:r>
                    <w:rPr>
                      <w:rFonts w:hint="eastAsia" w:ascii="宋体" w:hAnsi="宋体"/>
                      <w:i/>
                      <w:iCs/>
                      <w:u w:val="single"/>
                    </w:rPr>
                    <w:t>55</w:t>
                  </w:r>
                </w:p>
              </w:tc>
              <w:tc>
                <w:tcPr>
                  <w:tcW w:w="1984" w:type="dxa"/>
                  <w:vAlign w:val="center"/>
                </w:tcPr>
                <w:p w14:paraId="7A93077E">
                  <w:pPr>
                    <w:pStyle w:val="42"/>
                    <w:rPr>
                      <w:rFonts w:hint="eastAsia" w:ascii="宋体" w:hAnsi="宋体"/>
                      <w:i/>
                      <w:iCs/>
                      <w:u w:val="single"/>
                    </w:rPr>
                  </w:pPr>
                  <w:r>
                    <w:rPr>
                      <w:rFonts w:hint="eastAsia" w:ascii="宋体" w:hAnsi="宋体"/>
                      <w:i/>
                      <w:iCs/>
                      <w:u w:val="single"/>
                    </w:rPr>
                    <w:t>4</w:t>
                  </w:r>
                </w:p>
              </w:tc>
              <w:tc>
                <w:tcPr>
                  <w:tcW w:w="3088" w:type="dxa"/>
                  <w:vMerge w:val="continue"/>
                  <w:vAlign w:val="center"/>
                </w:tcPr>
                <w:p w14:paraId="7593701F">
                  <w:pPr>
                    <w:pStyle w:val="42"/>
                    <w:rPr>
                      <w:rFonts w:hint="eastAsia" w:ascii="宋体" w:hAnsi="宋体"/>
                      <w:i/>
                      <w:iCs/>
                      <w:u w:val="single"/>
                    </w:rPr>
                  </w:pPr>
                </w:p>
              </w:tc>
            </w:tr>
          </w:tbl>
          <w:p w14:paraId="4D68B434">
            <w:pPr>
              <w:spacing w:line="360" w:lineRule="auto"/>
              <w:ind w:firstLine="480" w:firstLineChars="200"/>
              <w:jc w:val="left"/>
            </w:pPr>
            <w:r>
              <w:rPr>
                <w:rFonts w:hint="eastAsia"/>
              </w:rPr>
              <w:t>（4）固体废物</w:t>
            </w:r>
          </w:p>
          <w:p w14:paraId="5CD4B2B9">
            <w:pPr>
              <w:spacing w:line="360" w:lineRule="auto"/>
              <w:ind w:firstLine="480" w:firstLineChars="200"/>
            </w:pPr>
            <w:r>
              <w:rPr>
                <w:rFonts w:hint="eastAsia"/>
              </w:rPr>
              <w:t>本项目固体废物执行《一般工业固体废物贮存和填埋污染控制标准》（GB 18599-2020），危险废物执行《危险废物贮存污染控制标准》（GB 18597-2023）。</w:t>
            </w:r>
          </w:p>
        </w:tc>
      </w:tr>
      <w:tr w14:paraId="6F0F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dxa"/>
            <w:vAlign w:val="center"/>
          </w:tcPr>
          <w:p w14:paraId="19F84AA5">
            <w:pPr>
              <w:jc w:val="center"/>
            </w:pPr>
            <w:r>
              <w:rPr>
                <w:rFonts w:hint="eastAsia"/>
              </w:rPr>
              <w:t>其他</w:t>
            </w:r>
          </w:p>
        </w:tc>
        <w:tc>
          <w:tcPr>
            <w:tcW w:w="7893" w:type="dxa"/>
            <w:vAlign w:val="center"/>
          </w:tcPr>
          <w:p w14:paraId="669A5018">
            <w:pPr>
              <w:spacing w:line="360" w:lineRule="auto"/>
              <w:jc w:val="left"/>
              <w:rPr>
                <w:b/>
                <w:bCs/>
              </w:rPr>
            </w:pPr>
            <w:r>
              <w:rPr>
                <w:rFonts w:hint="eastAsia"/>
                <w:b/>
                <w:bCs/>
              </w:rPr>
              <w:t>无</w:t>
            </w:r>
          </w:p>
          <w:p w14:paraId="65545363">
            <w:pPr>
              <w:spacing w:line="360" w:lineRule="auto"/>
              <w:jc w:val="left"/>
              <w:rPr>
                <w:b/>
                <w:bCs/>
              </w:rPr>
            </w:pPr>
          </w:p>
        </w:tc>
      </w:tr>
    </w:tbl>
    <w:p w14:paraId="6B6DF1A4">
      <w:pPr>
        <w:pStyle w:val="2"/>
        <w:jc w:val="both"/>
      </w:pPr>
      <w:r>
        <w:rPr>
          <w:rFonts w:hint="eastAsia"/>
        </w:rPr>
        <w:t>四、</w:t>
      </w:r>
      <w:r>
        <w:t>生态环境影响分析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904"/>
      </w:tblGrid>
      <w:tr w14:paraId="355B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73DC0BF3">
            <w:pPr>
              <w:spacing w:line="360" w:lineRule="auto"/>
              <w:jc w:val="center"/>
            </w:pPr>
            <w:r>
              <w:rPr>
                <w:rFonts w:hint="eastAsia"/>
              </w:rPr>
              <w:t>施工期生态环境影响分析</w:t>
            </w:r>
          </w:p>
        </w:tc>
        <w:tc>
          <w:tcPr>
            <w:tcW w:w="7843" w:type="dxa"/>
            <w:vAlign w:val="center"/>
          </w:tcPr>
          <w:p w14:paraId="582734E5">
            <w:pPr>
              <w:spacing w:line="360" w:lineRule="auto"/>
              <w:ind w:firstLine="480" w:firstLineChars="200"/>
            </w:pPr>
            <w:r>
              <w:rPr>
                <w:rFonts w:hint="eastAsia"/>
              </w:rPr>
              <w:t>一、施工期污染因素分析</w:t>
            </w:r>
          </w:p>
          <w:p w14:paraId="4DF79CB0">
            <w:pPr>
              <w:spacing w:line="360" w:lineRule="auto"/>
              <w:ind w:firstLine="480" w:firstLineChars="200"/>
            </w:pPr>
            <w:r>
              <w:rPr>
                <w:rFonts w:hint="eastAsia"/>
              </w:rPr>
              <w:t>本工程施工期产生的污染物包括施工噪声、粉尘、施工车辆排放的废气、施工人员的生活污水及生活垃圾等。</w:t>
            </w:r>
          </w:p>
          <w:p w14:paraId="50F55FA3">
            <w:pPr>
              <w:spacing w:line="360" w:lineRule="auto"/>
              <w:ind w:firstLine="480" w:firstLineChars="200"/>
            </w:pPr>
            <w:r>
              <w:rPr>
                <w:rFonts w:hint="eastAsia"/>
              </w:rPr>
              <w:t>二、施工期废气环境影响分析</w:t>
            </w:r>
          </w:p>
          <w:p w14:paraId="15100BA1">
            <w:pPr>
              <w:spacing w:line="360" w:lineRule="auto"/>
              <w:ind w:firstLine="480" w:firstLineChars="200"/>
            </w:pPr>
            <w:r>
              <w:rPr>
                <w:rFonts w:hint="eastAsia"/>
              </w:rPr>
              <w:t>1、主要环节及影响因素</w:t>
            </w:r>
          </w:p>
          <w:p w14:paraId="239AD3DD">
            <w:pPr>
              <w:spacing w:line="360" w:lineRule="auto"/>
              <w:ind w:firstLine="480" w:firstLineChars="200"/>
            </w:pPr>
            <w:r>
              <w:rPr>
                <w:rFonts w:hint="eastAsia"/>
              </w:rPr>
              <w:t>本工程施工期可能造成大气环境受到影响的主要环节及影响因素主要为施工扬尘及施工机械、汽车尾气，另外还将产生极少量的焊接废气。施工扬尘主要来源于土方挖掘、回填土时产生的扬尘，土方临时堆放过程产生的扬尘，施工垃圾的清理及堆放过程产生的扬尘等场地扬尘，汽车运送材料时引起道路扬尘以及施工场地面二次扬尘等。</w:t>
            </w:r>
          </w:p>
          <w:p w14:paraId="05BE9DDB">
            <w:pPr>
              <w:spacing w:line="360" w:lineRule="auto"/>
              <w:ind w:firstLine="480" w:firstLineChars="200"/>
            </w:pPr>
            <w:r>
              <w:rPr>
                <w:rFonts w:hint="eastAsia"/>
              </w:rPr>
              <w:t>2、影响对象、途径</w:t>
            </w:r>
          </w:p>
          <w:p w14:paraId="7CBA827E">
            <w:pPr>
              <w:spacing w:line="360" w:lineRule="auto"/>
              <w:ind w:firstLine="480" w:firstLineChars="200"/>
            </w:pPr>
            <w:r>
              <w:rPr>
                <w:rFonts w:hint="eastAsia"/>
              </w:rPr>
              <w:t>施工期产生的扬尘及汽车尾气的影响对象主要为项目区域周边的大气环境，影响途径为以无组织形式排放至大气中。</w:t>
            </w:r>
          </w:p>
          <w:p w14:paraId="1A2D14DC">
            <w:pPr>
              <w:spacing w:line="360" w:lineRule="auto"/>
              <w:ind w:firstLine="480" w:firstLineChars="200"/>
            </w:pPr>
            <w:r>
              <w:rPr>
                <w:rFonts w:hint="eastAsia"/>
              </w:rPr>
              <w:t>（1）施工场地扬尘</w:t>
            </w:r>
          </w:p>
          <w:p w14:paraId="4E8603C7">
            <w:pPr>
              <w:spacing w:line="360" w:lineRule="auto"/>
              <w:ind w:firstLine="480" w:firstLineChars="200"/>
            </w:pPr>
            <w:r>
              <w:rPr>
                <w:rFonts w:hint="eastAsia"/>
              </w:rPr>
              <w:t>①风力扬尘</w:t>
            </w:r>
          </w:p>
          <w:p w14:paraId="24A65439">
            <w:pPr>
              <w:spacing w:line="360" w:lineRule="auto"/>
              <w:ind w:firstLine="480" w:firstLineChars="200"/>
            </w:pPr>
            <w:r>
              <w:rPr>
                <w:rFonts w:hint="eastAsia"/>
              </w:rPr>
              <w:t>施工期风力粉尘污染主要来源于：</w:t>
            </w:r>
          </w:p>
          <w:p w14:paraId="1BF9CFBF">
            <w:pPr>
              <w:spacing w:line="360" w:lineRule="auto"/>
              <w:ind w:firstLine="480" w:firstLineChars="200"/>
            </w:pPr>
            <w:r>
              <w:rPr>
                <w:rFonts w:hint="eastAsia"/>
              </w:rPr>
              <w:t>土方的挖掘、堆放、清运、土方回填和场地平整等过程产生的粉尘。施工材料在其装卸、运输、堆放等施工作业过程中，因风力作用将产生扬尘污染。</w:t>
            </w:r>
          </w:p>
          <w:p w14:paraId="59A39F56">
            <w:pPr>
              <w:spacing w:line="360" w:lineRule="auto"/>
              <w:ind w:firstLine="480" w:firstLineChars="200"/>
            </w:pPr>
            <w:r>
              <w:rPr>
                <w:rFonts w:hint="eastAsia"/>
              </w:rPr>
              <w:t>施工垃圾在其堆放和清运过程中将产生扬尘。</w:t>
            </w:r>
          </w:p>
          <w:p w14:paraId="6752DC8E">
            <w:pPr>
              <w:spacing w:line="360" w:lineRule="auto"/>
              <w:ind w:firstLine="480" w:firstLineChars="200"/>
            </w:pPr>
            <w:r>
              <w:rPr>
                <w:rFonts w:hint="eastAsia"/>
              </w:rPr>
              <w:t>这类扬尘量大小主要取决于风速及地表干湿状况。并且根据同类工程类比资料，施工场地在没有设置围挡等防护措施的情况下，扬尘污染浓度为500-610μg/m</w:t>
            </w:r>
            <w:r>
              <w:rPr>
                <w:rFonts w:hint="eastAsia"/>
                <w:vertAlign w:val="superscript"/>
              </w:rPr>
              <w:t>3</w:t>
            </w:r>
            <w:r>
              <w:rPr>
                <w:rFonts w:hint="eastAsia"/>
              </w:rPr>
              <w:t>。施工扬尘是施工活动中的一个重要污染因素，将对施工场地周边和管道铺设线路两侧一定范围内环境空气质量造成影响。采用类比法对施工期所产生的扬尘进行分析，经查阅资料，不同近距离施工现场扬尘的监测结果见下表（监测时风速为2.4m/s）。</w:t>
            </w:r>
          </w:p>
          <w:p w14:paraId="5DAF65D5">
            <w:pPr>
              <w:spacing w:line="360" w:lineRule="auto"/>
              <w:ind w:firstLine="480" w:firstLineChars="200"/>
            </w:pPr>
          </w:p>
          <w:p w14:paraId="5CDE738A">
            <w:pPr>
              <w:spacing w:line="360" w:lineRule="auto"/>
              <w:ind w:firstLine="482" w:firstLineChars="200"/>
              <w:jc w:val="right"/>
            </w:pPr>
            <w:r>
              <w:rPr>
                <w:rFonts w:hint="eastAsia"/>
                <w:b/>
                <w:bCs/>
              </w:rPr>
              <w:t>表51      施工工地下风向扬尘浓度监测结果</w:t>
            </w:r>
            <w:r>
              <w:rPr>
                <w:rFonts w:hint="eastAsia"/>
              </w:rPr>
              <w:t xml:space="preserve">   单位：mg/m</w:t>
            </w:r>
            <w:r>
              <w:rPr>
                <w:rFonts w:hint="eastAsia"/>
                <w:vertAlign w:val="superscript"/>
              </w:rPr>
              <w:t>3</w:t>
            </w:r>
          </w:p>
          <w:tbl>
            <w:tblPr>
              <w:tblStyle w:val="17"/>
              <w:tblW w:w="4999" w:type="pct"/>
              <w:tblInd w:w="0" w:type="dxa"/>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7"/>
              <w:gridCol w:w="1098"/>
              <w:gridCol w:w="1098"/>
              <w:gridCol w:w="1098"/>
              <w:gridCol w:w="1098"/>
              <w:gridCol w:w="1098"/>
              <w:gridCol w:w="1099"/>
            </w:tblGrid>
            <w:tr w14:paraId="7104EB23">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c>
                <w:tcPr>
                  <w:tcW w:w="713" w:type="pct"/>
                  <w:vAlign w:val="center"/>
                </w:tcPr>
                <w:p w14:paraId="5D035291">
                  <w:pPr>
                    <w:jc w:val="center"/>
                    <w:rPr>
                      <w:rFonts w:hint="eastAsia" w:ascii="宋体" w:hAnsi="宋体"/>
                      <w:sz w:val="21"/>
                      <w:szCs w:val="20"/>
                    </w:rPr>
                  </w:pPr>
                  <w:r>
                    <w:rPr>
                      <w:rFonts w:ascii="宋体" w:hAnsi="宋体"/>
                      <w:sz w:val="21"/>
                      <w:szCs w:val="20"/>
                    </w:rPr>
                    <w:t>距离</w:t>
                  </w:r>
                </w:p>
              </w:tc>
              <w:tc>
                <w:tcPr>
                  <w:tcW w:w="714" w:type="pct"/>
                  <w:vAlign w:val="center"/>
                </w:tcPr>
                <w:p w14:paraId="638371EB">
                  <w:pPr>
                    <w:jc w:val="center"/>
                    <w:rPr>
                      <w:rFonts w:hint="eastAsia" w:ascii="宋体" w:hAnsi="宋体"/>
                      <w:sz w:val="21"/>
                      <w:szCs w:val="20"/>
                    </w:rPr>
                  </w:pPr>
                  <w:r>
                    <w:rPr>
                      <w:rFonts w:ascii="宋体" w:hAnsi="宋体"/>
                      <w:sz w:val="21"/>
                      <w:szCs w:val="20"/>
                    </w:rPr>
                    <w:t>20m</w:t>
                  </w:r>
                </w:p>
              </w:tc>
              <w:tc>
                <w:tcPr>
                  <w:tcW w:w="714" w:type="pct"/>
                  <w:vAlign w:val="center"/>
                </w:tcPr>
                <w:p w14:paraId="44B63E21">
                  <w:pPr>
                    <w:jc w:val="center"/>
                    <w:rPr>
                      <w:rFonts w:hint="eastAsia" w:ascii="宋体" w:hAnsi="宋体"/>
                      <w:sz w:val="21"/>
                      <w:szCs w:val="20"/>
                    </w:rPr>
                  </w:pPr>
                  <w:r>
                    <w:rPr>
                      <w:rFonts w:ascii="宋体" w:hAnsi="宋体"/>
                      <w:sz w:val="21"/>
                      <w:szCs w:val="20"/>
                    </w:rPr>
                    <w:t>50m</w:t>
                  </w:r>
                </w:p>
              </w:tc>
              <w:tc>
                <w:tcPr>
                  <w:tcW w:w="714" w:type="pct"/>
                  <w:vAlign w:val="center"/>
                </w:tcPr>
                <w:p w14:paraId="1E7A5833">
                  <w:pPr>
                    <w:jc w:val="center"/>
                    <w:rPr>
                      <w:rFonts w:hint="eastAsia" w:ascii="宋体" w:hAnsi="宋体"/>
                      <w:sz w:val="21"/>
                      <w:szCs w:val="20"/>
                    </w:rPr>
                  </w:pPr>
                  <w:r>
                    <w:rPr>
                      <w:rFonts w:ascii="宋体" w:hAnsi="宋体"/>
                      <w:sz w:val="21"/>
                      <w:szCs w:val="20"/>
                    </w:rPr>
                    <w:t>100m</w:t>
                  </w:r>
                </w:p>
              </w:tc>
              <w:tc>
                <w:tcPr>
                  <w:tcW w:w="714" w:type="pct"/>
                  <w:vAlign w:val="center"/>
                </w:tcPr>
                <w:p w14:paraId="569658B2">
                  <w:pPr>
                    <w:jc w:val="center"/>
                    <w:rPr>
                      <w:rFonts w:hint="eastAsia" w:ascii="宋体" w:hAnsi="宋体"/>
                      <w:sz w:val="21"/>
                      <w:szCs w:val="20"/>
                    </w:rPr>
                  </w:pPr>
                  <w:r>
                    <w:rPr>
                      <w:rFonts w:ascii="宋体" w:hAnsi="宋体"/>
                      <w:sz w:val="21"/>
                      <w:szCs w:val="20"/>
                    </w:rPr>
                    <w:t>150m</w:t>
                  </w:r>
                </w:p>
              </w:tc>
              <w:tc>
                <w:tcPr>
                  <w:tcW w:w="714" w:type="pct"/>
                  <w:vAlign w:val="center"/>
                </w:tcPr>
                <w:p w14:paraId="60D57908">
                  <w:pPr>
                    <w:jc w:val="center"/>
                    <w:rPr>
                      <w:rFonts w:hint="eastAsia" w:ascii="宋体" w:hAnsi="宋体"/>
                      <w:sz w:val="21"/>
                      <w:szCs w:val="20"/>
                    </w:rPr>
                  </w:pPr>
                  <w:r>
                    <w:rPr>
                      <w:rFonts w:ascii="宋体" w:hAnsi="宋体"/>
                      <w:sz w:val="21"/>
                      <w:szCs w:val="20"/>
                    </w:rPr>
                    <w:t>200m</w:t>
                  </w:r>
                </w:p>
              </w:tc>
              <w:tc>
                <w:tcPr>
                  <w:tcW w:w="714" w:type="pct"/>
                  <w:vAlign w:val="center"/>
                </w:tcPr>
                <w:p w14:paraId="789115F9">
                  <w:pPr>
                    <w:jc w:val="center"/>
                    <w:rPr>
                      <w:rFonts w:hint="eastAsia" w:ascii="宋体" w:hAnsi="宋体"/>
                      <w:sz w:val="21"/>
                      <w:szCs w:val="20"/>
                    </w:rPr>
                  </w:pPr>
                  <w:r>
                    <w:rPr>
                      <w:rFonts w:ascii="宋体" w:hAnsi="宋体"/>
                      <w:sz w:val="21"/>
                      <w:szCs w:val="20"/>
                    </w:rPr>
                    <w:t>250m</w:t>
                  </w:r>
                </w:p>
              </w:tc>
            </w:tr>
            <w:tr w14:paraId="5C50FF7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0" w:type="dxa"/>
                  <w:bottom w:w="0" w:type="dxa"/>
                  <w:right w:w="0" w:type="dxa"/>
                </w:tblCellMar>
              </w:tblPrEx>
              <w:tc>
                <w:tcPr>
                  <w:tcW w:w="713" w:type="pct"/>
                  <w:vAlign w:val="center"/>
                </w:tcPr>
                <w:p w14:paraId="64BD9D51">
                  <w:pPr>
                    <w:jc w:val="center"/>
                    <w:rPr>
                      <w:rFonts w:hint="eastAsia" w:ascii="宋体" w:hAnsi="宋体"/>
                      <w:sz w:val="21"/>
                      <w:szCs w:val="20"/>
                    </w:rPr>
                  </w:pPr>
                  <w:r>
                    <w:rPr>
                      <w:rFonts w:ascii="宋体" w:hAnsi="宋体"/>
                      <w:sz w:val="21"/>
                      <w:szCs w:val="20"/>
                    </w:rPr>
                    <w:t>浓度</w:t>
                  </w:r>
                </w:p>
              </w:tc>
              <w:tc>
                <w:tcPr>
                  <w:tcW w:w="714" w:type="pct"/>
                  <w:vAlign w:val="center"/>
                </w:tcPr>
                <w:p w14:paraId="59491327">
                  <w:pPr>
                    <w:jc w:val="center"/>
                    <w:rPr>
                      <w:rFonts w:hint="eastAsia" w:ascii="宋体" w:hAnsi="宋体"/>
                      <w:sz w:val="21"/>
                      <w:szCs w:val="20"/>
                    </w:rPr>
                  </w:pPr>
                  <w:r>
                    <w:rPr>
                      <w:rFonts w:ascii="宋体" w:hAnsi="宋体"/>
                      <w:sz w:val="21"/>
                      <w:szCs w:val="20"/>
                    </w:rPr>
                    <w:t>1.503</w:t>
                  </w:r>
                </w:p>
              </w:tc>
              <w:tc>
                <w:tcPr>
                  <w:tcW w:w="714" w:type="pct"/>
                  <w:vAlign w:val="center"/>
                </w:tcPr>
                <w:p w14:paraId="63709A21">
                  <w:pPr>
                    <w:jc w:val="center"/>
                    <w:rPr>
                      <w:rFonts w:hint="eastAsia" w:ascii="宋体" w:hAnsi="宋体"/>
                      <w:sz w:val="21"/>
                      <w:szCs w:val="20"/>
                    </w:rPr>
                  </w:pPr>
                  <w:r>
                    <w:rPr>
                      <w:rFonts w:ascii="宋体" w:hAnsi="宋体"/>
                      <w:sz w:val="21"/>
                      <w:szCs w:val="20"/>
                    </w:rPr>
                    <w:t>0.922</w:t>
                  </w:r>
                </w:p>
              </w:tc>
              <w:tc>
                <w:tcPr>
                  <w:tcW w:w="714" w:type="pct"/>
                  <w:vAlign w:val="center"/>
                </w:tcPr>
                <w:p w14:paraId="71D5D175">
                  <w:pPr>
                    <w:jc w:val="center"/>
                    <w:rPr>
                      <w:rFonts w:hint="eastAsia" w:ascii="宋体" w:hAnsi="宋体"/>
                      <w:sz w:val="21"/>
                      <w:szCs w:val="20"/>
                    </w:rPr>
                  </w:pPr>
                  <w:r>
                    <w:rPr>
                      <w:rFonts w:ascii="宋体" w:hAnsi="宋体"/>
                      <w:sz w:val="21"/>
                      <w:szCs w:val="20"/>
                    </w:rPr>
                    <w:t>0.602</w:t>
                  </w:r>
                </w:p>
              </w:tc>
              <w:tc>
                <w:tcPr>
                  <w:tcW w:w="714" w:type="pct"/>
                  <w:vAlign w:val="center"/>
                </w:tcPr>
                <w:p w14:paraId="32D15DCE">
                  <w:pPr>
                    <w:jc w:val="center"/>
                    <w:rPr>
                      <w:rFonts w:hint="eastAsia" w:ascii="宋体" w:hAnsi="宋体"/>
                      <w:sz w:val="21"/>
                      <w:szCs w:val="20"/>
                    </w:rPr>
                  </w:pPr>
                  <w:r>
                    <w:rPr>
                      <w:rFonts w:ascii="宋体" w:hAnsi="宋体"/>
                      <w:sz w:val="21"/>
                      <w:szCs w:val="20"/>
                    </w:rPr>
                    <w:t>0.591</w:t>
                  </w:r>
                </w:p>
              </w:tc>
              <w:tc>
                <w:tcPr>
                  <w:tcW w:w="714" w:type="pct"/>
                  <w:vAlign w:val="center"/>
                </w:tcPr>
                <w:p w14:paraId="25087BAF">
                  <w:pPr>
                    <w:jc w:val="center"/>
                    <w:rPr>
                      <w:rFonts w:hint="eastAsia" w:ascii="宋体" w:hAnsi="宋体"/>
                      <w:sz w:val="21"/>
                      <w:szCs w:val="20"/>
                    </w:rPr>
                  </w:pPr>
                  <w:r>
                    <w:rPr>
                      <w:rFonts w:ascii="宋体" w:hAnsi="宋体"/>
                      <w:sz w:val="21"/>
                      <w:szCs w:val="20"/>
                    </w:rPr>
                    <w:t>0.512</w:t>
                  </w:r>
                </w:p>
              </w:tc>
              <w:tc>
                <w:tcPr>
                  <w:tcW w:w="714" w:type="pct"/>
                  <w:vAlign w:val="center"/>
                </w:tcPr>
                <w:p w14:paraId="517DA5DD">
                  <w:pPr>
                    <w:jc w:val="center"/>
                    <w:rPr>
                      <w:rFonts w:hint="eastAsia" w:ascii="宋体" w:hAnsi="宋体"/>
                      <w:sz w:val="21"/>
                      <w:szCs w:val="20"/>
                    </w:rPr>
                  </w:pPr>
                  <w:r>
                    <w:rPr>
                      <w:rFonts w:ascii="宋体" w:hAnsi="宋体"/>
                      <w:sz w:val="21"/>
                      <w:szCs w:val="20"/>
                    </w:rPr>
                    <w:t>0.406</w:t>
                  </w:r>
                </w:p>
              </w:tc>
            </w:tr>
          </w:tbl>
          <w:p w14:paraId="27C2BD27">
            <w:pPr>
              <w:spacing w:line="360" w:lineRule="auto"/>
              <w:ind w:firstLine="480" w:firstLineChars="200"/>
            </w:pPr>
            <w:r>
              <w:rPr>
                <w:rFonts w:hint="eastAsia"/>
              </w:rPr>
              <w:t>从上表内容可以看出，施工场地下风向50m处颗粒物浓度已经低于《大气污染物综合排放标准》（GB 16297-1996）中规定的颗粒物无组织排放浓度限值（1.0mg/m</w:t>
            </w:r>
            <w:r>
              <w:rPr>
                <w:rFonts w:hint="eastAsia"/>
                <w:vertAlign w:val="superscript"/>
              </w:rPr>
              <w:t>3</w:t>
            </w:r>
            <w:r>
              <w:rPr>
                <w:rFonts w:hint="eastAsia"/>
              </w:rPr>
              <w:t>）；施工期扬尘对环境的影响随着下风向距离的增加而逐渐减少，距离施工场地250m范围内的环境敏感点受到不同程度的影响。本项目周边250m范围内无环境敏感点，因此本项目的施工扬尘不会对区域内环境敏感目标产生明显的影响。为减少施工扬尘对区域环境空气质量的影响，评价建议施工期建立施工工地动态管理清单，全面开展标准化施工，严格落实施工管理制度及施工要求；组织做好重污染天气预警、大风天气条件下施工工地、道路扬尘管控；施工区采取设置围挡、临时堆土覆盖、道路洒水等措施，减少对项目所在区域环境空气质量的环境影响。</w:t>
            </w:r>
          </w:p>
          <w:p w14:paraId="74DF4A12">
            <w:pPr>
              <w:spacing w:line="360" w:lineRule="auto"/>
              <w:ind w:firstLine="480" w:firstLineChars="200"/>
            </w:pPr>
            <w:r>
              <w:rPr>
                <w:rFonts w:hint="eastAsia"/>
              </w:rPr>
              <w:t>②动力扬尘</w:t>
            </w:r>
          </w:p>
          <w:p w14:paraId="49716C74">
            <w:pPr>
              <w:spacing w:line="360" w:lineRule="auto"/>
              <w:ind w:firstLine="480" w:firstLineChars="200"/>
            </w:pPr>
            <w:r>
              <w:rPr>
                <w:rFonts w:hint="eastAsia"/>
              </w:rPr>
              <w:t>动力起尘主要为车辆行驶产生的扬尘。车辆行驶产生扬尘，在完全干燥情况下，可按下列经验公式计算：</w:t>
            </w:r>
          </w:p>
          <w:p w14:paraId="6C3B2F8B">
            <w:pPr>
              <w:spacing w:line="360" w:lineRule="auto"/>
              <w:jc w:val="center"/>
            </w:pPr>
            <w:r>
              <w:rPr>
                <w:lang w:eastAsia="en-US"/>
              </w:rPr>
              <w:drawing>
                <wp:inline distT="0" distB="0" distL="114300" distR="114300">
                  <wp:extent cx="2565400" cy="521970"/>
                  <wp:effectExtent l="0" t="0" r="6350" b="11430"/>
                  <wp:docPr id="2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2"/>
                          <pic:cNvPicPr>
                            <a:picLocks noChangeAspect="1"/>
                          </pic:cNvPicPr>
                        </pic:nvPicPr>
                        <pic:blipFill>
                          <a:blip r:embed="rId22"/>
                          <a:stretch>
                            <a:fillRect/>
                          </a:stretch>
                        </pic:blipFill>
                        <pic:spPr>
                          <a:xfrm>
                            <a:off x="0" y="0"/>
                            <a:ext cx="2565400" cy="521970"/>
                          </a:xfrm>
                          <a:prstGeom prst="rect">
                            <a:avLst/>
                          </a:prstGeom>
                          <a:noFill/>
                          <a:ln>
                            <a:noFill/>
                          </a:ln>
                        </pic:spPr>
                      </pic:pic>
                    </a:graphicData>
                  </a:graphic>
                </wp:inline>
              </w:drawing>
            </w:r>
          </w:p>
          <w:p w14:paraId="11A3B53B">
            <w:pPr>
              <w:spacing w:line="360" w:lineRule="auto"/>
              <w:ind w:firstLine="480" w:firstLineChars="200"/>
            </w:pPr>
            <w:r>
              <w:rPr>
                <w:rFonts w:hint="eastAsia"/>
              </w:rPr>
              <w:t>式中：Q—汽车行驶的扬尘，kg/km·辆；</w:t>
            </w:r>
          </w:p>
          <w:p w14:paraId="506C54C0">
            <w:pPr>
              <w:spacing w:line="360" w:lineRule="auto"/>
              <w:ind w:firstLine="1200" w:firstLineChars="500"/>
            </w:pPr>
            <w:r>
              <w:rPr>
                <w:rFonts w:hint="eastAsia"/>
              </w:rPr>
              <w:t>V—汽车速度，km/hr；</w:t>
            </w:r>
          </w:p>
          <w:p w14:paraId="66FC2C0E">
            <w:pPr>
              <w:spacing w:line="360" w:lineRule="auto"/>
              <w:ind w:firstLine="1200" w:firstLineChars="500"/>
            </w:pPr>
            <w:r>
              <w:rPr>
                <w:rFonts w:hint="eastAsia"/>
              </w:rPr>
              <w:t>W—汽车载重量，t；</w:t>
            </w:r>
          </w:p>
          <w:p w14:paraId="7332FAE9">
            <w:pPr>
              <w:spacing w:line="360" w:lineRule="auto"/>
              <w:ind w:firstLine="1200" w:firstLineChars="500"/>
            </w:pPr>
            <w:r>
              <w:rPr>
                <w:rFonts w:hint="eastAsia"/>
              </w:rPr>
              <w:t>P—道路表面粉尘量，kg/m</w:t>
            </w:r>
            <w:r>
              <w:rPr>
                <w:rFonts w:hint="eastAsia"/>
                <w:vertAlign w:val="superscript"/>
              </w:rPr>
              <w:t>2</w:t>
            </w:r>
            <w:r>
              <w:rPr>
                <w:rFonts w:hint="eastAsia"/>
              </w:rPr>
              <w:t>。</w:t>
            </w:r>
          </w:p>
          <w:p w14:paraId="3770E2A8">
            <w:pPr>
              <w:spacing w:line="360" w:lineRule="auto"/>
              <w:ind w:firstLine="480" w:firstLineChars="200"/>
            </w:pPr>
            <w:r>
              <w:rPr>
                <w:rFonts w:hint="eastAsia"/>
              </w:rPr>
              <w:t>一般当一辆10吨的卡车通过一段1000m的路面时，不同车速及地面清洁程度的汽车扬尘详见下表52，施工场地洒水抑尘试验结果见下表53。</w:t>
            </w:r>
          </w:p>
          <w:p w14:paraId="297FD44C">
            <w:pPr>
              <w:spacing w:line="360" w:lineRule="auto"/>
              <w:ind w:firstLine="480" w:firstLineChars="200"/>
            </w:pPr>
          </w:p>
          <w:p w14:paraId="007CF6D2">
            <w:pPr>
              <w:spacing w:line="360" w:lineRule="auto"/>
              <w:ind w:firstLine="482" w:firstLineChars="200"/>
              <w:jc w:val="right"/>
              <w:rPr>
                <w:rStyle w:val="49"/>
              </w:rPr>
            </w:pPr>
            <w:r>
              <w:rPr>
                <w:b/>
                <w:bCs/>
              </w:rPr>
              <w:t>表</w:t>
            </w:r>
            <w:r>
              <w:rPr>
                <w:rFonts w:hint="eastAsia"/>
                <w:b/>
                <w:bCs/>
              </w:rPr>
              <w:t xml:space="preserve">52   </w:t>
            </w:r>
            <w:r>
              <w:rPr>
                <w:b/>
                <w:bCs/>
              </w:rPr>
              <w:t>不同车速和地面清洁程度时的汽车扬尘</w:t>
            </w:r>
            <w:r>
              <w:rPr>
                <w:rFonts w:hint="eastAsia"/>
                <w:b/>
                <w:bCs/>
              </w:rPr>
              <w:t xml:space="preserve">  </w:t>
            </w:r>
            <w:r>
              <w:rPr>
                <w:rFonts w:hint="eastAsia"/>
              </w:rPr>
              <w:t xml:space="preserve"> </w:t>
            </w:r>
            <w:r>
              <w:t>单位：kg/km·辆</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96"/>
              <w:gridCol w:w="1376"/>
              <w:gridCol w:w="1080"/>
              <w:gridCol w:w="1080"/>
              <w:gridCol w:w="1080"/>
              <w:gridCol w:w="1080"/>
              <w:gridCol w:w="1093"/>
            </w:tblGrid>
            <w:tr w14:paraId="04507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4" w:hRule="atLeast"/>
              </w:trPr>
              <w:tc>
                <w:tcPr>
                  <w:tcW w:w="582" w:type="pct"/>
                  <w:vAlign w:val="center"/>
                </w:tcPr>
                <w:p w14:paraId="55157AB4">
                  <w:pPr>
                    <w:jc w:val="center"/>
                    <w:rPr>
                      <w:rFonts w:cs="Times New Roman"/>
                      <w:b/>
                      <w:bCs/>
                      <w:sz w:val="21"/>
                      <w:szCs w:val="20"/>
                    </w:rPr>
                  </w:pPr>
                  <w:r>
                    <w:rPr>
                      <w:rFonts w:cs="Times New Roman"/>
                      <w:b/>
                      <w:bCs/>
                      <w:sz w:val="21"/>
                      <w:szCs w:val="20"/>
                    </w:rPr>
                    <w:t>车速</w:t>
                  </w:r>
                </w:p>
              </w:tc>
              <w:tc>
                <w:tcPr>
                  <w:tcW w:w="894" w:type="pct"/>
                  <w:vAlign w:val="center"/>
                </w:tcPr>
                <w:p w14:paraId="34112FDF">
                  <w:pPr>
                    <w:jc w:val="center"/>
                    <w:rPr>
                      <w:rFonts w:cs="Times New Roman"/>
                      <w:b/>
                      <w:bCs/>
                      <w:sz w:val="21"/>
                      <w:szCs w:val="20"/>
                    </w:rPr>
                  </w:pPr>
                  <w:r>
                    <w:rPr>
                      <w:rFonts w:cs="Times New Roman"/>
                      <w:b/>
                      <w:bCs/>
                      <w:sz w:val="21"/>
                      <w:szCs w:val="20"/>
                    </w:rPr>
                    <w:t>0.1（kg/m</w:t>
                  </w:r>
                  <w:r>
                    <w:rPr>
                      <w:rFonts w:cs="Times New Roman"/>
                      <w:b/>
                      <w:bCs/>
                      <w:sz w:val="21"/>
                      <w:szCs w:val="20"/>
                      <w:vertAlign w:val="superscript"/>
                    </w:rPr>
                    <w:t>2</w:t>
                  </w:r>
                  <w:r>
                    <w:rPr>
                      <w:rFonts w:cs="Times New Roman"/>
                      <w:b/>
                      <w:bCs/>
                      <w:sz w:val="21"/>
                      <w:szCs w:val="20"/>
                    </w:rPr>
                    <w:t>）</w:t>
                  </w:r>
                </w:p>
              </w:tc>
              <w:tc>
                <w:tcPr>
                  <w:tcW w:w="702" w:type="pct"/>
                  <w:vAlign w:val="center"/>
                </w:tcPr>
                <w:p w14:paraId="12665335">
                  <w:pPr>
                    <w:jc w:val="center"/>
                    <w:rPr>
                      <w:rFonts w:cs="Times New Roman"/>
                      <w:b/>
                      <w:bCs/>
                      <w:sz w:val="21"/>
                      <w:szCs w:val="20"/>
                    </w:rPr>
                  </w:pPr>
                  <w:r>
                    <w:rPr>
                      <w:rFonts w:cs="Times New Roman"/>
                      <w:b/>
                      <w:bCs/>
                      <w:sz w:val="21"/>
                      <w:szCs w:val="20"/>
                    </w:rPr>
                    <w:t>0.2（kg/m</w:t>
                  </w:r>
                  <w:r>
                    <w:rPr>
                      <w:rFonts w:cs="Times New Roman"/>
                      <w:b/>
                      <w:bCs/>
                      <w:sz w:val="21"/>
                      <w:szCs w:val="20"/>
                      <w:vertAlign w:val="superscript"/>
                    </w:rPr>
                    <w:t>2</w:t>
                  </w:r>
                  <w:r>
                    <w:rPr>
                      <w:rFonts w:cs="Times New Roman"/>
                      <w:b/>
                      <w:bCs/>
                      <w:sz w:val="21"/>
                      <w:szCs w:val="20"/>
                    </w:rPr>
                    <w:t>）</w:t>
                  </w:r>
                </w:p>
              </w:tc>
              <w:tc>
                <w:tcPr>
                  <w:tcW w:w="702" w:type="pct"/>
                  <w:vAlign w:val="center"/>
                </w:tcPr>
                <w:p w14:paraId="7A92DFE2">
                  <w:pPr>
                    <w:jc w:val="center"/>
                    <w:rPr>
                      <w:rFonts w:cs="Times New Roman"/>
                      <w:b/>
                      <w:bCs/>
                      <w:sz w:val="21"/>
                      <w:szCs w:val="20"/>
                    </w:rPr>
                  </w:pPr>
                  <w:r>
                    <w:rPr>
                      <w:rFonts w:cs="Times New Roman"/>
                      <w:b/>
                      <w:bCs/>
                      <w:sz w:val="21"/>
                      <w:szCs w:val="20"/>
                    </w:rPr>
                    <w:t>0.3（kg/m</w:t>
                  </w:r>
                  <w:r>
                    <w:rPr>
                      <w:rFonts w:cs="Times New Roman"/>
                      <w:b/>
                      <w:bCs/>
                      <w:sz w:val="21"/>
                      <w:szCs w:val="20"/>
                      <w:vertAlign w:val="superscript"/>
                    </w:rPr>
                    <w:t>2</w:t>
                  </w:r>
                  <w:r>
                    <w:rPr>
                      <w:rFonts w:cs="Times New Roman"/>
                      <w:b/>
                      <w:bCs/>
                      <w:sz w:val="21"/>
                      <w:szCs w:val="20"/>
                    </w:rPr>
                    <w:t>）</w:t>
                  </w:r>
                </w:p>
              </w:tc>
              <w:tc>
                <w:tcPr>
                  <w:tcW w:w="702" w:type="pct"/>
                  <w:vAlign w:val="center"/>
                </w:tcPr>
                <w:p w14:paraId="6FA3D3D0">
                  <w:pPr>
                    <w:jc w:val="center"/>
                    <w:rPr>
                      <w:rFonts w:cs="Times New Roman"/>
                      <w:b/>
                      <w:bCs/>
                      <w:sz w:val="21"/>
                      <w:szCs w:val="20"/>
                    </w:rPr>
                  </w:pPr>
                  <w:r>
                    <w:rPr>
                      <w:rFonts w:cs="Times New Roman"/>
                      <w:b/>
                      <w:bCs/>
                      <w:sz w:val="21"/>
                      <w:szCs w:val="20"/>
                    </w:rPr>
                    <w:t>0.4（kg/m</w:t>
                  </w:r>
                  <w:r>
                    <w:rPr>
                      <w:rFonts w:cs="Times New Roman"/>
                      <w:b/>
                      <w:bCs/>
                      <w:sz w:val="21"/>
                      <w:szCs w:val="20"/>
                      <w:vertAlign w:val="superscript"/>
                    </w:rPr>
                    <w:t>2</w:t>
                  </w:r>
                  <w:r>
                    <w:rPr>
                      <w:rFonts w:cs="Times New Roman"/>
                      <w:b/>
                      <w:bCs/>
                      <w:sz w:val="21"/>
                      <w:szCs w:val="20"/>
                    </w:rPr>
                    <w:t>）</w:t>
                  </w:r>
                </w:p>
              </w:tc>
              <w:tc>
                <w:tcPr>
                  <w:tcW w:w="702" w:type="pct"/>
                  <w:vAlign w:val="center"/>
                </w:tcPr>
                <w:p w14:paraId="7B01D65C">
                  <w:pPr>
                    <w:jc w:val="center"/>
                    <w:rPr>
                      <w:rFonts w:cs="Times New Roman"/>
                      <w:b/>
                      <w:bCs/>
                      <w:sz w:val="21"/>
                      <w:szCs w:val="20"/>
                    </w:rPr>
                  </w:pPr>
                  <w:r>
                    <w:rPr>
                      <w:rFonts w:cs="Times New Roman"/>
                      <w:b/>
                      <w:bCs/>
                      <w:sz w:val="21"/>
                      <w:szCs w:val="20"/>
                    </w:rPr>
                    <w:t>0.5（kg/m</w:t>
                  </w:r>
                  <w:r>
                    <w:rPr>
                      <w:rFonts w:cs="Times New Roman"/>
                      <w:b/>
                      <w:bCs/>
                      <w:sz w:val="21"/>
                      <w:szCs w:val="20"/>
                      <w:vertAlign w:val="superscript"/>
                    </w:rPr>
                    <w:t>2</w:t>
                  </w:r>
                  <w:r>
                    <w:rPr>
                      <w:rFonts w:cs="Times New Roman"/>
                      <w:b/>
                      <w:bCs/>
                      <w:sz w:val="21"/>
                      <w:szCs w:val="20"/>
                    </w:rPr>
                    <w:t>）</w:t>
                  </w:r>
                </w:p>
              </w:tc>
              <w:tc>
                <w:tcPr>
                  <w:tcW w:w="710" w:type="pct"/>
                  <w:vAlign w:val="center"/>
                </w:tcPr>
                <w:p w14:paraId="108974BF">
                  <w:pPr>
                    <w:jc w:val="center"/>
                    <w:rPr>
                      <w:rFonts w:cs="Times New Roman"/>
                      <w:b/>
                      <w:bCs/>
                      <w:sz w:val="21"/>
                      <w:szCs w:val="20"/>
                    </w:rPr>
                  </w:pPr>
                  <w:r>
                    <w:rPr>
                      <w:rFonts w:cs="Times New Roman"/>
                      <w:b/>
                      <w:bCs/>
                      <w:sz w:val="21"/>
                      <w:szCs w:val="20"/>
                    </w:rPr>
                    <w:t>1.0（kg/m</w:t>
                  </w:r>
                  <w:r>
                    <w:rPr>
                      <w:rFonts w:cs="Times New Roman"/>
                      <w:b/>
                      <w:bCs/>
                      <w:sz w:val="21"/>
                      <w:szCs w:val="20"/>
                      <w:vertAlign w:val="superscript"/>
                    </w:rPr>
                    <w:t>2</w:t>
                  </w:r>
                  <w:r>
                    <w:rPr>
                      <w:rFonts w:cs="Times New Roman"/>
                      <w:b/>
                      <w:bCs/>
                      <w:sz w:val="21"/>
                      <w:szCs w:val="20"/>
                    </w:rPr>
                    <w:t>）</w:t>
                  </w:r>
                </w:p>
              </w:tc>
            </w:tr>
            <w:tr w14:paraId="61AC2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82" w:type="pct"/>
                  <w:vAlign w:val="center"/>
                </w:tcPr>
                <w:p w14:paraId="1E03CCED">
                  <w:pPr>
                    <w:jc w:val="center"/>
                    <w:rPr>
                      <w:rFonts w:cs="Times New Roman"/>
                      <w:sz w:val="21"/>
                      <w:szCs w:val="20"/>
                    </w:rPr>
                  </w:pPr>
                  <w:r>
                    <w:rPr>
                      <w:rFonts w:cs="Times New Roman"/>
                      <w:sz w:val="21"/>
                      <w:szCs w:val="20"/>
                    </w:rPr>
                    <w:t>5(km/h)</w:t>
                  </w:r>
                </w:p>
              </w:tc>
              <w:tc>
                <w:tcPr>
                  <w:tcW w:w="894" w:type="pct"/>
                  <w:vAlign w:val="center"/>
                </w:tcPr>
                <w:p w14:paraId="12D95886">
                  <w:pPr>
                    <w:jc w:val="center"/>
                    <w:rPr>
                      <w:rFonts w:cs="Times New Roman"/>
                      <w:sz w:val="21"/>
                      <w:szCs w:val="20"/>
                    </w:rPr>
                  </w:pPr>
                  <w:r>
                    <w:rPr>
                      <w:rFonts w:cs="Times New Roman"/>
                      <w:sz w:val="21"/>
                      <w:szCs w:val="20"/>
                    </w:rPr>
                    <w:t>0.0283</w:t>
                  </w:r>
                </w:p>
              </w:tc>
              <w:tc>
                <w:tcPr>
                  <w:tcW w:w="702" w:type="pct"/>
                  <w:vAlign w:val="center"/>
                </w:tcPr>
                <w:p w14:paraId="3725B78A">
                  <w:pPr>
                    <w:jc w:val="center"/>
                    <w:rPr>
                      <w:rFonts w:cs="Times New Roman"/>
                      <w:sz w:val="21"/>
                      <w:szCs w:val="20"/>
                    </w:rPr>
                  </w:pPr>
                  <w:r>
                    <w:rPr>
                      <w:rFonts w:cs="Times New Roman"/>
                      <w:sz w:val="21"/>
                      <w:szCs w:val="20"/>
                    </w:rPr>
                    <w:t>0.0476</w:t>
                  </w:r>
                </w:p>
              </w:tc>
              <w:tc>
                <w:tcPr>
                  <w:tcW w:w="702" w:type="pct"/>
                  <w:vAlign w:val="center"/>
                </w:tcPr>
                <w:p w14:paraId="3CFEFF13">
                  <w:pPr>
                    <w:jc w:val="center"/>
                    <w:rPr>
                      <w:rFonts w:cs="Times New Roman"/>
                      <w:sz w:val="21"/>
                      <w:szCs w:val="20"/>
                    </w:rPr>
                  </w:pPr>
                  <w:r>
                    <w:rPr>
                      <w:rFonts w:cs="Times New Roman"/>
                      <w:sz w:val="21"/>
                      <w:szCs w:val="20"/>
                    </w:rPr>
                    <w:t>0.0646</w:t>
                  </w:r>
                </w:p>
              </w:tc>
              <w:tc>
                <w:tcPr>
                  <w:tcW w:w="702" w:type="pct"/>
                  <w:vAlign w:val="center"/>
                </w:tcPr>
                <w:p w14:paraId="1D8C62DB">
                  <w:pPr>
                    <w:jc w:val="center"/>
                    <w:rPr>
                      <w:rFonts w:cs="Times New Roman"/>
                      <w:sz w:val="21"/>
                      <w:szCs w:val="20"/>
                    </w:rPr>
                  </w:pPr>
                  <w:r>
                    <w:rPr>
                      <w:rFonts w:cs="Times New Roman"/>
                      <w:sz w:val="21"/>
                      <w:szCs w:val="20"/>
                    </w:rPr>
                    <w:t>0.0801</w:t>
                  </w:r>
                </w:p>
              </w:tc>
              <w:tc>
                <w:tcPr>
                  <w:tcW w:w="702" w:type="pct"/>
                  <w:vAlign w:val="center"/>
                </w:tcPr>
                <w:p w14:paraId="2DB93511">
                  <w:pPr>
                    <w:jc w:val="center"/>
                    <w:rPr>
                      <w:rFonts w:cs="Times New Roman"/>
                      <w:sz w:val="21"/>
                      <w:szCs w:val="20"/>
                    </w:rPr>
                  </w:pPr>
                  <w:r>
                    <w:rPr>
                      <w:rFonts w:cs="Times New Roman"/>
                      <w:sz w:val="21"/>
                      <w:szCs w:val="20"/>
                    </w:rPr>
                    <w:t>0.0947</w:t>
                  </w:r>
                </w:p>
              </w:tc>
              <w:tc>
                <w:tcPr>
                  <w:tcW w:w="710" w:type="pct"/>
                  <w:vAlign w:val="center"/>
                </w:tcPr>
                <w:p w14:paraId="353587EC">
                  <w:pPr>
                    <w:jc w:val="center"/>
                    <w:rPr>
                      <w:rFonts w:cs="Times New Roman"/>
                      <w:sz w:val="21"/>
                      <w:szCs w:val="20"/>
                    </w:rPr>
                  </w:pPr>
                  <w:r>
                    <w:rPr>
                      <w:rFonts w:cs="Times New Roman"/>
                      <w:sz w:val="21"/>
                      <w:szCs w:val="20"/>
                    </w:rPr>
                    <w:t>0.1593</w:t>
                  </w:r>
                </w:p>
              </w:tc>
            </w:tr>
            <w:tr w14:paraId="3756C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82" w:type="pct"/>
                  <w:vAlign w:val="center"/>
                </w:tcPr>
                <w:p w14:paraId="2518FA64">
                  <w:pPr>
                    <w:jc w:val="center"/>
                    <w:rPr>
                      <w:rFonts w:cs="Times New Roman"/>
                      <w:sz w:val="21"/>
                      <w:szCs w:val="20"/>
                    </w:rPr>
                  </w:pPr>
                  <w:r>
                    <w:rPr>
                      <w:rFonts w:cs="Times New Roman"/>
                      <w:sz w:val="21"/>
                      <w:szCs w:val="20"/>
                    </w:rPr>
                    <w:t>10(km/h)</w:t>
                  </w:r>
                </w:p>
              </w:tc>
              <w:tc>
                <w:tcPr>
                  <w:tcW w:w="894" w:type="pct"/>
                  <w:vAlign w:val="center"/>
                </w:tcPr>
                <w:p w14:paraId="4A4A9A88">
                  <w:pPr>
                    <w:jc w:val="center"/>
                    <w:rPr>
                      <w:rFonts w:cs="Times New Roman"/>
                      <w:sz w:val="21"/>
                      <w:szCs w:val="20"/>
                    </w:rPr>
                  </w:pPr>
                  <w:r>
                    <w:rPr>
                      <w:rFonts w:cs="Times New Roman"/>
                      <w:sz w:val="21"/>
                      <w:szCs w:val="20"/>
                    </w:rPr>
                    <w:t>0.0566</w:t>
                  </w:r>
                </w:p>
              </w:tc>
              <w:tc>
                <w:tcPr>
                  <w:tcW w:w="702" w:type="pct"/>
                  <w:vAlign w:val="center"/>
                </w:tcPr>
                <w:p w14:paraId="2B1722D5">
                  <w:pPr>
                    <w:jc w:val="center"/>
                    <w:rPr>
                      <w:rFonts w:cs="Times New Roman"/>
                      <w:sz w:val="21"/>
                      <w:szCs w:val="20"/>
                    </w:rPr>
                  </w:pPr>
                  <w:r>
                    <w:rPr>
                      <w:rFonts w:cs="Times New Roman"/>
                      <w:sz w:val="21"/>
                      <w:szCs w:val="20"/>
                    </w:rPr>
                    <w:t>0.0953</w:t>
                  </w:r>
                </w:p>
              </w:tc>
              <w:tc>
                <w:tcPr>
                  <w:tcW w:w="702" w:type="pct"/>
                  <w:vAlign w:val="center"/>
                </w:tcPr>
                <w:p w14:paraId="31A00D89">
                  <w:pPr>
                    <w:jc w:val="center"/>
                    <w:rPr>
                      <w:rFonts w:cs="Times New Roman"/>
                      <w:sz w:val="21"/>
                      <w:szCs w:val="20"/>
                    </w:rPr>
                  </w:pPr>
                  <w:r>
                    <w:rPr>
                      <w:rFonts w:cs="Times New Roman"/>
                      <w:sz w:val="21"/>
                      <w:szCs w:val="20"/>
                    </w:rPr>
                    <w:t>0.1291</w:t>
                  </w:r>
                </w:p>
              </w:tc>
              <w:tc>
                <w:tcPr>
                  <w:tcW w:w="702" w:type="pct"/>
                  <w:vAlign w:val="center"/>
                </w:tcPr>
                <w:p w14:paraId="64341789">
                  <w:pPr>
                    <w:jc w:val="center"/>
                    <w:rPr>
                      <w:rFonts w:cs="Times New Roman"/>
                      <w:sz w:val="21"/>
                      <w:szCs w:val="20"/>
                    </w:rPr>
                  </w:pPr>
                  <w:r>
                    <w:rPr>
                      <w:rFonts w:cs="Times New Roman"/>
                      <w:sz w:val="21"/>
                      <w:szCs w:val="20"/>
                    </w:rPr>
                    <w:t>0.1602</w:t>
                  </w:r>
                </w:p>
              </w:tc>
              <w:tc>
                <w:tcPr>
                  <w:tcW w:w="702" w:type="pct"/>
                  <w:vAlign w:val="center"/>
                </w:tcPr>
                <w:p w14:paraId="3D77C9A6">
                  <w:pPr>
                    <w:jc w:val="center"/>
                    <w:rPr>
                      <w:rFonts w:cs="Times New Roman"/>
                      <w:sz w:val="21"/>
                      <w:szCs w:val="20"/>
                    </w:rPr>
                  </w:pPr>
                  <w:r>
                    <w:rPr>
                      <w:rFonts w:cs="Times New Roman"/>
                      <w:sz w:val="21"/>
                      <w:szCs w:val="20"/>
                    </w:rPr>
                    <w:t>0.1894</w:t>
                  </w:r>
                </w:p>
              </w:tc>
              <w:tc>
                <w:tcPr>
                  <w:tcW w:w="710" w:type="pct"/>
                  <w:vAlign w:val="center"/>
                </w:tcPr>
                <w:p w14:paraId="377FA7D8">
                  <w:pPr>
                    <w:jc w:val="center"/>
                    <w:rPr>
                      <w:rFonts w:cs="Times New Roman"/>
                      <w:sz w:val="21"/>
                      <w:szCs w:val="20"/>
                    </w:rPr>
                  </w:pPr>
                  <w:r>
                    <w:rPr>
                      <w:rFonts w:cs="Times New Roman"/>
                      <w:sz w:val="21"/>
                      <w:szCs w:val="20"/>
                    </w:rPr>
                    <w:t>0.3186</w:t>
                  </w:r>
                </w:p>
              </w:tc>
            </w:tr>
            <w:tr w14:paraId="3CDB0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582" w:type="pct"/>
                  <w:vAlign w:val="center"/>
                </w:tcPr>
                <w:p w14:paraId="17504DEE">
                  <w:pPr>
                    <w:jc w:val="center"/>
                    <w:rPr>
                      <w:rFonts w:cs="Times New Roman"/>
                      <w:sz w:val="21"/>
                      <w:szCs w:val="20"/>
                    </w:rPr>
                  </w:pPr>
                  <w:r>
                    <w:rPr>
                      <w:rFonts w:cs="Times New Roman"/>
                      <w:sz w:val="21"/>
                      <w:szCs w:val="20"/>
                    </w:rPr>
                    <w:t>15(km/h)</w:t>
                  </w:r>
                </w:p>
              </w:tc>
              <w:tc>
                <w:tcPr>
                  <w:tcW w:w="894" w:type="pct"/>
                  <w:vAlign w:val="center"/>
                </w:tcPr>
                <w:p w14:paraId="7ECA7042">
                  <w:pPr>
                    <w:jc w:val="center"/>
                    <w:rPr>
                      <w:rFonts w:cs="Times New Roman"/>
                      <w:sz w:val="21"/>
                      <w:szCs w:val="20"/>
                    </w:rPr>
                  </w:pPr>
                  <w:r>
                    <w:rPr>
                      <w:rFonts w:cs="Times New Roman"/>
                      <w:sz w:val="21"/>
                      <w:szCs w:val="20"/>
                    </w:rPr>
                    <w:t>0.0850</w:t>
                  </w:r>
                </w:p>
              </w:tc>
              <w:tc>
                <w:tcPr>
                  <w:tcW w:w="702" w:type="pct"/>
                  <w:vAlign w:val="center"/>
                </w:tcPr>
                <w:p w14:paraId="37419B26">
                  <w:pPr>
                    <w:jc w:val="center"/>
                    <w:rPr>
                      <w:rFonts w:cs="Times New Roman"/>
                      <w:sz w:val="21"/>
                      <w:szCs w:val="20"/>
                    </w:rPr>
                  </w:pPr>
                  <w:r>
                    <w:rPr>
                      <w:rFonts w:cs="Times New Roman"/>
                      <w:sz w:val="21"/>
                      <w:szCs w:val="20"/>
                    </w:rPr>
                    <w:t>0.1429</w:t>
                  </w:r>
                </w:p>
              </w:tc>
              <w:tc>
                <w:tcPr>
                  <w:tcW w:w="702" w:type="pct"/>
                  <w:vAlign w:val="center"/>
                </w:tcPr>
                <w:p w14:paraId="6AE9CE5A">
                  <w:pPr>
                    <w:jc w:val="center"/>
                    <w:rPr>
                      <w:rFonts w:cs="Times New Roman"/>
                      <w:sz w:val="21"/>
                      <w:szCs w:val="20"/>
                    </w:rPr>
                  </w:pPr>
                  <w:r>
                    <w:rPr>
                      <w:rFonts w:cs="Times New Roman"/>
                      <w:sz w:val="21"/>
                      <w:szCs w:val="20"/>
                    </w:rPr>
                    <w:t>0.1937</w:t>
                  </w:r>
                </w:p>
              </w:tc>
              <w:tc>
                <w:tcPr>
                  <w:tcW w:w="702" w:type="pct"/>
                  <w:vAlign w:val="center"/>
                </w:tcPr>
                <w:p w14:paraId="269E52D3">
                  <w:pPr>
                    <w:jc w:val="center"/>
                    <w:rPr>
                      <w:rFonts w:cs="Times New Roman"/>
                      <w:sz w:val="21"/>
                      <w:szCs w:val="20"/>
                    </w:rPr>
                  </w:pPr>
                  <w:r>
                    <w:rPr>
                      <w:rFonts w:cs="Times New Roman"/>
                      <w:sz w:val="21"/>
                      <w:szCs w:val="20"/>
                    </w:rPr>
                    <w:t>0.2403</w:t>
                  </w:r>
                </w:p>
              </w:tc>
              <w:tc>
                <w:tcPr>
                  <w:tcW w:w="702" w:type="pct"/>
                  <w:vAlign w:val="center"/>
                </w:tcPr>
                <w:p w14:paraId="22DC3382">
                  <w:pPr>
                    <w:jc w:val="center"/>
                    <w:rPr>
                      <w:rFonts w:cs="Times New Roman"/>
                      <w:sz w:val="21"/>
                      <w:szCs w:val="20"/>
                    </w:rPr>
                  </w:pPr>
                  <w:r>
                    <w:rPr>
                      <w:rFonts w:cs="Times New Roman"/>
                      <w:sz w:val="21"/>
                      <w:szCs w:val="20"/>
                    </w:rPr>
                    <w:t>0.2841</w:t>
                  </w:r>
                </w:p>
              </w:tc>
              <w:tc>
                <w:tcPr>
                  <w:tcW w:w="710" w:type="pct"/>
                  <w:vAlign w:val="center"/>
                </w:tcPr>
                <w:p w14:paraId="74B0C74F">
                  <w:pPr>
                    <w:jc w:val="center"/>
                    <w:rPr>
                      <w:rFonts w:cs="Times New Roman"/>
                      <w:sz w:val="21"/>
                      <w:szCs w:val="20"/>
                    </w:rPr>
                  </w:pPr>
                  <w:r>
                    <w:rPr>
                      <w:rFonts w:cs="Times New Roman"/>
                      <w:sz w:val="21"/>
                      <w:szCs w:val="20"/>
                    </w:rPr>
                    <w:t>0.4778</w:t>
                  </w:r>
                </w:p>
              </w:tc>
            </w:tr>
            <w:tr w14:paraId="7A78A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582" w:type="pct"/>
                  <w:vAlign w:val="center"/>
                </w:tcPr>
                <w:p w14:paraId="3AA84F95">
                  <w:pPr>
                    <w:jc w:val="center"/>
                    <w:rPr>
                      <w:rFonts w:cs="Times New Roman"/>
                      <w:sz w:val="21"/>
                      <w:szCs w:val="20"/>
                    </w:rPr>
                  </w:pPr>
                  <w:r>
                    <w:rPr>
                      <w:rFonts w:cs="Times New Roman"/>
                      <w:sz w:val="21"/>
                      <w:szCs w:val="20"/>
                    </w:rPr>
                    <w:t>20(km/h)</w:t>
                  </w:r>
                </w:p>
              </w:tc>
              <w:tc>
                <w:tcPr>
                  <w:tcW w:w="894" w:type="pct"/>
                  <w:vAlign w:val="center"/>
                </w:tcPr>
                <w:p w14:paraId="6601E7A2">
                  <w:pPr>
                    <w:jc w:val="center"/>
                    <w:rPr>
                      <w:rFonts w:cs="Times New Roman"/>
                      <w:sz w:val="21"/>
                      <w:szCs w:val="20"/>
                    </w:rPr>
                  </w:pPr>
                  <w:r>
                    <w:rPr>
                      <w:rFonts w:cs="Times New Roman"/>
                      <w:sz w:val="21"/>
                      <w:szCs w:val="20"/>
                    </w:rPr>
                    <w:t>0.1133</w:t>
                  </w:r>
                </w:p>
              </w:tc>
              <w:tc>
                <w:tcPr>
                  <w:tcW w:w="702" w:type="pct"/>
                  <w:vAlign w:val="center"/>
                </w:tcPr>
                <w:p w14:paraId="72203041">
                  <w:pPr>
                    <w:jc w:val="center"/>
                    <w:rPr>
                      <w:rFonts w:cs="Times New Roman"/>
                      <w:sz w:val="21"/>
                      <w:szCs w:val="20"/>
                    </w:rPr>
                  </w:pPr>
                  <w:r>
                    <w:rPr>
                      <w:rFonts w:cs="Times New Roman"/>
                      <w:sz w:val="21"/>
                      <w:szCs w:val="20"/>
                    </w:rPr>
                    <w:t>0.1905</w:t>
                  </w:r>
                </w:p>
              </w:tc>
              <w:tc>
                <w:tcPr>
                  <w:tcW w:w="702" w:type="pct"/>
                  <w:vAlign w:val="center"/>
                </w:tcPr>
                <w:p w14:paraId="57E817DC">
                  <w:pPr>
                    <w:jc w:val="center"/>
                    <w:rPr>
                      <w:rFonts w:cs="Times New Roman"/>
                      <w:sz w:val="21"/>
                      <w:szCs w:val="20"/>
                    </w:rPr>
                  </w:pPr>
                  <w:r>
                    <w:rPr>
                      <w:rFonts w:cs="Times New Roman"/>
                      <w:sz w:val="21"/>
                      <w:szCs w:val="20"/>
                    </w:rPr>
                    <w:t>0.2583</w:t>
                  </w:r>
                </w:p>
              </w:tc>
              <w:tc>
                <w:tcPr>
                  <w:tcW w:w="702" w:type="pct"/>
                  <w:vAlign w:val="center"/>
                </w:tcPr>
                <w:p w14:paraId="7DE842A3">
                  <w:pPr>
                    <w:jc w:val="center"/>
                    <w:rPr>
                      <w:rFonts w:cs="Times New Roman"/>
                      <w:sz w:val="21"/>
                      <w:szCs w:val="20"/>
                    </w:rPr>
                  </w:pPr>
                  <w:r>
                    <w:rPr>
                      <w:rFonts w:cs="Times New Roman"/>
                      <w:sz w:val="21"/>
                      <w:szCs w:val="20"/>
                    </w:rPr>
                    <w:t>0.3204</w:t>
                  </w:r>
                </w:p>
              </w:tc>
              <w:tc>
                <w:tcPr>
                  <w:tcW w:w="702" w:type="pct"/>
                  <w:vAlign w:val="center"/>
                </w:tcPr>
                <w:p w14:paraId="525160BF">
                  <w:pPr>
                    <w:jc w:val="center"/>
                    <w:rPr>
                      <w:rFonts w:cs="Times New Roman"/>
                      <w:sz w:val="21"/>
                      <w:szCs w:val="20"/>
                    </w:rPr>
                  </w:pPr>
                  <w:r>
                    <w:rPr>
                      <w:rFonts w:cs="Times New Roman"/>
                      <w:sz w:val="21"/>
                      <w:szCs w:val="20"/>
                    </w:rPr>
                    <w:t>0.3788</w:t>
                  </w:r>
                </w:p>
              </w:tc>
              <w:tc>
                <w:tcPr>
                  <w:tcW w:w="710" w:type="pct"/>
                  <w:vAlign w:val="center"/>
                </w:tcPr>
                <w:p w14:paraId="16F97135">
                  <w:pPr>
                    <w:jc w:val="center"/>
                    <w:rPr>
                      <w:rFonts w:cs="Times New Roman"/>
                      <w:sz w:val="21"/>
                      <w:szCs w:val="20"/>
                    </w:rPr>
                  </w:pPr>
                  <w:r>
                    <w:rPr>
                      <w:rFonts w:cs="Times New Roman"/>
                      <w:sz w:val="21"/>
                      <w:szCs w:val="20"/>
                    </w:rPr>
                    <w:t>0.6371</w:t>
                  </w:r>
                </w:p>
              </w:tc>
            </w:tr>
          </w:tbl>
          <w:p w14:paraId="78F38AB1">
            <w:pPr>
              <w:spacing w:line="360" w:lineRule="auto"/>
              <w:ind w:firstLine="482" w:firstLineChars="200"/>
              <w:jc w:val="center"/>
              <w:rPr>
                <w:rStyle w:val="49"/>
                <w:b w:val="0"/>
                <w:bCs w:val="0"/>
              </w:rPr>
            </w:pPr>
            <w:r>
              <w:rPr>
                <w:rFonts w:hint="eastAsia"/>
                <w:b/>
                <w:bCs/>
              </w:rPr>
              <w:t xml:space="preserve">表53    </w:t>
            </w:r>
            <w:r>
              <w:rPr>
                <w:b/>
                <w:bCs/>
              </w:rPr>
              <w:t>施工场地洒水抑尘试验结果</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563"/>
              <w:gridCol w:w="999"/>
              <w:gridCol w:w="1280"/>
              <w:gridCol w:w="1280"/>
              <w:gridCol w:w="1280"/>
              <w:gridCol w:w="1281"/>
            </w:tblGrid>
            <w:tr w14:paraId="6531AB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73" w:hRule="atLeast"/>
              </w:trPr>
              <w:tc>
                <w:tcPr>
                  <w:tcW w:w="1667" w:type="pct"/>
                  <w:gridSpan w:val="2"/>
                  <w:vAlign w:val="center"/>
                </w:tcPr>
                <w:p w14:paraId="321C9301">
                  <w:pPr>
                    <w:jc w:val="center"/>
                    <w:rPr>
                      <w:rFonts w:cs="Times New Roman"/>
                      <w:b/>
                      <w:bCs/>
                      <w:sz w:val="21"/>
                      <w:szCs w:val="20"/>
                    </w:rPr>
                  </w:pPr>
                  <w:r>
                    <w:rPr>
                      <w:rFonts w:cs="Times New Roman"/>
                      <w:b/>
                      <w:bCs/>
                      <w:sz w:val="21"/>
                      <w:szCs w:val="20"/>
                    </w:rPr>
                    <w:t>距离（m）</w:t>
                  </w:r>
                </w:p>
              </w:tc>
              <w:tc>
                <w:tcPr>
                  <w:tcW w:w="833" w:type="pct"/>
                  <w:vAlign w:val="center"/>
                </w:tcPr>
                <w:p w14:paraId="0D404ABC">
                  <w:pPr>
                    <w:jc w:val="center"/>
                    <w:rPr>
                      <w:rFonts w:cs="Times New Roman"/>
                      <w:b/>
                      <w:bCs/>
                      <w:sz w:val="21"/>
                      <w:szCs w:val="20"/>
                    </w:rPr>
                  </w:pPr>
                  <w:r>
                    <w:rPr>
                      <w:rFonts w:cs="Times New Roman"/>
                      <w:b/>
                      <w:bCs/>
                      <w:sz w:val="21"/>
                      <w:szCs w:val="20"/>
                    </w:rPr>
                    <w:t>5</w:t>
                  </w:r>
                </w:p>
              </w:tc>
              <w:tc>
                <w:tcPr>
                  <w:tcW w:w="833" w:type="pct"/>
                  <w:vAlign w:val="center"/>
                </w:tcPr>
                <w:p w14:paraId="767FB8B4">
                  <w:pPr>
                    <w:jc w:val="center"/>
                    <w:rPr>
                      <w:rFonts w:cs="Times New Roman"/>
                      <w:b/>
                      <w:bCs/>
                      <w:sz w:val="21"/>
                      <w:szCs w:val="20"/>
                    </w:rPr>
                  </w:pPr>
                  <w:r>
                    <w:rPr>
                      <w:rFonts w:cs="Times New Roman"/>
                      <w:b/>
                      <w:bCs/>
                      <w:sz w:val="21"/>
                      <w:szCs w:val="20"/>
                    </w:rPr>
                    <w:t>20</w:t>
                  </w:r>
                </w:p>
              </w:tc>
              <w:tc>
                <w:tcPr>
                  <w:tcW w:w="833" w:type="pct"/>
                  <w:vAlign w:val="center"/>
                </w:tcPr>
                <w:p w14:paraId="1CDDCA41">
                  <w:pPr>
                    <w:jc w:val="center"/>
                    <w:rPr>
                      <w:rFonts w:cs="Times New Roman"/>
                      <w:b/>
                      <w:bCs/>
                      <w:sz w:val="21"/>
                      <w:szCs w:val="20"/>
                    </w:rPr>
                  </w:pPr>
                  <w:r>
                    <w:rPr>
                      <w:rFonts w:cs="Times New Roman"/>
                      <w:b/>
                      <w:bCs/>
                      <w:sz w:val="21"/>
                      <w:szCs w:val="20"/>
                    </w:rPr>
                    <w:t>50</w:t>
                  </w:r>
                </w:p>
              </w:tc>
              <w:tc>
                <w:tcPr>
                  <w:tcW w:w="833" w:type="pct"/>
                  <w:vAlign w:val="center"/>
                </w:tcPr>
                <w:p w14:paraId="03A4D2A5">
                  <w:pPr>
                    <w:jc w:val="center"/>
                    <w:rPr>
                      <w:rFonts w:cs="Times New Roman"/>
                      <w:b/>
                      <w:bCs/>
                      <w:sz w:val="21"/>
                      <w:szCs w:val="20"/>
                    </w:rPr>
                  </w:pPr>
                  <w:r>
                    <w:rPr>
                      <w:rFonts w:cs="Times New Roman"/>
                      <w:b/>
                      <w:bCs/>
                      <w:sz w:val="21"/>
                      <w:szCs w:val="20"/>
                    </w:rPr>
                    <w:t>100</w:t>
                  </w:r>
                </w:p>
              </w:tc>
            </w:tr>
            <w:tr w14:paraId="64A08B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5" w:hRule="atLeast"/>
              </w:trPr>
              <w:tc>
                <w:tcPr>
                  <w:tcW w:w="1017" w:type="pct"/>
                  <w:vMerge w:val="restart"/>
                  <w:vAlign w:val="center"/>
                </w:tcPr>
                <w:p w14:paraId="3D98C997">
                  <w:pPr>
                    <w:jc w:val="center"/>
                    <w:rPr>
                      <w:rFonts w:cs="Times New Roman"/>
                      <w:sz w:val="21"/>
                      <w:szCs w:val="20"/>
                    </w:rPr>
                  </w:pPr>
                  <w:r>
                    <w:rPr>
                      <w:rFonts w:cs="Times New Roman"/>
                      <w:sz w:val="21"/>
                      <w:szCs w:val="20"/>
                    </w:rPr>
                    <w:t>颗粒物小时平均浓度（mg/m</w:t>
                  </w:r>
                  <w:r>
                    <w:rPr>
                      <w:rFonts w:cs="Times New Roman"/>
                      <w:sz w:val="21"/>
                      <w:szCs w:val="20"/>
                      <w:vertAlign w:val="superscript"/>
                    </w:rPr>
                    <w:t>3</w:t>
                  </w:r>
                  <w:r>
                    <w:rPr>
                      <w:rFonts w:cs="Times New Roman"/>
                      <w:sz w:val="21"/>
                      <w:szCs w:val="20"/>
                    </w:rPr>
                    <w:t>）</w:t>
                  </w:r>
                </w:p>
              </w:tc>
              <w:tc>
                <w:tcPr>
                  <w:tcW w:w="649" w:type="pct"/>
                  <w:vAlign w:val="center"/>
                </w:tcPr>
                <w:p w14:paraId="297A71D6">
                  <w:pPr>
                    <w:jc w:val="center"/>
                    <w:rPr>
                      <w:rFonts w:cs="Times New Roman"/>
                      <w:sz w:val="21"/>
                      <w:szCs w:val="20"/>
                    </w:rPr>
                  </w:pPr>
                  <w:r>
                    <w:rPr>
                      <w:rFonts w:cs="Times New Roman"/>
                      <w:sz w:val="21"/>
                      <w:szCs w:val="20"/>
                    </w:rPr>
                    <w:t>不洒水</w:t>
                  </w:r>
                </w:p>
              </w:tc>
              <w:tc>
                <w:tcPr>
                  <w:tcW w:w="833" w:type="pct"/>
                  <w:vAlign w:val="center"/>
                </w:tcPr>
                <w:p w14:paraId="596DD943">
                  <w:pPr>
                    <w:jc w:val="center"/>
                    <w:rPr>
                      <w:rFonts w:cs="Times New Roman"/>
                      <w:sz w:val="21"/>
                      <w:szCs w:val="20"/>
                    </w:rPr>
                  </w:pPr>
                  <w:r>
                    <w:rPr>
                      <w:rFonts w:cs="Times New Roman"/>
                      <w:sz w:val="21"/>
                      <w:szCs w:val="20"/>
                    </w:rPr>
                    <w:t>10.14</w:t>
                  </w:r>
                </w:p>
              </w:tc>
              <w:tc>
                <w:tcPr>
                  <w:tcW w:w="833" w:type="pct"/>
                  <w:vAlign w:val="center"/>
                </w:tcPr>
                <w:p w14:paraId="6634B3DB">
                  <w:pPr>
                    <w:jc w:val="center"/>
                    <w:rPr>
                      <w:rFonts w:cs="Times New Roman"/>
                      <w:sz w:val="21"/>
                      <w:szCs w:val="20"/>
                    </w:rPr>
                  </w:pPr>
                  <w:r>
                    <w:rPr>
                      <w:rFonts w:cs="Times New Roman"/>
                      <w:sz w:val="21"/>
                      <w:szCs w:val="20"/>
                    </w:rPr>
                    <w:t>2.89</w:t>
                  </w:r>
                </w:p>
              </w:tc>
              <w:tc>
                <w:tcPr>
                  <w:tcW w:w="833" w:type="pct"/>
                  <w:vAlign w:val="center"/>
                </w:tcPr>
                <w:p w14:paraId="0EE4D491">
                  <w:pPr>
                    <w:jc w:val="center"/>
                    <w:rPr>
                      <w:rFonts w:cs="Times New Roman"/>
                      <w:sz w:val="21"/>
                      <w:szCs w:val="20"/>
                    </w:rPr>
                  </w:pPr>
                  <w:r>
                    <w:rPr>
                      <w:rFonts w:cs="Times New Roman"/>
                      <w:sz w:val="21"/>
                      <w:szCs w:val="20"/>
                    </w:rPr>
                    <w:t>1.15</w:t>
                  </w:r>
                </w:p>
              </w:tc>
              <w:tc>
                <w:tcPr>
                  <w:tcW w:w="833" w:type="pct"/>
                  <w:vAlign w:val="center"/>
                </w:tcPr>
                <w:p w14:paraId="7BBB89C0">
                  <w:pPr>
                    <w:jc w:val="center"/>
                    <w:rPr>
                      <w:rFonts w:cs="Times New Roman"/>
                      <w:sz w:val="21"/>
                      <w:szCs w:val="20"/>
                    </w:rPr>
                  </w:pPr>
                  <w:r>
                    <w:rPr>
                      <w:rFonts w:cs="Times New Roman"/>
                      <w:sz w:val="21"/>
                      <w:szCs w:val="20"/>
                    </w:rPr>
                    <w:t>0.86</w:t>
                  </w:r>
                </w:p>
              </w:tc>
            </w:tr>
            <w:tr w14:paraId="4530F9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1" w:hRule="atLeast"/>
              </w:trPr>
              <w:tc>
                <w:tcPr>
                  <w:tcW w:w="1017" w:type="pct"/>
                  <w:vMerge w:val="continue"/>
                  <w:vAlign w:val="center"/>
                </w:tcPr>
                <w:p w14:paraId="7E054420">
                  <w:pPr>
                    <w:jc w:val="center"/>
                    <w:rPr>
                      <w:rFonts w:cs="Times New Roman"/>
                      <w:sz w:val="21"/>
                      <w:szCs w:val="20"/>
                    </w:rPr>
                  </w:pPr>
                </w:p>
              </w:tc>
              <w:tc>
                <w:tcPr>
                  <w:tcW w:w="649" w:type="pct"/>
                  <w:vAlign w:val="center"/>
                </w:tcPr>
                <w:p w14:paraId="2B137E1B">
                  <w:pPr>
                    <w:jc w:val="center"/>
                    <w:rPr>
                      <w:rFonts w:cs="Times New Roman"/>
                      <w:sz w:val="21"/>
                      <w:szCs w:val="20"/>
                    </w:rPr>
                  </w:pPr>
                  <w:r>
                    <w:rPr>
                      <w:rFonts w:cs="Times New Roman"/>
                      <w:sz w:val="21"/>
                      <w:szCs w:val="20"/>
                    </w:rPr>
                    <w:t>洒水</w:t>
                  </w:r>
                </w:p>
              </w:tc>
              <w:tc>
                <w:tcPr>
                  <w:tcW w:w="833" w:type="pct"/>
                  <w:vAlign w:val="center"/>
                </w:tcPr>
                <w:p w14:paraId="25D99CAA">
                  <w:pPr>
                    <w:jc w:val="center"/>
                    <w:rPr>
                      <w:rFonts w:cs="Times New Roman"/>
                      <w:sz w:val="21"/>
                      <w:szCs w:val="20"/>
                    </w:rPr>
                  </w:pPr>
                  <w:r>
                    <w:rPr>
                      <w:rFonts w:cs="Times New Roman"/>
                      <w:sz w:val="21"/>
                      <w:szCs w:val="20"/>
                    </w:rPr>
                    <w:t>2.01</w:t>
                  </w:r>
                </w:p>
              </w:tc>
              <w:tc>
                <w:tcPr>
                  <w:tcW w:w="833" w:type="pct"/>
                  <w:vAlign w:val="center"/>
                </w:tcPr>
                <w:p w14:paraId="285BEAD8">
                  <w:pPr>
                    <w:jc w:val="center"/>
                    <w:rPr>
                      <w:rFonts w:cs="Times New Roman"/>
                      <w:sz w:val="21"/>
                      <w:szCs w:val="20"/>
                    </w:rPr>
                  </w:pPr>
                  <w:r>
                    <w:rPr>
                      <w:rFonts w:cs="Times New Roman"/>
                      <w:sz w:val="21"/>
                      <w:szCs w:val="20"/>
                    </w:rPr>
                    <w:t>1.40</w:t>
                  </w:r>
                </w:p>
              </w:tc>
              <w:tc>
                <w:tcPr>
                  <w:tcW w:w="833" w:type="pct"/>
                  <w:vAlign w:val="center"/>
                </w:tcPr>
                <w:p w14:paraId="694D2613">
                  <w:pPr>
                    <w:jc w:val="center"/>
                    <w:rPr>
                      <w:rFonts w:cs="Times New Roman"/>
                      <w:sz w:val="21"/>
                      <w:szCs w:val="20"/>
                    </w:rPr>
                  </w:pPr>
                  <w:r>
                    <w:rPr>
                      <w:rFonts w:cs="Times New Roman"/>
                      <w:sz w:val="21"/>
                      <w:szCs w:val="20"/>
                    </w:rPr>
                    <w:t>0.67</w:t>
                  </w:r>
                </w:p>
              </w:tc>
              <w:tc>
                <w:tcPr>
                  <w:tcW w:w="833" w:type="pct"/>
                  <w:vAlign w:val="center"/>
                </w:tcPr>
                <w:p w14:paraId="4FBA9D4A">
                  <w:pPr>
                    <w:jc w:val="center"/>
                    <w:rPr>
                      <w:rFonts w:cs="Times New Roman"/>
                      <w:sz w:val="21"/>
                      <w:szCs w:val="20"/>
                    </w:rPr>
                  </w:pPr>
                  <w:r>
                    <w:rPr>
                      <w:rFonts w:cs="Times New Roman"/>
                      <w:sz w:val="21"/>
                      <w:szCs w:val="20"/>
                    </w:rPr>
                    <w:t>0.60</w:t>
                  </w:r>
                </w:p>
              </w:tc>
            </w:tr>
          </w:tbl>
          <w:p w14:paraId="44271EBA">
            <w:pPr>
              <w:spacing w:line="360" w:lineRule="auto"/>
              <w:ind w:firstLine="480" w:firstLineChars="200"/>
            </w:pPr>
            <w:r>
              <w:rPr>
                <w:rFonts w:hint="eastAsia"/>
              </w:rPr>
              <w:t>由上表可知，在同样路面清洁的情况下，车速越快，扬尘量越大；而在同样车速的情况下，路面清洁度越差，则扬尘量越大。</w:t>
            </w:r>
          </w:p>
          <w:p w14:paraId="792428BA">
            <w:pPr>
              <w:spacing w:line="360" w:lineRule="auto"/>
              <w:ind w:firstLine="480" w:firstLineChars="200"/>
            </w:pPr>
            <w:r>
              <w:rPr>
                <w:rFonts w:hint="eastAsia"/>
              </w:rPr>
              <w:t>由上表可知道，每天对施工场地实施洒水4～5次，可有效地控制施工扬尘，可使扬尘减少70%左右，将颗粒物污染距离缩小到20～50m范围之内。为减少施工车辆对周围环境的影响，评价建议严格渣土运输车辆规范化管理，降低施工车速、并对施工场地进行洒水抑尘等措施。</w:t>
            </w:r>
          </w:p>
          <w:p w14:paraId="334BA8FD">
            <w:pPr>
              <w:spacing w:line="360" w:lineRule="auto"/>
              <w:ind w:firstLine="480" w:firstLineChars="200"/>
            </w:pPr>
            <w:r>
              <w:rPr>
                <w:rFonts w:hint="eastAsia"/>
              </w:rPr>
              <w:t>（2）施工机械及运输车辆尾气</w:t>
            </w:r>
          </w:p>
          <w:p w14:paraId="2FC62B29">
            <w:pPr>
              <w:spacing w:line="360" w:lineRule="auto"/>
              <w:ind w:firstLine="480" w:firstLineChars="200"/>
            </w:pPr>
            <w:r>
              <w:rPr>
                <w:rFonts w:hint="eastAsia"/>
              </w:rPr>
              <w:t>本项目施工废气污染源主要为施工机械和运输车辆尾气。施工期间燃油机械设备较多，且一般采用柴油作为动力。燃柴油的大型施工运输车辆作业时会产生一些废气，其主要污染物为NOx、CO和THC。施工机械燃料以轻质柴油为主，燃油机械在使用轻质柴油时，燃烧废气中NOx、CO和THC排放量较少，且项目施工机械布设较分散，产生的污染物经自然扩散浓度很小，对周围大气环境影响较小。为了有效控制施工机械、车辆尾气污染，评价建议运输车辆禁止超载，不得使用劣质燃料；加强施工车辆管理，选用符合国家卫生防护标准的施工机械和运输车辆，确保其废气排放符合国家有关标准，保证行驶的机动车尾气完全达标，减少机动车辆尾气对大气环境造成污染。经采取以上措施后，施工机械、车辆尾气对周围环境影响较小。</w:t>
            </w:r>
          </w:p>
          <w:p w14:paraId="75BBBE90">
            <w:pPr>
              <w:spacing w:line="360" w:lineRule="auto"/>
              <w:ind w:firstLine="480" w:firstLineChars="200"/>
            </w:pPr>
            <w:r>
              <w:rPr>
                <w:rFonts w:hint="eastAsia"/>
              </w:rPr>
              <w:t>（3）焊接废气</w:t>
            </w:r>
          </w:p>
          <w:p w14:paraId="60A8A63D">
            <w:pPr>
              <w:spacing w:line="360" w:lineRule="auto"/>
              <w:ind w:firstLine="480" w:firstLineChars="200"/>
            </w:pPr>
            <w:r>
              <w:rPr>
                <w:rFonts w:hint="eastAsia"/>
              </w:rPr>
              <w:t>本项目施工过程中电焊作业将产生焊接废气，主要污染物为焊接烟尘、臭氧、氮氧化物及一氧化碳等。但是由于焊接部位较少，且采用低毒性、环保型的焊接材料，因此焊接废气产生量较少，不进行定量分析，其经大气扩散和稀释后，对局部地区的环境空气影响有限。</w:t>
            </w:r>
          </w:p>
          <w:p w14:paraId="7879CBEA">
            <w:pPr>
              <w:spacing w:line="360" w:lineRule="auto"/>
              <w:ind w:firstLine="480" w:firstLineChars="200"/>
            </w:pPr>
            <w:r>
              <w:rPr>
                <w:rFonts w:hint="eastAsia"/>
              </w:rPr>
              <w:t>二、施工期水环境环境影响分析</w:t>
            </w:r>
          </w:p>
          <w:p w14:paraId="30AA0D05">
            <w:pPr>
              <w:spacing w:line="360" w:lineRule="auto"/>
              <w:ind w:firstLine="480" w:firstLineChars="200"/>
            </w:pPr>
            <w:r>
              <w:rPr>
                <w:rFonts w:hint="eastAsia"/>
              </w:rPr>
              <w:t>1、主要环节及影响因素</w:t>
            </w:r>
          </w:p>
          <w:p w14:paraId="030CB4BC">
            <w:pPr>
              <w:spacing w:line="360" w:lineRule="auto"/>
              <w:ind w:firstLine="480" w:firstLineChars="200"/>
            </w:pPr>
            <w:r>
              <w:rPr>
                <w:rFonts w:hint="eastAsia"/>
              </w:rPr>
              <w:t>本工程施工期对环境的影响主要来源于码头水工建筑物施工废水、施工船舶污水和施工疏浚对水环境的影响等。</w:t>
            </w:r>
          </w:p>
          <w:p w14:paraId="67544F6D">
            <w:pPr>
              <w:spacing w:line="360" w:lineRule="auto"/>
              <w:ind w:firstLine="482" w:firstLineChars="200"/>
              <w:rPr>
                <w:b/>
                <w:bCs/>
                <w:u w:val="single"/>
              </w:rPr>
            </w:pPr>
            <w:r>
              <w:rPr>
                <w:rFonts w:hint="eastAsia"/>
                <w:b/>
                <w:bCs/>
                <w:u w:val="single"/>
              </w:rPr>
              <w:t>根据基槽开挖施工时间（3—4月），本项目码头工程施工时场地在水面以上，即在陆上开挖基槽，且本工程码头采用天然地基浅基础，因此基槽施工过程中基本无基坑废水产生。</w:t>
            </w:r>
          </w:p>
          <w:p w14:paraId="1D83CE57">
            <w:pPr>
              <w:spacing w:line="360" w:lineRule="auto"/>
              <w:ind w:firstLine="480" w:firstLineChars="200"/>
            </w:pPr>
            <w:r>
              <w:rPr>
                <w:rFonts w:hint="eastAsia"/>
              </w:rPr>
              <w:t>2、影响对象及途径</w:t>
            </w:r>
          </w:p>
          <w:p w14:paraId="059E2BA1">
            <w:pPr>
              <w:spacing w:line="360" w:lineRule="auto"/>
              <w:ind w:firstLine="480" w:firstLineChars="200"/>
            </w:pPr>
            <w:r>
              <w:rPr>
                <w:rFonts w:hint="eastAsia"/>
              </w:rPr>
              <w:t>施工过程的影响对象为项目区范围内及周边的地表水环境，影响途径为在不采取措施或措施不当的情况下，施工船舶污水、陆域施工废水不经处理直接进入水环境，造成污染；施工疏浚工程实施过程对河底的搅动，局部产生的高浓度悬浮物对水环境质量的影响。</w:t>
            </w:r>
          </w:p>
          <w:p w14:paraId="340111D3">
            <w:pPr>
              <w:spacing w:line="360" w:lineRule="auto"/>
              <w:ind w:firstLine="480" w:firstLineChars="200"/>
            </w:pPr>
            <w:r>
              <w:rPr>
                <w:rFonts w:hint="eastAsia"/>
              </w:rPr>
              <w:t>（1）施工期船舶废水的影响</w:t>
            </w:r>
          </w:p>
          <w:p w14:paraId="7B3D82B5">
            <w:pPr>
              <w:spacing w:line="360" w:lineRule="auto"/>
              <w:ind w:firstLine="480" w:firstLineChars="200"/>
            </w:pPr>
            <w:r>
              <w:rPr>
                <w:rFonts w:hint="eastAsia"/>
              </w:rPr>
              <w:t>施工船舶污水包括船舶生活污水、船舶油污水，其中包含的主要污染物包括：COD、NH</w:t>
            </w:r>
            <w:r>
              <w:rPr>
                <w:rFonts w:hint="eastAsia"/>
                <w:vertAlign w:val="subscript"/>
              </w:rPr>
              <w:t>3</w:t>
            </w:r>
            <w:r>
              <w:rPr>
                <w:rFonts w:hint="eastAsia"/>
              </w:rPr>
              <w:t>-N、SS、石油类等，</w:t>
            </w:r>
            <w:r>
              <w:rPr>
                <w:rFonts w:hint="eastAsia"/>
                <w:b/>
                <w:bCs/>
                <w:u w:val="single"/>
              </w:rPr>
              <w:t>生活污水主要污染物浓度为：COD 400mgL、SS 200mg/L、NH</w:t>
            </w:r>
            <w:r>
              <w:rPr>
                <w:rFonts w:hint="eastAsia"/>
                <w:b/>
                <w:bCs/>
                <w:u w:val="single"/>
                <w:vertAlign w:val="subscript"/>
              </w:rPr>
              <w:t>3</w:t>
            </w:r>
            <w:r>
              <w:rPr>
                <w:rFonts w:hint="eastAsia"/>
                <w:b/>
                <w:bCs/>
                <w:u w:val="single"/>
              </w:rPr>
              <w:t>-N 35mg/L，船舶油污水主要污染物浓度为：石油类：5000mg/L。</w:t>
            </w:r>
            <w:r>
              <w:rPr>
                <w:rFonts w:hint="eastAsia"/>
              </w:rPr>
              <w:t>如其直接排入地表水体将对水体的水质产生明显的影响，尤其油污水进入地表水体后，在地表水体表面将形成一层油膜，其将阻隔大气与水体之间的气体交换，阻碍绿色植物的光合作用，减少氧的来源，造成局部水域缺氧，造成水生生物，尤其是鱼类的室息死亡，生物尸体进行厌氧分解，散发恶气，使水环境恶化，另外油污水中的油类成分具有毒性，不仅可直接造成水生生物中毒死亡，而且某些生物可富集致癌物，经食物链传递，威胁到食物链中高级生物的生存。</w:t>
            </w:r>
          </w:p>
          <w:p w14:paraId="7C387E43">
            <w:pPr>
              <w:spacing w:line="360" w:lineRule="auto"/>
              <w:ind w:firstLine="480" w:firstLineChars="200"/>
            </w:pPr>
            <w:r>
              <w:rPr>
                <w:rFonts w:hint="eastAsia"/>
              </w:rPr>
              <w:t>施工船舶人员生活污水经船内生活污水收集系统收集后，及时进行清运，不得排放至地表水体；施工船舶舱底油污水需经船舶自带的油水分离器处理后，石油类排放标准为不大于15mg/L，集中回收处理；没有安装油水分离器的小型船舶，其舱底油污水应暂存于船舶自备的容器中，并送油污水接收船或岸上的油污水接收单位接收处理，码头水域不得排放舱底油污水，以防污染工程施工河段水质。施工期船舶废水如进入江水会对江水水质及水生生物等造成不利影响。</w:t>
            </w:r>
          </w:p>
          <w:p w14:paraId="56BAE5A0">
            <w:pPr>
              <w:spacing w:line="360" w:lineRule="auto"/>
              <w:ind w:firstLine="480" w:firstLineChars="200"/>
            </w:pPr>
            <w:r>
              <w:rPr>
                <w:rFonts w:hint="eastAsia"/>
              </w:rPr>
              <w:t>（2）施工疏浚过程悬浮物对地表水环境的影响</w:t>
            </w:r>
          </w:p>
          <w:p w14:paraId="5CD04A9F">
            <w:pPr>
              <w:spacing w:line="360" w:lineRule="auto"/>
              <w:ind w:firstLine="482" w:firstLineChars="200"/>
              <w:rPr>
                <w:b/>
                <w:bCs/>
                <w:u w:val="single"/>
              </w:rPr>
            </w:pPr>
            <w:r>
              <w:rPr>
                <w:rFonts w:hint="eastAsia"/>
                <w:b/>
                <w:bCs/>
                <w:u w:val="single"/>
              </w:rPr>
              <w:t>码头疏浚施工采用4m</w:t>
            </w:r>
            <w:r>
              <w:rPr>
                <w:rFonts w:hint="eastAsia"/>
                <w:b/>
                <w:bCs/>
                <w:u w:val="single"/>
                <w:vertAlign w:val="superscript"/>
              </w:rPr>
              <w:t>3</w:t>
            </w:r>
            <w:r>
              <w:rPr>
                <w:rFonts w:hint="eastAsia"/>
                <w:b/>
                <w:bCs/>
                <w:u w:val="single"/>
              </w:rPr>
              <w:t>铲斗式挖泥船进行水下挖方，抓斗式挖泥船疏浚挖泥效率为168m</w:t>
            </w:r>
            <w:r>
              <w:rPr>
                <w:rFonts w:hint="eastAsia"/>
                <w:b/>
                <w:bCs/>
                <w:u w:val="single"/>
                <w:vertAlign w:val="superscript"/>
              </w:rPr>
              <w:t>3</w:t>
            </w:r>
            <w:r>
              <w:rPr>
                <w:rFonts w:hint="eastAsia"/>
                <w:b/>
                <w:bCs/>
                <w:u w:val="single"/>
              </w:rPr>
              <w:t>/h，因此其施工过程中产生的悬浮物源强为1.97kg/s。疏浚施工产生的悬浮泥沙，导致附近水域悬浮物浓度升高。悬浮物含量的高低与工程施工方式、工程规模以及底质情况有关，施工机械不同，作业时产生悬浮物的浓度不同，由于鸭绿江河道为砂石底质，故局部悬浮物浓度升高幅度是有限的，且其扩散范围、影响只是限定在工程所在的局部河段内。参照国内同类型疏浚工程施工悬浮物泥沙扩散观测研究结果，疏浚作业点附近低层水体中悬浮物的浓度约300—400mg/L，表层水体中悬浮物的浓度约100—180mg/L，疏浚施工导致水中悬浮物浓度增量大于10mg/L的纵向影响范围为沿水流方向长度约1km，可见对流域整体水质环境产生的影响不大，同时其影响是短期性的，随着工程施工结束，悬浮泥沙的影响将随之消失。</w:t>
            </w:r>
          </w:p>
          <w:p w14:paraId="46AF88D7">
            <w:pPr>
              <w:spacing w:line="360" w:lineRule="auto"/>
              <w:ind w:firstLine="480" w:firstLineChars="200"/>
            </w:pPr>
            <w:r>
              <w:rPr>
                <w:rFonts w:hint="eastAsia"/>
              </w:rPr>
              <w:t>（3）施工陆域污水影响分析</w:t>
            </w:r>
          </w:p>
          <w:p w14:paraId="1B942ABC">
            <w:pPr>
              <w:spacing w:line="360" w:lineRule="auto"/>
              <w:ind w:firstLine="480" w:firstLineChars="200"/>
            </w:pPr>
            <w:r>
              <w:rPr>
                <w:rFonts w:hint="eastAsia"/>
              </w:rPr>
              <w:t>陆域施工废水主要包括施工废水和施工人员生活污水。施工废水污染主要为混凝土养护和施工机械冲洗等，主要污染因子为SS，施工现场应设置污水沉淀池，施工废水经过沉淀后用于施工现场抑尘洒水，不得直接排放至地表水体。</w:t>
            </w:r>
          </w:p>
          <w:p w14:paraId="75604366">
            <w:pPr>
              <w:spacing w:line="360" w:lineRule="auto"/>
              <w:ind w:firstLine="482" w:firstLineChars="200"/>
            </w:pPr>
            <w:r>
              <w:rPr>
                <w:rFonts w:hint="eastAsia"/>
                <w:b/>
                <w:bCs/>
                <w:u w:val="single"/>
              </w:rPr>
              <w:t>混凝土养护废水产生量约335.32t/a，3.73t/d。</w:t>
            </w:r>
            <w:r>
              <w:rPr>
                <w:rFonts w:hint="eastAsia"/>
              </w:rPr>
              <w:t>施工人员生活污水中主要污染物包括：COD、NH</w:t>
            </w:r>
            <w:r>
              <w:rPr>
                <w:rFonts w:hint="eastAsia"/>
                <w:vertAlign w:val="subscript"/>
              </w:rPr>
              <w:t>3</w:t>
            </w:r>
            <w:r>
              <w:rPr>
                <w:rFonts w:hint="eastAsia"/>
              </w:rPr>
              <w:t>-N、TN、TP，施工期生活污水最大产生量为2.4m</w:t>
            </w:r>
            <w:r>
              <w:rPr>
                <w:rFonts w:hint="eastAsia"/>
                <w:vertAlign w:val="superscript"/>
              </w:rPr>
              <w:t>3</w:t>
            </w:r>
            <w:r>
              <w:rPr>
                <w:rFonts w:hint="eastAsia"/>
              </w:rPr>
              <w:t>/d。生活污水主要污染物浓度为：COD 400mgL、SS 200mg/L、NH</w:t>
            </w:r>
            <w:r>
              <w:rPr>
                <w:rFonts w:hint="eastAsia"/>
                <w:vertAlign w:val="subscript"/>
              </w:rPr>
              <w:t>3</w:t>
            </w:r>
            <w:r>
              <w:rPr>
                <w:rFonts w:hint="eastAsia"/>
              </w:rPr>
              <w:t>-N 35mg/L，将其排入移动式防渗旱厕内，定期进行清掏处理。</w:t>
            </w:r>
          </w:p>
          <w:p w14:paraId="71EF736B">
            <w:pPr>
              <w:spacing w:line="360" w:lineRule="auto"/>
              <w:ind w:firstLine="480" w:firstLineChars="200"/>
            </w:pPr>
            <w:r>
              <w:rPr>
                <w:rFonts w:hint="eastAsia"/>
              </w:rPr>
              <w:t>三、施工期噪声环境影响分析</w:t>
            </w:r>
          </w:p>
          <w:p w14:paraId="0A2BB879">
            <w:pPr>
              <w:spacing w:line="360" w:lineRule="auto"/>
              <w:ind w:firstLine="480" w:firstLineChars="200"/>
            </w:pPr>
            <w:r>
              <w:rPr>
                <w:rFonts w:hint="eastAsia"/>
              </w:rPr>
              <w:t>1、施工期噪声源</w:t>
            </w:r>
          </w:p>
          <w:p w14:paraId="7FAE6650">
            <w:pPr>
              <w:spacing w:line="360" w:lineRule="auto"/>
              <w:ind w:firstLine="480" w:firstLineChars="200"/>
            </w:pPr>
            <w:r>
              <w:rPr>
                <w:rFonts w:hint="eastAsia"/>
              </w:rPr>
              <w:t>施工期产生的主要噪声源为：挖掘船、铲运机、平地机、推土机、装载机等施工机械运行以及运送土石方的汽车行驶时产生的噪声等。类比同类设备，这些机械在满负荷运行时、没有降噪措施情况下，距声源5m处的噪声值在85～90dB（A）之间。</w:t>
            </w:r>
          </w:p>
          <w:p w14:paraId="5332A34C">
            <w:pPr>
              <w:tabs>
                <w:tab w:val="left" w:pos="1194"/>
              </w:tabs>
              <w:autoSpaceDE w:val="0"/>
              <w:autoSpaceDN w:val="0"/>
              <w:spacing w:line="360" w:lineRule="auto"/>
              <w:ind w:left="480" w:leftChars="200"/>
              <w:jc w:val="left"/>
            </w:pPr>
            <w:r>
              <w:rPr>
                <w:rFonts w:hint="eastAsia" w:cs="Times New Roman"/>
                <w:szCs w:val="24"/>
              </w:rPr>
              <w:t>2、</w:t>
            </w:r>
            <w:r>
              <w:rPr>
                <w:rFonts w:cs="Times New Roman"/>
                <w:szCs w:val="24"/>
              </w:rPr>
              <w:t>施工噪声影响范围</w:t>
            </w:r>
          </w:p>
          <w:p w14:paraId="58AF6FF4">
            <w:pPr>
              <w:autoSpaceDE w:val="0"/>
              <w:autoSpaceDN w:val="0"/>
              <w:spacing w:line="360" w:lineRule="auto"/>
              <w:ind w:firstLine="480" w:firstLineChars="200"/>
              <w:jc w:val="left"/>
              <w:rPr>
                <w:rFonts w:cs="Times New Roman"/>
                <w:szCs w:val="24"/>
              </w:rPr>
            </w:pPr>
            <w:r>
              <w:rPr>
                <w:rFonts w:hint="eastAsia" w:cs="Times New Roman"/>
                <w:szCs w:val="24"/>
              </w:rPr>
              <w:t>鉴于施工噪声的复杂性，以及施工噪声影响的区域性和阶段性，本次评价针对不同施工阶段计算出不同施工设备的噪声污染范围，以便施工单位在施工时结合实际情况采取适当的噪声污染防治措施。</w:t>
            </w:r>
          </w:p>
          <w:p w14:paraId="5D66B935">
            <w:pPr>
              <w:autoSpaceDE w:val="0"/>
              <w:autoSpaceDN w:val="0"/>
              <w:spacing w:line="360" w:lineRule="auto"/>
              <w:ind w:firstLine="480" w:firstLineChars="200"/>
              <w:jc w:val="left"/>
            </w:pPr>
            <w:r>
              <w:rPr>
                <w:rFonts w:cs="Times New Roman"/>
                <w:szCs w:val="24"/>
              </w:rPr>
              <w:t>根据点声源噪声衰减模式，估算出距声源不同距离处的噪声值，预测模式如下：</w:t>
            </w:r>
          </w:p>
          <w:p w14:paraId="48DC10BA">
            <w:pPr>
              <w:spacing w:line="360" w:lineRule="auto"/>
              <w:ind w:firstLine="480" w:firstLineChars="200"/>
              <w:jc w:val="center"/>
            </w:pPr>
            <w:r>
              <w:t>Lp=Lp0</w:t>
            </w:r>
            <w:r>
              <w:rPr>
                <w:rFonts w:hint="eastAsia"/>
              </w:rPr>
              <w:t>-</w:t>
            </w:r>
            <w:r>
              <w:t>20lg(r/5)</w:t>
            </w:r>
          </w:p>
          <w:p w14:paraId="3D7A8DAE">
            <w:pPr>
              <w:spacing w:line="360" w:lineRule="auto"/>
              <w:ind w:firstLine="480" w:firstLineChars="200"/>
            </w:pPr>
            <w:r>
              <w:t>式中：Lp-距声源r</w:t>
            </w:r>
            <w:r>
              <w:rPr>
                <w:rFonts w:hint="eastAsia"/>
              </w:rPr>
              <w:t>米</w:t>
            </w:r>
            <w:r>
              <w:t>处的施工噪声预测值，dB(A)；</w:t>
            </w:r>
          </w:p>
          <w:p w14:paraId="4FBA41D0">
            <w:pPr>
              <w:spacing w:line="360" w:lineRule="auto"/>
              <w:ind w:firstLine="1200" w:firstLineChars="500"/>
            </w:pPr>
            <w:r>
              <w:t>Lp0-距声源5m处的参考声级，dB(A)</w:t>
            </w:r>
            <w:r>
              <w:rPr>
                <w:rFonts w:hint="eastAsia"/>
              </w:rPr>
              <w:t>。</w:t>
            </w:r>
          </w:p>
          <w:p w14:paraId="4ED2F54C">
            <w:pPr>
              <w:autoSpaceDE w:val="0"/>
              <w:autoSpaceDN w:val="0"/>
              <w:spacing w:line="360" w:lineRule="auto"/>
              <w:ind w:firstLine="482" w:firstLineChars="200"/>
              <w:jc w:val="right"/>
              <w:rPr>
                <w:rFonts w:cs="Times New Roman"/>
                <w:b/>
                <w:bCs/>
              </w:rPr>
            </w:pPr>
            <w:r>
              <w:rPr>
                <w:rFonts w:cs="Times New Roman"/>
                <w:b/>
                <w:bCs/>
                <w:szCs w:val="24"/>
              </w:rPr>
              <w:t>表</w:t>
            </w:r>
            <w:r>
              <w:rPr>
                <w:rFonts w:hint="eastAsia" w:cs="Times New Roman"/>
                <w:b/>
                <w:bCs/>
                <w:szCs w:val="24"/>
              </w:rPr>
              <w:t xml:space="preserve">54   </w:t>
            </w:r>
            <w:r>
              <w:rPr>
                <w:rFonts w:cs="Times New Roman"/>
                <w:b/>
                <w:bCs/>
                <w:szCs w:val="24"/>
              </w:rPr>
              <w:t>主要阶段施工机械噪声预测结果</w:t>
            </w:r>
            <w:r>
              <w:rPr>
                <w:rFonts w:hint="eastAsia" w:cs="Times New Roman"/>
                <w:szCs w:val="24"/>
              </w:rPr>
              <w:t xml:space="preserve">   </w:t>
            </w:r>
            <w:r>
              <w:rPr>
                <w:rFonts w:cs="Times New Roman"/>
                <w:szCs w:val="24"/>
              </w:rPr>
              <w:t>单位：dB(A)</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24"/>
              <w:gridCol w:w="569"/>
              <w:gridCol w:w="507"/>
              <w:gridCol w:w="507"/>
              <w:gridCol w:w="507"/>
              <w:gridCol w:w="507"/>
              <w:gridCol w:w="507"/>
              <w:gridCol w:w="507"/>
              <w:gridCol w:w="647"/>
              <w:gridCol w:w="649"/>
              <w:gridCol w:w="650"/>
              <w:gridCol w:w="705"/>
            </w:tblGrid>
            <w:tr w14:paraId="171059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00" w:hRule="atLeast"/>
              </w:trPr>
              <w:tc>
                <w:tcPr>
                  <w:tcW w:w="926" w:type="pct"/>
                  <w:vMerge w:val="restart"/>
                  <w:vAlign w:val="center"/>
                </w:tcPr>
                <w:p w14:paraId="0E194977">
                  <w:pPr>
                    <w:autoSpaceDE w:val="0"/>
                    <w:autoSpaceDN w:val="0"/>
                    <w:jc w:val="center"/>
                    <w:rPr>
                      <w:rFonts w:cs="Times New Roman"/>
                      <w:b/>
                      <w:bCs/>
                      <w:sz w:val="21"/>
                      <w:szCs w:val="21"/>
                      <w:lang w:eastAsia="en-US"/>
                    </w:rPr>
                  </w:pPr>
                  <w:r>
                    <w:rPr>
                      <w:rFonts w:cs="Times New Roman"/>
                      <w:b/>
                      <w:bCs/>
                      <w:sz w:val="21"/>
                      <w:szCs w:val="21"/>
                      <w:lang w:eastAsia="en-US"/>
                    </w:rPr>
                    <w:t>声源名称</w:t>
                  </w:r>
                </w:p>
              </w:tc>
              <w:tc>
                <w:tcPr>
                  <w:tcW w:w="370" w:type="pct"/>
                  <w:vMerge w:val="restart"/>
                  <w:vAlign w:val="center"/>
                </w:tcPr>
                <w:p w14:paraId="7B24206F">
                  <w:pPr>
                    <w:autoSpaceDE w:val="0"/>
                    <w:autoSpaceDN w:val="0"/>
                    <w:jc w:val="center"/>
                    <w:rPr>
                      <w:rFonts w:cs="Times New Roman"/>
                      <w:b/>
                      <w:bCs/>
                      <w:sz w:val="21"/>
                      <w:szCs w:val="21"/>
                      <w:lang w:eastAsia="en-US"/>
                    </w:rPr>
                  </w:pPr>
                  <w:r>
                    <w:rPr>
                      <w:rFonts w:cs="Times New Roman"/>
                      <w:b/>
                      <w:bCs/>
                      <w:sz w:val="21"/>
                      <w:szCs w:val="21"/>
                      <w:lang w:eastAsia="en-US"/>
                    </w:rPr>
                    <w:t>源强</w:t>
                  </w:r>
                </w:p>
              </w:tc>
              <w:tc>
                <w:tcPr>
                  <w:tcW w:w="3703" w:type="pct"/>
                  <w:gridSpan w:val="10"/>
                  <w:vAlign w:val="center"/>
                </w:tcPr>
                <w:p w14:paraId="33FD4A18">
                  <w:pPr>
                    <w:autoSpaceDE w:val="0"/>
                    <w:autoSpaceDN w:val="0"/>
                    <w:jc w:val="center"/>
                    <w:rPr>
                      <w:rFonts w:cs="Times New Roman"/>
                      <w:b/>
                      <w:bCs/>
                      <w:sz w:val="21"/>
                      <w:szCs w:val="21"/>
                    </w:rPr>
                  </w:pPr>
                  <w:r>
                    <w:rPr>
                      <w:rFonts w:cs="Times New Roman"/>
                      <w:b/>
                      <w:bCs/>
                      <w:sz w:val="21"/>
                      <w:szCs w:val="21"/>
                    </w:rPr>
                    <w:t>距声源不同距离处的噪声值</w:t>
                  </w:r>
                </w:p>
              </w:tc>
            </w:tr>
            <w:tr w14:paraId="5033FE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87" w:hRule="atLeast"/>
              </w:trPr>
              <w:tc>
                <w:tcPr>
                  <w:tcW w:w="926" w:type="pct"/>
                  <w:vMerge w:val="continue"/>
                  <w:vAlign w:val="center"/>
                </w:tcPr>
                <w:p w14:paraId="694C3AD3">
                  <w:pPr>
                    <w:autoSpaceDE w:val="0"/>
                    <w:autoSpaceDN w:val="0"/>
                    <w:jc w:val="center"/>
                    <w:rPr>
                      <w:rFonts w:cs="Times New Roman"/>
                      <w:b/>
                      <w:bCs/>
                      <w:sz w:val="21"/>
                      <w:szCs w:val="21"/>
                    </w:rPr>
                  </w:pPr>
                </w:p>
              </w:tc>
              <w:tc>
                <w:tcPr>
                  <w:tcW w:w="370" w:type="pct"/>
                  <w:vMerge w:val="continue"/>
                  <w:vAlign w:val="center"/>
                </w:tcPr>
                <w:p w14:paraId="2C79A4B8">
                  <w:pPr>
                    <w:autoSpaceDE w:val="0"/>
                    <w:autoSpaceDN w:val="0"/>
                    <w:jc w:val="center"/>
                    <w:rPr>
                      <w:rFonts w:cs="Times New Roman"/>
                      <w:b/>
                      <w:bCs/>
                      <w:sz w:val="21"/>
                      <w:szCs w:val="21"/>
                    </w:rPr>
                  </w:pPr>
                </w:p>
              </w:tc>
              <w:tc>
                <w:tcPr>
                  <w:tcW w:w="330" w:type="pct"/>
                  <w:vAlign w:val="center"/>
                </w:tcPr>
                <w:p w14:paraId="51B0E82E">
                  <w:pPr>
                    <w:autoSpaceDE w:val="0"/>
                    <w:autoSpaceDN w:val="0"/>
                    <w:jc w:val="center"/>
                    <w:rPr>
                      <w:rFonts w:cs="Times New Roman"/>
                      <w:b/>
                      <w:bCs/>
                      <w:sz w:val="21"/>
                      <w:szCs w:val="21"/>
                    </w:rPr>
                  </w:pPr>
                  <w:r>
                    <w:rPr>
                      <w:rFonts w:cs="Times New Roman"/>
                      <w:b/>
                      <w:bCs/>
                      <w:sz w:val="21"/>
                      <w:szCs w:val="21"/>
                    </w:rPr>
                    <w:t>10m</w:t>
                  </w:r>
                </w:p>
              </w:tc>
              <w:tc>
                <w:tcPr>
                  <w:tcW w:w="330" w:type="pct"/>
                  <w:vAlign w:val="center"/>
                </w:tcPr>
                <w:p w14:paraId="0AC8158A">
                  <w:pPr>
                    <w:autoSpaceDE w:val="0"/>
                    <w:autoSpaceDN w:val="0"/>
                    <w:jc w:val="center"/>
                    <w:rPr>
                      <w:rFonts w:cs="Times New Roman"/>
                      <w:b/>
                      <w:bCs/>
                      <w:sz w:val="21"/>
                      <w:szCs w:val="21"/>
                    </w:rPr>
                  </w:pPr>
                  <w:r>
                    <w:rPr>
                      <w:rFonts w:cs="Times New Roman"/>
                      <w:b/>
                      <w:bCs/>
                      <w:sz w:val="21"/>
                      <w:szCs w:val="21"/>
                    </w:rPr>
                    <w:t>20m</w:t>
                  </w:r>
                </w:p>
              </w:tc>
              <w:tc>
                <w:tcPr>
                  <w:tcW w:w="330" w:type="pct"/>
                  <w:vAlign w:val="center"/>
                </w:tcPr>
                <w:p w14:paraId="38EF0708">
                  <w:pPr>
                    <w:autoSpaceDE w:val="0"/>
                    <w:autoSpaceDN w:val="0"/>
                    <w:jc w:val="center"/>
                    <w:rPr>
                      <w:rFonts w:cs="Times New Roman"/>
                      <w:b/>
                      <w:bCs/>
                      <w:sz w:val="21"/>
                      <w:szCs w:val="21"/>
                    </w:rPr>
                  </w:pPr>
                  <w:r>
                    <w:rPr>
                      <w:rFonts w:cs="Times New Roman"/>
                      <w:b/>
                      <w:bCs/>
                      <w:sz w:val="21"/>
                      <w:szCs w:val="21"/>
                    </w:rPr>
                    <w:t>40m</w:t>
                  </w:r>
                </w:p>
              </w:tc>
              <w:tc>
                <w:tcPr>
                  <w:tcW w:w="330" w:type="pct"/>
                  <w:vAlign w:val="center"/>
                </w:tcPr>
                <w:p w14:paraId="44ED84B7">
                  <w:pPr>
                    <w:autoSpaceDE w:val="0"/>
                    <w:autoSpaceDN w:val="0"/>
                    <w:jc w:val="center"/>
                    <w:rPr>
                      <w:rFonts w:cs="Times New Roman"/>
                      <w:b/>
                      <w:bCs/>
                      <w:sz w:val="21"/>
                      <w:szCs w:val="21"/>
                    </w:rPr>
                  </w:pPr>
                  <w:r>
                    <w:rPr>
                      <w:rFonts w:cs="Times New Roman"/>
                      <w:b/>
                      <w:bCs/>
                      <w:sz w:val="21"/>
                      <w:szCs w:val="21"/>
                    </w:rPr>
                    <w:t>50m</w:t>
                  </w:r>
                </w:p>
              </w:tc>
              <w:tc>
                <w:tcPr>
                  <w:tcW w:w="330" w:type="pct"/>
                  <w:vAlign w:val="center"/>
                </w:tcPr>
                <w:p w14:paraId="67092CE8">
                  <w:pPr>
                    <w:autoSpaceDE w:val="0"/>
                    <w:autoSpaceDN w:val="0"/>
                    <w:jc w:val="center"/>
                    <w:rPr>
                      <w:rFonts w:cs="Times New Roman"/>
                      <w:b/>
                      <w:bCs/>
                      <w:sz w:val="21"/>
                      <w:szCs w:val="21"/>
                    </w:rPr>
                  </w:pPr>
                  <w:r>
                    <w:rPr>
                      <w:rFonts w:cs="Times New Roman"/>
                      <w:b/>
                      <w:bCs/>
                      <w:sz w:val="21"/>
                      <w:szCs w:val="21"/>
                    </w:rPr>
                    <w:t>60m</w:t>
                  </w:r>
                </w:p>
              </w:tc>
              <w:tc>
                <w:tcPr>
                  <w:tcW w:w="330" w:type="pct"/>
                  <w:vAlign w:val="center"/>
                </w:tcPr>
                <w:p w14:paraId="660CA49C">
                  <w:pPr>
                    <w:autoSpaceDE w:val="0"/>
                    <w:autoSpaceDN w:val="0"/>
                    <w:jc w:val="center"/>
                    <w:rPr>
                      <w:rFonts w:cs="Times New Roman"/>
                      <w:b/>
                      <w:bCs/>
                      <w:sz w:val="21"/>
                      <w:szCs w:val="21"/>
                    </w:rPr>
                  </w:pPr>
                  <w:r>
                    <w:rPr>
                      <w:rFonts w:cs="Times New Roman"/>
                      <w:b/>
                      <w:bCs/>
                      <w:sz w:val="21"/>
                      <w:szCs w:val="21"/>
                    </w:rPr>
                    <w:t>80m</w:t>
                  </w:r>
                </w:p>
              </w:tc>
              <w:tc>
                <w:tcPr>
                  <w:tcW w:w="421" w:type="pct"/>
                  <w:vAlign w:val="center"/>
                </w:tcPr>
                <w:p w14:paraId="0E13D6D5">
                  <w:pPr>
                    <w:autoSpaceDE w:val="0"/>
                    <w:autoSpaceDN w:val="0"/>
                    <w:jc w:val="center"/>
                    <w:rPr>
                      <w:rFonts w:cs="Times New Roman"/>
                      <w:b/>
                      <w:bCs/>
                      <w:sz w:val="21"/>
                      <w:szCs w:val="21"/>
                    </w:rPr>
                  </w:pPr>
                  <w:r>
                    <w:rPr>
                      <w:rFonts w:cs="Times New Roman"/>
                      <w:b/>
                      <w:bCs/>
                      <w:sz w:val="21"/>
                      <w:szCs w:val="21"/>
                    </w:rPr>
                    <w:t>100m</w:t>
                  </w:r>
                </w:p>
              </w:tc>
              <w:tc>
                <w:tcPr>
                  <w:tcW w:w="422" w:type="pct"/>
                  <w:vAlign w:val="center"/>
                </w:tcPr>
                <w:p w14:paraId="2A255AE8">
                  <w:pPr>
                    <w:autoSpaceDE w:val="0"/>
                    <w:autoSpaceDN w:val="0"/>
                    <w:jc w:val="center"/>
                    <w:rPr>
                      <w:rFonts w:cs="Times New Roman"/>
                      <w:b/>
                      <w:bCs/>
                      <w:sz w:val="21"/>
                      <w:szCs w:val="21"/>
                    </w:rPr>
                  </w:pPr>
                  <w:r>
                    <w:rPr>
                      <w:rFonts w:cs="Times New Roman"/>
                      <w:b/>
                      <w:bCs/>
                      <w:sz w:val="21"/>
                      <w:szCs w:val="21"/>
                    </w:rPr>
                    <w:t>150m</w:t>
                  </w:r>
                </w:p>
              </w:tc>
              <w:tc>
                <w:tcPr>
                  <w:tcW w:w="422" w:type="pct"/>
                  <w:vAlign w:val="center"/>
                </w:tcPr>
                <w:p w14:paraId="761D5297">
                  <w:pPr>
                    <w:autoSpaceDE w:val="0"/>
                    <w:autoSpaceDN w:val="0"/>
                    <w:jc w:val="center"/>
                    <w:rPr>
                      <w:rFonts w:cs="Times New Roman"/>
                      <w:b/>
                      <w:bCs/>
                      <w:sz w:val="21"/>
                      <w:szCs w:val="21"/>
                    </w:rPr>
                  </w:pPr>
                  <w:r>
                    <w:rPr>
                      <w:rFonts w:cs="Times New Roman"/>
                      <w:b/>
                      <w:bCs/>
                      <w:sz w:val="21"/>
                      <w:szCs w:val="21"/>
                    </w:rPr>
                    <w:t>200m</w:t>
                  </w:r>
                </w:p>
              </w:tc>
              <w:tc>
                <w:tcPr>
                  <w:tcW w:w="451" w:type="pct"/>
                  <w:vAlign w:val="center"/>
                </w:tcPr>
                <w:p w14:paraId="5DF662AA">
                  <w:pPr>
                    <w:autoSpaceDE w:val="0"/>
                    <w:autoSpaceDN w:val="0"/>
                    <w:jc w:val="center"/>
                    <w:rPr>
                      <w:rFonts w:cs="Times New Roman"/>
                      <w:b/>
                      <w:bCs/>
                      <w:sz w:val="21"/>
                      <w:szCs w:val="21"/>
                    </w:rPr>
                  </w:pPr>
                  <w:r>
                    <w:rPr>
                      <w:rFonts w:cs="Times New Roman"/>
                      <w:b/>
                      <w:bCs/>
                      <w:sz w:val="21"/>
                      <w:szCs w:val="21"/>
                    </w:rPr>
                    <w:t>300m</w:t>
                  </w:r>
                </w:p>
              </w:tc>
            </w:tr>
            <w:tr w14:paraId="1C4D82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0" w:hRule="atLeast"/>
              </w:trPr>
              <w:tc>
                <w:tcPr>
                  <w:tcW w:w="926" w:type="pct"/>
                  <w:vAlign w:val="center"/>
                </w:tcPr>
                <w:p w14:paraId="75BE3AC4">
                  <w:pPr>
                    <w:autoSpaceDE w:val="0"/>
                    <w:autoSpaceDN w:val="0"/>
                    <w:jc w:val="center"/>
                    <w:rPr>
                      <w:rFonts w:cs="Times New Roman"/>
                      <w:sz w:val="21"/>
                      <w:szCs w:val="21"/>
                    </w:rPr>
                  </w:pPr>
                  <w:r>
                    <w:rPr>
                      <w:rFonts w:cs="Times New Roman"/>
                      <w:sz w:val="21"/>
                      <w:szCs w:val="21"/>
                    </w:rPr>
                    <w:t>挖掘船</w:t>
                  </w:r>
                </w:p>
              </w:tc>
              <w:tc>
                <w:tcPr>
                  <w:tcW w:w="370" w:type="pct"/>
                  <w:vAlign w:val="center"/>
                </w:tcPr>
                <w:p w14:paraId="1DE15E14">
                  <w:pPr>
                    <w:autoSpaceDE w:val="0"/>
                    <w:autoSpaceDN w:val="0"/>
                    <w:jc w:val="center"/>
                    <w:rPr>
                      <w:rFonts w:cs="Times New Roman"/>
                      <w:sz w:val="21"/>
                      <w:szCs w:val="21"/>
                    </w:rPr>
                  </w:pPr>
                  <w:r>
                    <w:rPr>
                      <w:rFonts w:cs="Times New Roman"/>
                      <w:sz w:val="21"/>
                      <w:szCs w:val="21"/>
                    </w:rPr>
                    <w:t>95</w:t>
                  </w:r>
                </w:p>
              </w:tc>
              <w:tc>
                <w:tcPr>
                  <w:tcW w:w="330" w:type="pct"/>
                  <w:vAlign w:val="center"/>
                </w:tcPr>
                <w:p w14:paraId="69E2D5E4">
                  <w:pPr>
                    <w:autoSpaceDE w:val="0"/>
                    <w:autoSpaceDN w:val="0"/>
                    <w:jc w:val="center"/>
                    <w:rPr>
                      <w:rFonts w:cs="Times New Roman"/>
                      <w:sz w:val="21"/>
                      <w:szCs w:val="21"/>
                    </w:rPr>
                  </w:pPr>
                  <w:r>
                    <w:rPr>
                      <w:rFonts w:cs="Times New Roman"/>
                      <w:sz w:val="21"/>
                      <w:szCs w:val="21"/>
                    </w:rPr>
                    <w:t>75.0</w:t>
                  </w:r>
                </w:p>
              </w:tc>
              <w:tc>
                <w:tcPr>
                  <w:tcW w:w="330" w:type="pct"/>
                  <w:vAlign w:val="center"/>
                </w:tcPr>
                <w:p w14:paraId="3E34879C">
                  <w:pPr>
                    <w:autoSpaceDE w:val="0"/>
                    <w:autoSpaceDN w:val="0"/>
                    <w:jc w:val="center"/>
                    <w:rPr>
                      <w:rFonts w:cs="Times New Roman"/>
                      <w:sz w:val="21"/>
                      <w:szCs w:val="21"/>
                    </w:rPr>
                  </w:pPr>
                  <w:r>
                    <w:rPr>
                      <w:rFonts w:cs="Times New Roman"/>
                      <w:sz w:val="21"/>
                      <w:szCs w:val="21"/>
                    </w:rPr>
                    <w:t>69.0</w:t>
                  </w:r>
                </w:p>
              </w:tc>
              <w:tc>
                <w:tcPr>
                  <w:tcW w:w="330" w:type="pct"/>
                  <w:vAlign w:val="center"/>
                </w:tcPr>
                <w:p w14:paraId="00434836">
                  <w:pPr>
                    <w:autoSpaceDE w:val="0"/>
                    <w:autoSpaceDN w:val="0"/>
                    <w:jc w:val="center"/>
                    <w:rPr>
                      <w:rFonts w:cs="Times New Roman"/>
                      <w:sz w:val="21"/>
                      <w:szCs w:val="21"/>
                    </w:rPr>
                  </w:pPr>
                  <w:r>
                    <w:rPr>
                      <w:rFonts w:cs="Times New Roman"/>
                      <w:sz w:val="21"/>
                      <w:szCs w:val="21"/>
                    </w:rPr>
                    <w:t>65.5</w:t>
                  </w:r>
                </w:p>
              </w:tc>
              <w:tc>
                <w:tcPr>
                  <w:tcW w:w="330" w:type="pct"/>
                  <w:vAlign w:val="center"/>
                </w:tcPr>
                <w:p w14:paraId="3035FF9B">
                  <w:pPr>
                    <w:autoSpaceDE w:val="0"/>
                    <w:autoSpaceDN w:val="0"/>
                    <w:jc w:val="center"/>
                    <w:rPr>
                      <w:rFonts w:cs="Times New Roman"/>
                      <w:sz w:val="21"/>
                      <w:szCs w:val="21"/>
                    </w:rPr>
                  </w:pPr>
                  <w:r>
                    <w:rPr>
                      <w:rFonts w:cs="Times New Roman"/>
                      <w:sz w:val="21"/>
                      <w:szCs w:val="21"/>
                    </w:rPr>
                    <w:t>63.0</w:t>
                  </w:r>
                </w:p>
              </w:tc>
              <w:tc>
                <w:tcPr>
                  <w:tcW w:w="330" w:type="pct"/>
                  <w:vAlign w:val="center"/>
                </w:tcPr>
                <w:p w14:paraId="229BBBCC">
                  <w:pPr>
                    <w:autoSpaceDE w:val="0"/>
                    <w:autoSpaceDN w:val="0"/>
                    <w:jc w:val="center"/>
                    <w:rPr>
                      <w:rFonts w:cs="Times New Roman"/>
                      <w:sz w:val="21"/>
                      <w:szCs w:val="21"/>
                    </w:rPr>
                  </w:pPr>
                  <w:r>
                    <w:rPr>
                      <w:rFonts w:cs="Times New Roman"/>
                      <w:sz w:val="21"/>
                      <w:szCs w:val="21"/>
                    </w:rPr>
                    <w:t>59.4</w:t>
                  </w:r>
                </w:p>
              </w:tc>
              <w:tc>
                <w:tcPr>
                  <w:tcW w:w="330" w:type="pct"/>
                  <w:vAlign w:val="center"/>
                </w:tcPr>
                <w:p w14:paraId="4B8044D8">
                  <w:pPr>
                    <w:autoSpaceDE w:val="0"/>
                    <w:autoSpaceDN w:val="0"/>
                    <w:jc w:val="center"/>
                    <w:rPr>
                      <w:rFonts w:cs="Times New Roman"/>
                      <w:sz w:val="21"/>
                      <w:szCs w:val="21"/>
                    </w:rPr>
                  </w:pPr>
                  <w:r>
                    <w:rPr>
                      <w:rFonts w:cs="Times New Roman"/>
                      <w:sz w:val="21"/>
                      <w:szCs w:val="21"/>
                    </w:rPr>
                    <w:t>56.9</w:t>
                  </w:r>
                </w:p>
              </w:tc>
              <w:tc>
                <w:tcPr>
                  <w:tcW w:w="421" w:type="pct"/>
                  <w:vAlign w:val="center"/>
                </w:tcPr>
                <w:p w14:paraId="12DDF41A">
                  <w:pPr>
                    <w:autoSpaceDE w:val="0"/>
                    <w:autoSpaceDN w:val="0"/>
                    <w:jc w:val="center"/>
                    <w:rPr>
                      <w:rFonts w:cs="Times New Roman"/>
                      <w:sz w:val="21"/>
                      <w:szCs w:val="21"/>
                    </w:rPr>
                  </w:pPr>
                  <w:r>
                    <w:rPr>
                      <w:rFonts w:cs="Times New Roman"/>
                      <w:sz w:val="21"/>
                      <w:szCs w:val="21"/>
                    </w:rPr>
                    <w:t>55.0</w:t>
                  </w:r>
                </w:p>
              </w:tc>
              <w:tc>
                <w:tcPr>
                  <w:tcW w:w="422" w:type="pct"/>
                  <w:vAlign w:val="center"/>
                </w:tcPr>
                <w:p w14:paraId="67EA56EB">
                  <w:pPr>
                    <w:autoSpaceDE w:val="0"/>
                    <w:autoSpaceDN w:val="0"/>
                    <w:jc w:val="center"/>
                    <w:rPr>
                      <w:rFonts w:cs="Times New Roman"/>
                      <w:sz w:val="21"/>
                      <w:szCs w:val="21"/>
                    </w:rPr>
                  </w:pPr>
                  <w:r>
                    <w:rPr>
                      <w:rFonts w:cs="Times New Roman"/>
                      <w:sz w:val="21"/>
                      <w:szCs w:val="21"/>
                    </w:rPr>
                    <w:t>51.5</w:t>
                  </w:r>
                </w:p>
              </w:tc>
              <w:tc>
                <w:tcPr>
                  <w:tcW w:w="422" w:type="pct"/>
                  <w:vAlign w:val="center"/>
                </w:tcPr>
                <w:p w14:paraId="24156E88">
                  <w:pPr>
                    <w:autoSpaceDE w:val="0"/>
                    <w:autoSpaceDN w:val="0"/>
                    <w:jc w:val="center"/>
                    <w:rPr>
                      <w:rFonts w:cs="Times New Roman"/>
                      <w:sz w:val="21"/>
                      <w:szCs w:val="21"/>
                    </w:rPr>
                  </w:pPr>
                  <w:r>
                    <w:rPr>
                      <w:rFonts w:cs="Times New Roman"/>
                      <w:sz w:val="21"/>
                      <w:szCs w:val="21"/>
                    </w:rPr>
                    <w:t>49.0</w:t>
                  </w:r>
                </w:p>
              </w:tc>
              <w:tc>
                <w:tcPr>
                  <w:tcW w:w="451" w:type="pct"/>
                  <w:vAlign w:val="center"/>
                </w:tcPr>
                <w:p w14:paraId="653E263B">
                  <w:pPr>
                    <w:autoSpaceDE w:val="0"/>
                    <w:autoSpaceDN w:val="0"/>
                    <w:jc w:val="center"/>
                    <w:rPr>
                      <w:rFonts w:cs="Times New Roman"/>
                      <w:sz w:val="21"/>
                      <w:szCs w:val="21"/>
                    </w:rPr>
                  </w:pPr>
                  <w:r>
                    <w:rPr>
                      <w:rFonts w:cs="Times New Roman"/>
                      <w:sz w:val="21"/>
                      <w:szCs w:val="21"/>
                    </w:rPr>
                    <w:t>45.5</w:t>
                  </w:r>
                </w:p>
              </w:tc>
            </w:tr>
            <w:tr w14:paraId="4D86B1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0" w:hRule="atLeast"/>
              </w:trPr>
              <w:tc>
                <w:tcPr>
                  <w:tcW w:w="926" w:type="pct"/>
                  <w:vAlign w:val="center"/>
                </w:tcPr>
                <w:p w14:paraId="6496EC69">
                  <w:pPr>
                    <w:autoSpaceDE w:val="0"/>
                    <w:autoSpaceDN w:val="0"/>
                    <w:jc w:val="center"/>
                    <w:rPr>
                      <w:rFonts w:cs="Times New Roman"/>
                      <w:sz w:val="21"/>
                      <w:szCs w:val="21"/>
                    </w:rPr>
                  </w:pPr>
                  <w:r>
                    <w:rPr>
                      <w:rFonts w:cs="Times New Roman"/>
                      <w:sz w:val="21"/>
                      <w:szCs w:val="21"/>
                    </w:rPr>
                    <w:t>推土机</w:t>
                  </w:r>
                </w:p>
              </w:tc>
              <w:tc>
                <w:tcPr>
                  <w:tcW w:w="370" w:type="pct"/>
                  <w:vAlign w:val="center"/>
                </w:tcPr>
                <w:p w14:paraId="0CF85C07">
                  <w:pPr>
                    <w:autoSpaceDE w:val="0"/>
                    <w:autoSpaceDN w:val="0"/>
                    <w:jc w:val="center"/>
                    <w:rPr>
                      <w:rFonts w:cs="Times New Roman"/>
                      <w:sz w:val="21"/>
                      <w:szCs w:val="21"/>
                    </w:rPr>
                  </w:pPr>
                  <w:r>
                    <w:rPr>
                      <w:rFonts w:cs="Times New Roman"/>
                      <w:sz w:val="21"/>
                      <w:szCs w:val="21"/>
                    </w:rPr>
                    <w:t>94</w:t>
                  </w:r>
                </w:p>
              </w:tc>
              <w:tc>
                <w:tcPr>
                  <w:tcW w:w="330" w:type="pct"/>
                  <w:vAlign w:val="center"/>
                </w:tcPr>
                <w:p w14:paraId="2EEF30E4">
                  <w:pPr>
                    <w:autoSpaceDE w:val="0"/>
                    <w:autoSpaceDN w:val="0"/>
                    <w:jc w:val="center"/>
                    <w:rPr>
                      <w:rFonts w:cs="Times New Roman"/>
                      <w:sz w:val="21"/>
                      <w:szCs w:val="21"/>
                    </w:rPr>
                  </w:pPr>
                  <w:r>
                    <w:rPr>
                      <w:rFonts w:cs="Times New Roman"/>
                      <w:sz w:val="21"/>
                      <w:szCs w:val="21"/>
                    </w:rPr>
                    <w:t>74.0</w:t>
                  </w:r>
                </w:p>
              </w:tc>
              <w:tc>
                <w:tcPr>
                  <w:tcW w:w="330" w:type="pct"/>
                  <w:vAlign w:val="center"/>
                </w:tcPr>
                <w:p w14:paraId="29336515">
                  <w:pPr>
                    <w:autoSpaceDE w:val="0"/>
                    <w:autoSpaceDN w:val="0"/>
                    <w:jc w:val="center"/>
                    <w:rPr>
                      <w:rFonts w:cs="Times New Roman"/>
                      <w:sz w:val="21"/>
                      <w:szCs w:val="21"/>
                    </w:rPr>
                  </w:pPr>
                  <w:r>
                    <w:rPr>
                      <w:rFonts w:cs="Times New Roman"/>
                      <w:sz w:val="21"/>
                      <w:szCs w:val="21"/>
                    </w:rPr>
                    <w:t>68.0</w:t>
                  </w:r>
                </w:p>
              </w:tc>
              <w:tc>
                <w:tcPr>
                  <w:tcW w:w="330" w:type="pct"/>
                  <w:vAlign w:val="center"/>
                </w:tcPr>
                <w:p w14:paraId="33B9B0B2">
                  <w:pPr>
                    <w:autoSpaceDE w:val="0"/>
                    <w:autoSpaceDN w:val="0"/>
                    <w:jc w:val="center"/>
                    <w:rPr>
                      <w:rFonts w:cs="Times New Roman"/>
                      <w:sz w:val="21"/>
                      <w:szCs w:val="21"/>
                    </w:rPr>
                  </w:pPr>
                  <w:r>
                    <w:rPr>
                      <w:rFonts w:cs="Times New Roman"/>
                      <w:sz w:val="21"/>
                      <w:szCs w:val="21"/>
                    </w:rPr>
                    <w:t>64.5</w:t>
                  </w:r>
                </w:p>
              </w:tc>
              <w:tc>
                <w:tcPr>
                  <w:tcW w:w="330" w:type="pct"/>
                  <w:vAlign w:val="center"/>
                </w:tcPr>
                <w:p w14:paraId="75BC5CE0">
                  <w:pPr>
                    <w:autoSpaceDE w:val="0"/>
                    <w:autoSpaceDN w:val="0"/>
                    <w:jc w:val="center"/>
                    <w:rPr>
                      <w:rFonts w:cs="Times New Roman"/>
                      <w:sz w:val="21"/>
                      <w:szCs w:val="21"/>
                    </w:rPr>
                  </w:pPr>
                  <w:r>
                    <w:rPr>
                      <w:rFonts w:cs="Times New Roman"/>
                      <w:sz w:val="21"/>
                      <w:szCs w:val="21"/>
                    </w:rPr>
                    <w:t>62.0</w:t>
                  </w:r>
                </w:p>
              </w:tc>
              <w:tc>
                <w:tcPr>
                  <w:tcW w:w="330" w:type="pct"/>
                  <w:vAlign w:val="center"/>
                </w:tcPr>
                <w:p w14:paraId="5643F0C3">
                  <w:pPr>
                    <w:autoSpaceDE w:val="0"/>
                    <w:autoSpaceDN w:val="0"/>
                    <w:jc w:val="center"/>
                    <w:rPr>
                      <w:rFonts w:cs="Times New Roman"/>
                      <w:sz w:val="21"/>
                      <w:szCs w:val="21"/>
                    </w:rPr>
                  </w:pPr>
                  <w:r>
                    <w:rPr>
                      <w:rFonts w:cs="Times New Roman"/>
                      <w:sz w:val="21"/>
                      <w:szCs w:val="21"/>
                    </w:rPr>
                    <w:t>58.4</w:t>
                  </w:r>
                </w:p>
              </w:tc>
              <w:tc>
                <w:tcPr>
                  <w:tcW w:w="330" w:type="pct"/>
                  <w:vAlign w:val="center"/>
                </w:tcPr>
                <w:p w14:paraId="07785E8E">
                  <w:pPr>
                    <w:autoSpaceDE w:val="0"/>
                    <w:autoSpaceDN w:val="0"/>
                    <w:jc w:val="center"/>
                    <w:rPr>
                      <w:rFonts w:cs="Times New Roman"/>
                      <w:sz w:val="21"/>
                      <w:szCs w:val="21"/>
                    </w:rPr>
                  </w:pPr>
                  <w:r>
                    <w:rPr>
                      <w:rFonts w:cs="Times New Roman"/>
                      <w:sz w:val="21"/>
                      <w:szCs w:val="21"/>
                    </w:rPr>
                    <w:t>55.9</w:t>
                  </w:r>
                </w:p>
              </w:tc>
              <w:tc>
                <w:tcPr>
                  <w:tcW w:w="421" w:type="pct"/>
                  <w:vAlign w:val="center"/>
                </w:tcPr>
                <w:p w14:paraId="2FD02EC6">
                  <w:pPr>
                    <w:autoSpaceDE w:val="0"/>
                    <w:autoSpaceDN w:val="0"/>
                    <w:jc w:val="center"/>
                    <w:rPr>
                      <w:rFonts w:cs="Times New Roman"/>
                      <w:sz w:val="21"/>
                      <w:szCs w:val="21"/>
                    </w:rPr>
                  </w:pPr>
                  <w:r>
                    <w:rPr>
                      <w:rFonts w:cs="Times New Roman"/>
                      <w:sz w:val="21"/>
                      <w:szCs w:val="21"/>
                    </w:rPr>
                    <w:t>54.0</w:t>
                  </w:r>
                </w:p>
              </w:tc>
              <w:tc>
                <w:tcPr>
                  <w:tcW w:w="422" w:type="pct"/>
                  <w:vAlign w:val="center"/>
                </w:tcPr>
                <w:p w14:paraId="609F3CD1">
                  <w:pPr>
                    <w:autoSpaceDE w:val="0"/>
                    <w:autoSpaceDN w:val="0"/>
                    <w:jc w:val="center"/>
                    <w:rPr>
                      <w:rFonts w:cs="Times New Roman"/>
                      <w:sz w:val="21"/>
                      <w:szCs w:val="21"/>
                    </w:rPr>
                  </w:pPr>
                  <w:r>
                    <w:rPr>
                      <w:rFonts w:cs="Times New Roman"/>
                      <w:sz w:val="21"/>
                      <w:szCs w:val="21"/>
                    </w:rPr>
                    <w:t>50.5</w:t>
                  </w:r>
                </w:p>
              </w:tc>
              <w:tc>
                <w:tcPr>
                  <w:tcW w:w="422" w:type="pct"/>
                  <w:vAlign w:val="center"/>
                </w:tcPr>
                <w:p w14:paraId="57ED046D">
                  <w:pPr>
                    <w:autoSpaceDE w:val="0"/>
                    <w:autoSpaceDN w:val="0"/>
                    <w:jc w:val="center"/>
                    <w:rPr>
                      <w:rFonts w:cs="Times New Roman"/>
                      <w:sz w:val="21"/>
                      <w:szCs w:val="21"/>
                    </w:rPr>
                  </w:pPr>
                  <w:r>
                    <w:rPr>
                      <w:rFonts w:cs="Times New Roman"/>
                      <w:sz w:val="21"/>
                      <w:szCs w:val="21"/>
                    </w:rPr>
                    <w:t>48.0</w:t>
                  </w:r>
                </w:p>
              </w:tc>
              <w:tc>
                <w:tcPr>
                  <w:tcW w:w="451" w:type="pct"/>
                  <w:vAlign w:val="center"/>
                </w:tcPr>
                <w:p w14:paraId="3ACFB605">
                  <w:pPr>
                    <w:autoSpaceDE w:val="0"/>
                    <w:autoSpaceDN w:val="0"/>
                    <w:jc w:val="center"/>
                    <w:rPr>
                      <w:rFonts w:cs="Times New Roman"/>
                      <w:sz w:val="21"/>
                      <w:szCs w:val="21"/>
                    </w:rPr>
                  </w:pPr>
                  <w:r>
                    <w:rPr>
                      <w:rFonts w:cs="Times New Roman"/>
                      <w:sz w:val="21"/>
                      <w:szCs w:val="21"/>
                    </w:rPr>
                    <w:t>44.5</w:t>
                  </w:r>
                </w:p>
              </w:tc>
            </w:tr>
            <w:tr w14:paraId="65B5F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0" w:hRule="atLeast"/>
              </w:trPr>
              <w:tc>
                <w:tcPr>
                  <w:tcW w:w="926" w:type="pct"/>
                  <w:vAlign w:val="center"/>
                </w:tcPr>
                <w:p w14:paraId="434C24B2">
                  <w:pPr>
                    <w:autoSpaceDE w:val="0"/>
                    <w:autoSpaceDN w:val="0"/>
                    <w:jc w:val="center"/>
                    <w:rPr>
                      <w:rFonts w:cs="Times New Roman"/>
                      <w:sz w:val="21"/>
                      <w:szCs w:val="21"/>
                    </w:rPr>
                  </w:pPr>
                  <w:r>
                    <w:rPr>
                      <w:rFonts w:cs="Times New Roman"/>
                      <w:sz w:val="21"/>
                      <w:szCs w:val="21"/>
                    </w:rPr>
                    <w:t>装载机</w:t>
                  </w:r>
                </w:p>
              </w:tc>
              <w:tc>
                <w:tcPr>
                  <w:tcW w:w="370" w:type="pct"/>
                  <w:vAlign w:val="center"/>
                </w:tcPr>
                <w:p w14:paraId="5B289F13">
                  <w:pPr>
                    <w:autoSpaceDE w:val="0"/>
                    <w:autoSpaceDN w:val="0"/>
                    <w:jc w:val="center"/>
                    <w:rPr>
                      <w:rFonts w:cs="Times New Roman"/>
                      <w:sz w:val="21"/>
                      <w:szCs w:val="21"/>
                    </w:rPr>
                  </w:pPr>
                  <w:r>
                    <w:rPr>
                      <w:rFonts w:cs="Times New Roman"/>
                      <w:sz w:val="21"/>
                      <w:szCs w:val="21"/>
                    </w:rPr>
                    <w:t>95</w:t>
                  </w:r>
                </w:p>
              </w:tc>
              <w:tc>
                <w:tcPr>
                  <w:tcW w:w="330" w:type="pct"/>
                  <w:vAlign w:val="center"/>
                </w:tcPr>
                <w:p w14:paraId="406B70A6">
                  <w:pPr>
                    <w:autoSpaceDE w:val="0"/>
                    <w:autoSpaceDN w:val="0"/>
                    <w:jc w:val="center"/>
                    <w:rPr>
                      <w:rFonts w:cs="Times New Roman"/>
                      <w:sz w:val="21"/>
                      <w:szCs w:val="21"/>
                    </w:rPr>
                  </w:pPr>
                  <w:r>
                    <w:rPr>
                      <w:rFonts w:cs="Times New Roman"/>
                      <w:sz w:val="21"/>
                      <w:szCs w:val="21"/>
                    </w:rPr>
                    <w:t>74.0</w:t>
                  </w:r>
                </w:p>
              </w:tc>
              <w:tc>
                <w:tcPr>
                  <w:tcW w:w="330" w:type="pct"/>
                  <w:vAlign w:val="center"/>
                </w:tcPr>
                <w:p w14:paraId="74CD547D">
                  <w:pPr>
                    <w:autoSpaceDE w:val="0"/>
                    <w:autoSpaceDN w:val="0"/>
                    <w:jc w:val="center"/>
                    <w:rPr>
                      <w:rFonts w:cs="Times New Roman"/>
                      <w:sz w:val="21"/>
                      <w:szCs w:val="21"/>
                    </w:rPr>
                  </w:pPr>
                  <w:r>
                    <w:rPr>
                      <w:rFonts w:cs="Times New Roman"/>
                      <w:sz w:val="21"/>
                      <w:szCs w:val="21"/>
                    </w:rPr>
                    <w:t>69.0</w:t>
                  </w:r>
                </w:p>
              </w:tc>
              <w:tc>
                <w:tcPr>
                  <w:tcW w:w="330" w:type="pct"/>
                  <w:vAlign w:val="center"/>
                </w:tcPr>
                <w:p w14:paraId="042F247E">
                  <w:pPr>
                    <w:autoSpaceDE w:val="0"/>
                    <w:autoSpaceDN w:val="0"/>
                    <w:jc w:val="center"/>
                    <w:rPr>
                      <w:rFonts w:cs="Times New Roman"/>
                      <w:sz w:val="21"/>
                      <w:szCs w:val="21"/>
                    </w:rPr>
                  </w:pPr>
                  <w:r>
                    <w:rPr>
                      <w:rFonts w:cs="Times New Roman"/>
                      <w:sz w:val="21"/>
                      <w:szCs w:val="21"/>
                    </w:rPr>
                    <w:t>65.5</w:t>
                  </w:r>
                </w:p>
              </w:tc>
              <w:tc>
                <w:tcPr>
                  <w:tcW w:w="330" w:type="pct"/>
                  <w:vAlign w:val="center"/>
                </w:tcPr>
                <w:p w14:paraId="1F97AA9A">
                  <w:pPr>
                    <w:autoSpaceDE w:val="0"/>
                    <w:autoSpaceDN w:val="0"/>
                    <w:jc w:val="center"/>
                    <w:rPr>
                      <w:rFonts w:cs="Times New Roman"/>
                      <w:sz w:val="21"/>
                      <w:szCs w:val="21"/>
                    </w:rPr>
                  </w:pPr>
                  <w:r>
                    <w:rPr>
                      <w:rFonts w:cs="Times New Roman"/>
                      <w:sz w:val="21"/>
                      <w:szCs w:val="21"/>
                    </w:rPr>
                    <w:t>63.0</w:t>
                  </w:r>
                </w:p>
              </w:tc>
              <w:tc>
                <w:tcPr>
                  <w:tcW w:w="330" w:type="pct"/>
                  <w:vAlign w:val="center"/>
                </w:tcPr>
                <w:p w14:paraId="18788B99">
                  <w:pPr>
                    <w:autoSpaceDE w:val="0"/>
                    <w:autoSpaceDN w:val="0"/>
                    <w:jc w:val="center"/>
                    <w:rPr>
                      <w:rFonts w:cs="Times New Roman"/>
                      <w:sz w:val="21"/>
                      <w:szCs w:val="21"/>
                    </w:rPr>
                  </w:pPr>
                  <w:r>
                    <w:rPr>
                      <w:rFonts w:cs="Times New Roman"/>
                      <w:sz w:val="21"/>
                      <w:szCs w:val="21"/>
                    </w:rPr>
                    <w:t>59.4</w:t>
                  </w:r>
                </w:p>
              </w:tc>
              <w:tc>
                <w:tcPr>
                  <w:tcW w:w="330" w:type="pct"/>
                  <w:vAlign w:val="center"/>
                </w:tcPr>
                <w:p w14:paraId="63902227">
                  <w:pPr>
                    <w:autoSpaceDE w:val="0"/>
                    <w:autoSpaceDN w:val="0"/>
                    <w:jc w:val="center"/>
                    <w:rPr>
                      <w:rFonts w:cs="Times New Roman"/>
                      <w:sz w:val="21"/>
                      <w:szCs w:val="21"/>
                    </w:rPr>
                  </w:pPr>
                  <w:r>
                    <w:rPr>
                      <w:rFonts w:cs="Times New Roman"/>
                      <w:sz w:val="21"/>
                      <w:szCs w:val="21"/>
                    </w:rPr>
                    <w:t>56.9</w:t>
                  </w:r>
                </w:p>
              </w:tc>
              <w:tc>
                <w:tcPr>
                  <w:tcW w:w="421" w:type="pct"/>
                  <w:vAlign w:val="center"/>
                </w:tcPr>
                <w:p w14:paraId="2B7B2D80">
                  <w:pPr>
                    <w:autoSpaceDE w:val="0"/>
                    <w:autoSpaceDN w:val="0"/>
                    <w:jc w:val="center"/>
                    <w:rPr>
                      <w:rFonts w:cs="Times New Roman"/>
                      <w:sz w:val="21"/>
                      <w:szCs w:val="21"/>
                    </w:rPr>
                  </w:pPr>
                  <w:r>
                    <w:rPr>
                      <w:rFonts w:cs="Times New Roman"/>
                      <w:sz w:val="21"/>
                      <w:szCs w:val="21"/>
                    </w:rPr>
                    <w:t>55.0</w:t>
                  </w:r>
                </w:p>
              </w:tc>
              <w:tc>
                <w:tcPr>
                  <w:tcW w:w="422" w:type="pct"/>
                  <w:vAlign w:val="center"/>
                </w:tcPr>
                <w:p w14:paraId="2F8D6097">
                  <w:pPr>
                    <w:autoSpaceDE w:val="0"/>
                    <w:autoSpaceDN w:val="0"/>
                    <w:jc w:val="center"/>
                    <w:rPr>
                      <w:rFonts w:cs="Times New Roman"/>
                      <w:sz w:val="21"/>
                      <w:szCs w:val="21"/>
                    </w:rPr>
                  </w:pPr>
                  <w:r>
                    <w:rPr>
                      <w:rFonts w:cs="Times New Roman"/>
                      <w:sz w:val="21"/>
                      <w:szCs w:val="21"/>
                    </w:rPr>
                    <w:t>51.5</w:t>
                  </w:r>
                </w:p>
              </w:tc>
              <w:tc>
                <w:tcPr>
                  <w:tcW w:w="422" w:type="pct"/>
                  <w:vAlign w:val="center"/>
                </w:tcPr>
                <w:p w14:paraId="5DBF5992">
                  <w:pPr>
                    <w:autoSpaceDE w:val="0"/>
                    <w:autoSpaceDN w:val="0"/>
                    <w:jc w:val="center"/>
                    <w:rPr>
                      <w:rFonts w:cs="Times New Roman"/>
                      <w:sz w:val="21"/>
                      <w:szCs w:val="21"/>
                    </w:rPr>
                  </w:pPr>
                  <w:r>
                    <w:rPr>
                      <w:rFonts w:cs="Times New Roman"/>
                      <w:sz w:val="21"/>
                      <w:szCs w:val="21"/>
                    </w:rPr>
                    <w:t>49.0</w:t>
                  </w:r>
                </w:p>
              </w:tc>
              <w:tc>
                <w:tcPr>
                  <w:tcW w:w="451" w:type="pct"/>
                  <w:vAlign w:val="center"/>
                </w:tcPr>
                <w:p w14:paraId="10DC1247">
                  <w:pPr>
                    <w:autoSpaceDE w:val="0"/>
                    <w:autoSpaceDN w:val="0"/>
                    <w:jc w:val="center"/>
                    <w:rPr>
                      <w:rFonts w:cs="Times New Roman"/>
                      <w:sz w:val="21"/>
                      <w:szCs w:val="21"/>
                    </w:rPr>
                  </w:pPr>
                  <w:r>
                    <w:rPr>
                      <w:rFonts w:cs="Times New Roman"/>
                      <w:sz w:val="21"/>
                      <w:szCs w:val="21"/>
                    </w:rPr>
                    <w:t>45.5</w:t>
                  </w:r>
                </w:p>
              </w:tc>
            </w:tr>
            <w:tr w14:paraId="5349A0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50" w:hRule="atLeast"/>
              </w:trPr>
              <w:tc>
                <w:tcPr>
                  <w:tcW w:w="926" w:type="pct"/>
                  <w:vAlign w:val="center"/>
                </w:tcPr>
                <w:p w14:paraId="11025E0A">
                  <w:pPr>
                    <w:autoSpaceDE w:val="0"/>
                    <w:autoSpaceDN w:val="0"/>
                    <w:jc w:val="center"/>
                    <w:rPr>
                      <w:rFonts w:cs="Times New Roman"/>
                      <w:sz w:val="21"/>
                      <w:szCs w:val="21"/>
                    </w:rPr>
                  </w:pPr>
                  <w:r>
                    <w:rPr>
                      <w:rFonts w:cs="Times New Roman"/>
                      <w:sz w:val="21"/>
                      <w:szCs w:val="21"/>
                    </w:rPr>
                    <w:t>运输车辆</w:t>
                  </w:r>
                </w:p>
              </w:tc>
              <w:tc>
                <w:tcPr>
                  <w:tcW w:w="370" w:type="pct"/>
                  <w:vAlign w:val="center"/>
                </w:tcPr>
                <w:p w14:paraId="22DE597C">
                  <w:pPr>
                    <w:autoSpaceDE w:val="0"/>
                    <w:autoSpaceDN w:val="0"/>
                    <w:jc w:val="center"/>
                    <w:rPr>
                      <w:rFonts w:cs="Times New Roman"/>
                      <w:sz w:val="21"/>
                      <w:szCs w:val="21"/>
                    </w:rPr>
                  </w:pPr>
                  <w:r>
                    <w:rPr>
                      <w:rFonts w:cs="Times New Roman"/>
                      <w:sz w:val="21"/>
                      <w:szCs w:val="21"/>
                    </w:rPr>
                    <w:t>85</w:t>
                  </w:r>
                </w:p>
              </w:tc>
              <w:tc>
                <w:tcPr>
                  <w:tcW w:w="330" w:type="pct"/>
                  <w:vAlign w:val="center"/>
                </w:tcPr>
                <w:p w14:paraId="471BB832">
                  <w:pPr>
                    <w:autoSpaceDE w:val="0"/>
                    <w:autoSpaceDN w:val="0"/>
                    <w:jc w:val="center"/>
                    <w:rPr>
                      <w:rFonts w:cs="Times New Roman"/>
                      <w:sz w:val="21"/>
                      <w:szCs w:val="21"/>
                    </w:rPr>
                  </w:pPr>
                  <w:r>
                    <w:rPr>
                      <w:rFonts w:cs="Times New Roman"/>
                      <w:sz w:val="21"/>
                      <w:szCs w:val="21"/>
                    </w:rPr>
                    <w:t>67.5</w:t>
                  </w:r>
                </w:p>
              </w:tc>
              <w:tc>
                <w:tcPr>
                  <w:tcW w:w="330" w:type="pct"/>
                  <w:vAlign w:val="center"/>
                </w:tcPr>
                <w:p w14:paraId="0D764151">
                  <w:pPr>
                    <w:autoSpaceDE w:val="0"/>
                    <w:autoSpaceDN w:val="0"/>
                    <w:jc w:val="center"/>
                    <w:rPr>
                      <w:rFonts w:cs="Times New Roman"/>
                      <w:sz w:val="21"/>
                      <w:szCs w:val="21"/>
                    </w:rPr>
                  </w:pPr>
                  <w:r>
                    <w:rPr>
                      <w:rFonts w:cs="Times New Roman"/>
                      <w:sz w:val="21"/>
                      <w:szCs w:val="21"/>
                    </w:rPr>
                    <w:t>59.0</w:t>
                  </w:r>
                </w:p>
              </w:tc>
              <w:tc>
                <w:tcPr>
                  <w:tcW w:w="330" w:type="pct"/>
                  <w:vAlign w:val="center"/>
                </w:tcPr>
                <w:p w14:paraId="0CB46A2A">
                  <w:pPr>
                    <w:autoSpaceDE w:val="0"/>
                    <w:autoSpaceDN w:val="0"/>
                    <w:jc w:val="center"/>
                    <w:rPr>
                      <w:rFonts w:cs="Times New Roman"/>
                      <w:sz w:val="21"/>
                      <w:szCs w:val="21"/>
                    </w:rPr>
                  </w:pPr>
                  <w:r>
                    <w:rPr>
                      <w:rFonts w:cs="Times New Roman"/>
                      <w:sz w:val="21"/>
                      <w:szCs w:val="21"/>
                    </w:rPr>
                    <w:t>55.5</w:t>
                  </w:r>
                </w:p>
              </w:tc>
              <w:tc>
                <w:tcPr>
                  <w:tcW w:w="330" w:type="pct"/>
                  <w:vAlign w:val="center"/>
                </w:tcPr>
                <w:p w14:paraId="00598768">
                  <w:pPr>
                    <w:autoSpaceDE w:val="0"/>
                    <w:autoSpaceDN w:val="0"/>
                    <w:jc w:val="center"/>
                    <w:rPr>
                      <w:rFonts w:cs="Times New Roman"/>
                      <w:sz w:val="21"/>
                      <w:szCs w:val="21"/>
                    </w:rPr>
                  </w:pPr>
                  <w:r>
                    <w:rPr>
                      <w:rFonts w:cs="Times New Roman"/>
                      <w:sz w:val="21"/>
                      <w:szCs w:val="21"/>
                    </w:rPr>
                    <w:t>53.0</w:t>
                  </w:r>
                </w:p>
              </w:tc>
              <w:tc>
                <w:tcPr>
                  <w:tcW w:w="330" w:type="pct"/>
                  <w:vAlign w:val="center"/>
                </w:tcPr>
                <w:p w14:paraId="05AC5276">
                  <w:pPr>
                    <w:autoSpaceDE w:val="0"/>
                    <w:autoSpaceDN w:val="0"/>
                    <w:jc w:val="center"/>
                    <w:rPr>
                      <w:rFonts w:cs="Times New Roman"/>
                      <w:sz w:val="21"/>
                      <w:szCs w:val="21"/>
                    </w:rPr>
                  </w:pPr>
                  <w:r>
                    <w:rPr>
                      <w:rFonts w:cs="Times New Roman"/>
                      <w:sz w:val="21"/>
                      <w:szCs w:val="21"/>
                    </w:rPr>
                    <w:t>49.4</w:t>
                  </w:r>
                </w:p>
              </w:tc>
              <w:tc>
                <w:tcPr>
                  <w:tcW w:w="330" w:type="pct"/>
                  <w:vAlign w:val="center"/>
                </w:tcPr>
                <w:p w14:paraId="3EE43CC1">
                  <w:pPr>
                    <w:autoSpaceDE w:val="0"/>
                    <w:autoSpaceDN w:val="0"/>
                    <w:jc w:val="center"/>
                    <w:rPr>
                      <w:rFonts w:cs="Times New Roman"/>
                      <w:sz w:val="21"/>
                      <w:szCs w:val="21"/>
                    </w:rPr>
                  </w:pPr>
                  <w:r>
                    <w:rPr>
                      <w:rFonts w:cs="Times New Roman"/>
                      <w:sz w:val="21"/>
                      <w:szCs w:val="21"/>
                    </w:rPr>
                    <w:t>46.9</w:t>
                  </w:r>
                </w:p>
              </w:tc>
              <w:tc>
                <w:tcPr>
                  <w:tcW w:w="421" w:type="pct"/>
                  <w:vAlign w:val="center"/>
                </w:tcPr>
                <w:p w14:paraId="54FB8FB1">
                  <w:pPr>
                    <w:autoSpaceDE w:val="0"/>
                    <w:autoSpaceDN w:val="0"/>
                    <w:jc w:val="center"/>
                    <w:rPr>
                      <w:rFonts w:cs="Times New Roman"/>
                      <w:sz w:val="21"/>
                      <w:szCs w:val="21"/>
                    </w:rPr>
                  </w:pPr>
                  <w:r>
                    <w:rPr>
                      <w:rFonts w:cs="Times New Roman"/>
                      <w:sz w:val="21"/>
                      <w:szCs w:val="21"/>
                    </w:rPr>
                    <w:t>45.0</w:t>
                  </w:r>
                </w:p>
              </w:tc>
              <w:tc>
                <w:tcPr>
                  <w:tcW w:w="422" w:type="pct"/>
                  <w:vAlign w:val="center"/>
                </w:tcPr>
                <w:p w14:paraId="51C44940">
                  <w:pPr>
                    <w:autoSpaceDE w:val="0"/>
                    <w:autoSpaceDN w:val="0"/>
                    <w:jc w:val="center"/>
                    <w:rPr>
                      <w:rFonts w:cs="Times New Roman"/>
                      <w:sz w:val="21"/>
                      <w:szCs w:val="21"/>
                    </w:rPr>
                  </w:pPr>
                  <w:r>
                    <w:rPr>
                      <w:rFonts w:cs="Times New Roman"/>
                      <w:sz w:val="21"/>
                      <w:szCs w:val="21"/>
                    </w:rPr>
                    <w:t>41.5</w:t>
                  </w:r>
                </w:p>
              </w:tc>
              <w:tc>
                <w:tcPr>
                  <w:tcW w:w="422" w:type="pct"/>
                  <w:vAlign w:val="center"/>
                </w:tcPr>
                <w:p w14:paraId="723AEED1">
                  <w:pPr>
                    <w:autoSpaceDE w:val="0"/>
                    <w:autoSpaceDN w:val="0"/>
                    <w:jc w:val="center"/>
                    <w:rPr>
                      <w:rFonts w:cs="Times New Roman"/>
                      <w:sz w:val="21"/>
                      <w:szCs w:val="21"/>
                    </w:rPr>
                  </w:pPr>
                  <w:r>
                    <w:rPr>
                      <w:rFonts w:cs="Times New Roman"/>
                      <w:sz w:val="21"/>
                      <w:szCs w:val="21"/>
                    </w:rPr>
                    <w:t>39.0</w:t>
                  </w:r>
                </w:p>
              </w:tc>
              <w:tc>
                <w:tcPr>
                  <w:tcW w:w="451" w:type="pct"/>
                  <w:vAlign w:val="center"/>
                </w:tcPr>
                <w:p w14:paraId="59E8CE92">
                  <w:pPr>
                    <w:autoSpaceDE w:val="0"/>
                    <w:autoSpaceDN w:val="0"/>
                    <w:jc w:val="center"/>
                    <w:rPr>
                      <w:rFonts w:cs="Times New Roman"/>
                      <w:sz w:val="21"/>
                      <w:szCs w:val="21"/>
                    </w:rPr>
                  </w:pPr>
                  <w:r>
                    <w:rPr>
                      <w:rFonts w:cs="Times New Roman"/>
                      <w:sz w:val="21"/>
                      <w:szCs w:val="21"/>
                    </w:rPr>
                    <w:t>35.5</w:t>
                  </w:r>
                </w:p>
              </w:tc>
            </w:tr>
            <w:tr w14:paraId="7D2D63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78" w:hRule="atLeast"/>
              </w:trPr>
              <w:tc>
                <w:tcPr>
                  <w:tcW w:w="926" w:type="pct"/>
                  <w:vAlign w:val="center"/>
                </w:tcPr>
                <w:p w14:paraId="4AA37E40">
                  <w:pPr>
                    <w:autoSpaceDE w:val="0"/>
                    <w:autoSpaceDN w:val="0"/>
                    <w:jc w:val="center"/>
                    <w:rPr>
                      <w:rFonts w:cs="Times New Roman"/>
                      <w:sz w:val="21"/>
                      <w:szCs w:val="21"/>
                    </w:rPr>
                  </w:pPr>
                  <w:r>
                    <w:rPr>
                      <w:rFonts w:cs="Times New Roman"/>
                      <w:sz w:val="21"/>
                      <w:szCs w:val="21"/>
                    </w:rPr>
                    <w:t>贡献叠加值</w:t>
                  </w:r>
                </w:p>
              </w:tc>
              <w:tc>
                <w:tcPr>
                  <w:tcW w:w="370" w:type="pct"/>
                  <w:vAlign w:val="center"/>
                </w:tcPr>
                <w:p w14:paraId="7D2F4792">
                  <w:pPr>
                    <w:autoSpaceDE w:val="0"/>
                    <w:autoSpaceDN w:val="0"/>
                    <w:jc w:val="center"/>
                    <w:rPr>
                      <w:rFonts w:cs="Times New Roman"/>
                      <w:b/>
                      <w:sz w:val="21"/>
                      <w:szCs w:val="21"/>
                    </w:rPr>
                  </w:pPr>
                  <w:r>
                    <w:rPr>
                      <w:rFonts w:cs="Times New Roman"/>
                      <w:b/>
                      <w:sz w:val="21"/>
                      <w:szCs w:val="21"/>
                    </w:rPr>
                    <w:t>-</w:t>
                  </w:r>
                </w:p>
              </w:tc>
              <w:tc>
                <w:tcPr>
                  <w:tcW w:w="330" w:type="pct"/>
                  <w:vAlign w:val="center"/>
                </w:tcPr>
                <w:p w14:paraId="19D9A294">
                  <w:pPr>
                    <w:autoSpaceDE w:val="0"/>
                    <w:autoSpaceDN w:val="0"/>
                    <w:jc w:val="center"/>
                    <w:rPr>
                      <w:rFonts w:cs="Times New Roman"/>
                      <w:sz w:val="21"/>
                      <w:szCs w:val="21"/>
                    </w:rPr>
                  </w:pPr>
                  <w:r>
                    <w:rPr>
                      <w:rFonts w:cs="Times New Roman"/>
                      <w:sz w:val="21"/>
                      <w:szCs w:val="21"/>
                    </w:rPr>
                    <w:t>79.7</w:t>
                  </w:r>
                </w:p>
              </w:tc>
              <w:tc>
                <w:tcPr>
                  <w:tcW w:w="330" w:type="pct"/>
                  <w:vAlign w:val="center"/>
                </w:tcPr>
                <w:p w14:paraId="4D3EC907">
                  <w:pPr>
                    <w:autoSpaceDE w:val="0"/>
                    <w:autoSpaceDN w:val="0"/>
                    <w:jc w:val="center"/>
                    <w:rPr>
                      <w:rFonts w:cs="Times New Roman"/>
                      <w:sz w:val="21"/>
                      <w:szCs w:val="21"/>
                    </w:rPr>
                  </w:pPr>
                  <w:r>
                    <w:rPr>
                      <w:rFonts w:cs="Times New Roman"/>
                      <w:sz w:val="21"/>
                      <w:szCs w:val="21"/>
                    </w:rPr>
                    <w:t>73.6</w:t>
                  </w:r>
                </w:p>
              </w:tc>
              <w:tc>
                <w:tcPr>
                  <w:tcW w:w="330" w:type="pct"/>
                  <w:vAlign w:val="center"/>
                </w:tcPr>
                <w:p w14:paraId="7CB2F365">
                  <w:pPr>
                    <w:autoSpaceDE w:val="0"/>
                    <w:autoSpaceDN w:val="0"/>
                    <w:jc w:val="center"/>
                    <w:rPr>
                      <w:rFonts w:cs="Times New Roman"/>
                      <w:sz w:val="21"/>
                      <w:szCs w:val="21"/>
                    </w:rPr>
                  </w:pPr>
                  <w:r>
                    <w:rPr>
                      <w:rFonts w:cs="Times New Roman"/>
                      <w:sz w:val="21"/>
                      <w:szCs w:val="21"/>
                    </w:rPr>
                    <w:t>70.1</w:t>
                  </w:r>
                </w:p>
              </w:tc>
              <w:tc>
                <w:tcPr>
                  <w:tcW w:w="330" w:type="pct"/>
                  <w:vAlign w:val="center"/>
                </w:tcPr>
                <w:p w14:paraId="7830726F">
                  <w:pPr>
                    <w:autoSpaceDE w:val="0"/>
                    <w:autoSpaceDN w:val="0"/>
                    <w:jc w:val="center"/>
                    <w:rPr>
                      <w:rFonts w:cs="Times New Roman"/>
                      <w:sz w:val="21"/>
                      <w:szCs w:val="21"/>
                    </w:rPr>
                  </w:pPr>
                  <w:r>
                    <w:rPr>
                      <w:rFonts w:cs="Times New Roman"/>
                      <w:sz w:val="21"/>
                      <w:szCs w:val="21"/>
                    </w:rPr>
                    <w:t>67.6</w:t>
                  </w:r>
                </w:p>
              </w:tc>
              <w:tc>
                <w:tcPr>
                  <w:tcW w:w="330" w:type="pct"/>
                  <w:vAlign w:val="center"/>
                </w:tcPr>
                <w:p w14:paraId="75A2F931">
                  <w:pPr>
                    <w:autoSpaceDE w:val="0"/>
                    <w:autoSpaceDN w:val="0"/>
                    <w:jc w:val="center"/>
                    <w:rPr>
                      <w:rFonts w:cs="Times New Roman"/>
                      <w:sz w:val="21"/>
                      <w:szCs w:val="21"/>
                    </w:rPr>
                  </w:pPr>
                  <w:r>
                    <w:rPr>
                      <w:rFonts w:cs="Times New Roman"/>
                      <w:sz w:val="21"/>
                      <w:szCs w:val="21"/>
                    </w:rPr>
                    <w:t>64.1</w:t>
                  </w:r>
                </w:p>
              </w:tc>
              <w:tc>
                <w:tcPr>
                  <w:tcW w:w="330" w:type="pct"/>
                  <w:vAlign w:val="center"/>
                </w:tcPr>
                <w:p w14:paraId="083ECA29">
                  <w:pPr>
                    <w:autoSpaceDE w:val="0"/>
                    <w:autoSpaceDN w:val="0"/>
                    <w:jc w:val="center"/>
                    <w:rPr>
                      <w:rFonts w:cs="Times New Roman"/>
                      <w:sz w:val="21"/>
                      <w:szCs w:val="21"/>
                    </w:rPr>
                  </w:pPr>
                  <w:r>
                    <w:rPr>
                      <w:rFonts w:cs="Times New Roman"/>
                      <w:sz w:val="21"/>
                      <w:szCs w:val="21"/>
                    </w:rPr>
                    <w:t>61.5</w:t>
                  </w:r>
                </w:p>
              </w:tc>
              <w:tc>
                <w:tcPr>
                  <w:tcW w:w="421" w:type="pct"/>
                  <w:vAlign w:val="center"/>
                </w:tcPr>
                <w:p w14:paraId="6BDE3606">
                  <w:pPr>
                    <w:autoSpaceDE w:val="0"/>
                    <w:autoSpaceDN w:val="0"/>
                    <w:jc w:val="center"/>
                    <w:rPr>
                      <w:rFonts w:cs="Times New Roman"/>
                      <w:sz w:val="21"/>
                      <w:szCs w:val="21"/>
                    </w:rPr>
                  </w:pPr>
                  <w:r>
                    <w:rPr>
                      <w:rFonts w:cs="Times New Roman"/>
                      <w:sz w:val="21"/>
                      <w:szCs w:val="21"/>
                    </w:rPr>
                    <w:t>59.6</w:t>
                  </w:r>
                </w:p>
              </w:tc>
              <w:tc>
                <w:tcPr>
                  <w:tcW w:w="422" w:type="pct"/>
                  <w:vAlign w:val="center"/>
                </w:tcPr>
                <w:p w14:paraId="46CB67AF">
                  <w:pPr>
                    <w:autoSpaceDE w:val="0"/>
                    <w:autoSpaceDN w:val="0"/>
                    <w:jc w:val="center"/>
                    <w:rPr>
                      <w:rFonts w:cs="Times New Roman"/>
                      <w:sz w:val="21"/>
                      <w:szCs w:val="21"/>
                    </w:rPr>
                  </w:pPr>
                  <w:r>
                    <w:rPr>
                      <w:rFonts w:cs="Times New Roman"/>
                      <w:sz w:val="21"/>
                      <w:szCs w:val="21"/>
                    </w:rPr>
                    <w:t>55.4</w:t>
                  </w:r>
                </w:p>
              </w:tc>
              <w:tc>
                <w:tcPr>
                  <w:tcW w:w="422" w:type="pct"/>
                  <w:vAlign w:val="center"/>
                </w:tcPr>
                <w:p w14:paraId="045586CF">
                  <w:pPr>
                    <w:autoSpaceDE w:val="0"/>
                    <w:autoSpaceDN w:val="0"/>
                    <w:jc w:val="center"/>
                    <w:rPr>
                      <w:rFonts w:cs="Times New Roman"/>
                      <w:sz w:val="21"/>
                      <w:szCs w:val="21"/>
                    </w:rPr>
                  </w:pPr>
                  <w:r>
                    <w:rPr>
                      <w:rFonts w:cs="Times New Roman"/>
                      <w:sz w:val="21"/>
                      <w:szCs w:val="21"/>
                    </w:rPr>
                    <w:t>53.6</w:t>
                  </w:r>
                </w:p>
              </w:tc>
              <w:tc>
                <w:tcPr>
                  <w:tcW w:w="451" w:type="pct"/>
                  <w:vAlign w:val="center"/>
                </w:tcPr>
                <w:p w14:paraId="60216BB2">
                  <w:pPr>
                    <w:autoSpaceDE w:val="0"/>
                    <w:autoSpaceDN w:val="0"/>
                    <w:jc w:val="center"/>
                    <w:rPr>
                      <w:rFonts w:cs="Times New Roman"/>
                      <w:sz w:val="21"/>
                      <w:szCs w:val="21"/>
                    </w:rPr>
                  </w:pPr>
                  <w:r>
                    <w:rPr>
                      <w:rFonts w:cs="Times New Roman"/>
                      <w:sz w:val="21"/>
                      <w:szCs w:val="21"/>
                    </w:rPr>
                    <w:t>50.1</w:t>
                  </w:r>
                </w:p>
              </w:tc>
            </w:tr>
          </w:tbl>
          <w:p w14:paraId="399D3BFF">
            <w:pPr>
              <w:spacing w:line="360" w:lineRule="auto"/>
              <w:ind w:firstLine="480" w:firstLineChars="200"/>
            </w:pPr>
            <w:r>
              <w:rPr>
                <w:rFonts w:hint="eastAsia"/>
              </w:rPr>
              <w:t>根据《建筑施工场界环境噪声排放标准》（GB 12523-2011）的规定，施工场界昼间的噪声限值为70dB(A)，夜间的噪声限值为55dB(A)。</w:t>
            </w:r>
          </w:p>
          <w:p w14:paraId="3AC924C5">
            <w:pPr>
              <w:spacing w:line="360" w:lineRule="auto"/>
              <w:ind w:firstLine="480" w:firstLineChars="200"/>
            </w:pPr>
            <w:r>
              <w:rPr>
                <w:rFonts w:hint="eastAsia"/>
              </w:rPr>
              <w:t>由上表可以看出，在没有采取降噪措施情况下，昼间单个施工机械的噪声在距施工场地20m外可以达标，夜间在100m外可以达标。但在施工现场往往是多种施工机械共同作业，因此，施工现场的噪声是各种不同施工机械的噪声以及进出施工现场的各种车辆引起的噪声的叠加值，其噪声达标距离要大于昼间40m、夜间200m的距离。为进一步降低项目施工期对周边的影响，评价建议建设单位优化施工机械布局，保证施工机械同时施工时，昼间噪声在距施工场地10m外可以达标，夜间在60m外可以达标。另外评价建议项目白天分时段施工，夜间禁止施工，避免高噪声设备同时施工，最大程度上减少对周围环境的影响。</w:t>
            </w:r>
          </w:p>
          <w:p w14:paraId="3A279329">
            <w:pPr>
              <w:spacing w:line="360" w:lineRule="auto"/>
              <w:ind w:firstLine="480" w:firstLineChars="200"/>
            </w:pPr>
            <w:r>
              <w:rPr>
                <w:rFonts w:hint="eastAsia"/>
              </w:rPr>
              <w:t>四、施工期固体废物影响分析</w:t>
            </w:r>
          </w:p>
          <w:p w14:paraId="4361D964">
            <w:pPr>
              <w:spacing w:line="360" w:lineRule="auto"/>
              <w:ind w:firstLine="480" w:firstLineChars="200"/>
            </w:pPr>
            <w:r>
              <w:rPr>
                <w:rFonts w:hint="eastAsia"/>
              </w:rPr>
              <w:t>本项目施工期产生的固体废物主要为施工人员产生的生活垃圾、建筑垃圾、施工船油水分离产生的废油。</w:t>
            </w:r>
            <w:r>
              <w:rPr>
                <w:rFonts w:hint="eastAsia"/>
                <w:b/>
                <w:bCs/>
                <w:u w:val="single"/>
              </w:rPr>
              <w:t>施工期机械的维修、养护依托专业维修机构，不在本项目施工范围内进行，不涉及相关废物的产生。</w:t>
            </w:r>
          </w:p>
          <w:p w14:paraId="46E4709D">
            <w:pPr>
              <w:spacing w:line="360" w:lineRule="auto"/>
              <w:ind w:firstLine="480" w:firstLineChars="200"/>
            </w:pPr>
            <w:r>
              <w:rPr>
                <w:rFonts w:hint="eastAsia"/>
              </w:rPr>
              <w:t>（1）生活垃圾</w:t>
            </w:r>
          </w:p>
          <w:p w14:paraId="082EFACA">
            <w:pPr>
              <w:spacing w:line="360" w:lineRule="auto"/>
              <w:ind w:firstLine="480" w:firstLineChars="200"/>
            </w:pPr>
            <w:r>
              <w:rPr>
                <w:rFonts w:hint="eastAsia"/>
              </w:rPr>
              <w:t>生活垃圾产生量主要与人员数量有关，生活垃圾产生量按0.5kg/d·人计，项目施工人数约为20人，生活垃圾产生量约为10kg/d，施工期按540d计算，整个施工期施工人员产生生活垃圾总量为5.4t。生活垃圾暂时贮存至防渗防雨的临时贮存点，定期交市政环卫部门统一处置，不产生二次污染。</w:t>
            </w:r>
          </w:p>
          <w:p w14:paraId="7AC39A77">
            <w:pPr>
              <w:spacing w:line="360" w:lineRule="auto"/>
              <w:ind w:firstLine="480" w:firstLineChars="200"/>
            </w:pPr>
            <w:r>
              <w:rPr>
                <w:rFonts w:hint="eastAsia"/>
              </w:rPr>
              <w:t>（2）建筑垃圾</w:t>
            </w:r>
          </w:p>
          <w:p w14:paraId="34A92FD1">
            <w:pPr>
              <w:spacing w:line="360" w:lineRule="auto"/>
              <w:ind w:firstLine="480" w:firstLineChars="200"/>
            </w:pPr>
            <w:r>
              <w:rPr>
                <w:rFonts w:hint="eastAsia"/>
              </w:rPr>
              <w:t>本工程施工过程中将产生一定量的建筑垃圾，主要包括废混凝土块、废钢材等，将其集中收集后送指定的建筑垃圾处置场处置。</w:t>
            </w:r>
          </w:p>
          <w:p w14:paraId="3A7B012D">
            <w:pPr>
              <w:spacing w:line="360" w:lineRule="auto"/>
              <w:ind w:firstLine="480" w:firstLineChars="200"/>
            </w:pPr>
            <w:r>
              <w:rPr>
                <w:rFonts w:hint="eastAsia"/>
              </w:rPr>
              <w:t>（3）施工船舶含油污水分离产生的废油</w:t>
            </w:r>
          </w:p>
          <w:p w14:paraId="1581AE4F">
            <w:pPr>
              <w:spacing w:line="360" w:lineRule="auto"/>
              <w:ind w:firstLine="480" w:firstLineChars="200"/>
            </w:pPr>
            <w:r>
              <w:rPr>
                <w:rFonts w:hint="eastAsia"/>
              </w:rPr>
              <w:t>施工船舶内含油污水经油水分离器分离处理，其产生的废油在施工船舶靠岸后交有资质的单位转运、处理。</w:t>
            </w:r>
          </w:p>
          <w:p w14:paraId="60CD5C84">
            <w:pPr>
              <w:spacing w:line="360" w:lineRule="auto"/>
              <w:ind w:firstLine="480" w:firstLineChars="200"/>
            </w:pPr>
            <w:r>
              <w:rPr>
                <w:rFonts w:hint="eastAsia"/>
              </w:rPr>
              <w:t>五、施工期生态环境影响分析</w:t>
            </w:r>
          </w:p>
          <w:p w14:paraId="04825F8F">
            <w:pPr>
              <w:spacing w:line="360" w:lineRule="auto"/>
              <w:ind w:firstLine="480" w:firstLineChars="200"/>
            </w:pPr>
            <w:r>
              <w:rPr>
                <w:rFonts w:hint="eastAsia"/>
              </w:rPr>
              <w:t>1、主要环节及影响因素</w:t>
            </w:r>
          </w:p>
          <w:p w14:paraId="1898A840">
            <w:pPr>
              <w:spacing w:line="360" w:lineRule="auto"/>
              <w:ind w:firstLine="480" w:firstLineChars="200"/>
            </w:pPr>
            <w:r>
              <w:rPr>
                <w:rFonts w:hint="eastAsia"/>
              </w:rPr>
              <w:t>（1）主要环节</w:t>
            </w:r>
          </w:p>
          <w:p w14:paraId="337B54AD">
            <w:pPr>
              <w:spacing w:line="360" w:lineRule="auto"/>
              <w:ind w:firstLine="480" w:firstLineChars="200"/>
            </w:pPr>
            <w:r>
              <w:rPr>
                <w:rFonts w:hint="eastAsia"/>
              </w:rPr>
              <w:t>本工程在施工过程中陆域的施工噪声将对区域野生动物产生干扰；疏浚工程作业对河底产生的扰动，将会对所在河段的水生生态产生一定影响；工程施工对占地范围内的植被和土壤结构造成一定程度的破坏，造成水土流失。</w:t>
            </w:r>
          </w:p>
          <w:p w14:paraId="1D6C37E2">
            <w:pPr>
              <w:spacing w:line="360" w:lineRule="auto"/>
              <w:ind w:firstLine="480" w:firstLineChars="200"/>
            </w:pPr>
            <w:r>
              <w:rPr>
                <w:rFonts w:hint="eastAsia"/>
              </w:rPr>
              <w:t>（2）影响因素</w:t>
            </w:r>
          </w:p>
          <w:p w14:paraId="4EEDE0B8">
            <w:pPr>
              <w:spacing w:line="360" w:lineRule="auto"/>
              <w:ind w:firstLine="480" w:firstLineChars="200"/>
            </w:pPr>
            <w:r>
              <w:rPr>
                <w:rFonts w:hint="eastAsia"/>
              </w:rPr>
              <w:t>施工期对区域生态环境的影响因素主要表现为疏浚工程施工对河底扰动后，引起局部水环境质量下降，对局部河段内水生生物产生影响；施工噪声对局部河段内水生生物生存环境产生影响；陆域机械施工噪声将对区域野生动物生境产生影响；施工期在土壤扰动后，随着地表的破坏，可能造成土壤的侵蚀及水土流失。</w:t>
            </w:r>
          </w:p>
          <w:p w14:paraId="14C3A07E">
            <w:pPr>
              <w:spacing w:line="360" w:lineRule="auto"/>
              <w:ind w:firstLine="480" w:firstLineChars="200"/>
            </w:pPr>
            <w:r>
              <w:rPr>
                <w:rFonts w:hint="eastAsia"/>
              </w:rPr>
              <w:t>2、影响分析</w:t>
            </w:r>
          </w:p>
          <w:p w14:paraId="35C5BCA1">
            <w:pPr>
              <w:spacing w:line="360" w:lineRule="auto"/>
              <w:ind w:firstLine="480" w:firstLineChars="200"/>
            </w:pPr>
            <w:r>
              <w:rPr>
                <w:rFonts w:hint="eastAsia"/>
              </w:rPr>
              <w:t>（1）施工期对陆域野生动物环境影响分析</w:t>
            </w:r>
          </w:p>
          <w:p w14:paraId="7DE24FEA">
            <w:pPr>
              <w:spacing w:line="360" w:lineRule="auto"/>
              <w:ind w:firstLine="480" w:firstLineChars="200"/>
            </w:pPr>
            <w:r>
              <w:rPr>
                <w:rFonts w:hint="eastAsia"/>
              </w:rPr>
              <w:t>施工机械噪声和人类活动噪声是影响野生动物的主要因素，各种施工机械如运输车辆、推土机、混凝土搅拌机等均可能产生较强的噪声，虽然这些施工机械属非连续性间歇排放，但由于噪声源相对集中，且多为裸露声源，故其辐射范围和影响程度较大。预计在施工期，本区的野生动物都将产生规避反应，远离这一地区，特别是鸟类，其栖息和繁殖环境需要相对的安静，因此，区域内的鸟类将受到一定影响。经现场调查项目区均为常见鸟类，在该区域内未发现珍稀类野生鸟类。</w:t>
            </w:r>
          </w:p>
          <w:p w14:paraId="7D0FA560">
            <w:pPr>
              <w:spacing w:line="360" w:lineRule="auto"/>
              <w:ind w:firstLine="480" w:firstLineChars="200"/>
            </w:pPr>
            <w:r>
              <w:rPr>
                <w:rFonts w:hint="eastAsia"/>
              </w:rPr>
              <w:t>因此，本项目的建设不涉及对保护和珍稀鸟类的迁徙路线和栖息环境的影响。总体来说，施工期对野生动物的影响较小。</w:t>
            </w:r>
          </w:p>
          <w:p w14:paraId="5BC8EC4A">
            <w:pPr>
              <w:spacing w:line="360" w:lineRule="auto"/>
              <w:ind w:firstLine="480" w:firstLineChars="200"/>
            </w:pPr>
            <w:r>
              <w:rPr>
                <w:rFonts w:hint="eastAsia"/>
              </w:rPr>
              <w:t>（2）施工期对水生生态环境影响分析</w:t>
            </w:r>
          </w:p>
          <w:p w14:paraId="7677AFF2">
            <w:pPr>
              <w:spacing w:line="360" w:lineRule="auto"/>
              <w:ind w:firstLine="480" w:firstLineChars="200"/>
            </w:pPr>
            <w:r>
              <w:rPr>
                <w:rFonts w:hint="eastAsia"/>
              </w:rPr>
              <w:t>①对浮游动、植物的影响</w:t>
            </w:r>
          </w:p>
          <w:p w14:paraId="74FA556B">
            <w:pPr>
              <w:spacing w:line="360" w:lineRule="auto"/>
              <w:ind w:firstLine="482" w:firstLineChars="200"/>
              <w:rPr>
                <w:b/>
                <w:bCs/>
                <w:u w:val="single"/>
              </w:rPr>
            </w:pPr>
            <w:r>
              <w:rPr>
                <w:rFonts w:hint="eastAsia"/>
                <w:b/>
                <w:bCs/>
                <w:u w:val="single"/>
              </w:rPr>
              <w:t>本工程施工期导致局部水域水质变浑浊，透明度下降，影响浮游植物的光合作用，使浮游植物生物量及种类数量降低。</w:t>
            </w:r>
          </w:p>
          <w:p w14:paraId="50CAF02D">
            <w:pPr>
              <w:spacing w:line="360" w:lineRule="auto"/>
              <w:ind w:firstLine="482" w:firstLineChars="200"/>
              <w:rPr>
                <w:b/>
                <w:bCs/>
                <w:u w:val="single"/>
              </w:rPr>
            </w:pPr>
            <w:r>
              <w:rPr>
                <w:rFonts w:hint="eastAsia"/>
                <w:b/>
                <w:bCs/>
                <w:u w:val="single"/>
              </w:rPr>
              <w:t>本工程的港池疏浚工程施工会使施工河段及下游河水悬浮物增多，浑浊度增加，溶解氧下降，阻碍浮游动物的呼吸，对其生长繁殖产生不利影响，悬浮物还会粘附在浮游动物体表，使其运动、摄食等活动受到影响，严重时会造成死亡同时由于浮游植物生物量的减少，也会导致部分以之为食的浮游动物（如枝角类和桡足类）种群密度大幅下降。另外，悬浮物中一些碎屑和无机固体物质可能会妨碍浮游动物对食物的摄取，或者稀释肠中的内容物从而减少对食物的吸收，如可以减少枝角类的摄食率、生长率和竞争能力，尤其对大型枝角类影响较大。根据有关实验结论，水中过量的悬浮物会堵塞桡足类等浮游动物的食物过滤系统和消化器官，尤其以悬浮物浓度达到300mg/L以上，悬浮物为粘性淤泥时为甚，如果只能分辨颗粒大小的滤食性浮游动物可能会摄入大量的泥砂，造成其内部系统紊乱而死亡。水中悬浮物浓度的增加还会对桡足类等浮游动物的繁殖和生长产生抑制，例如具有依据光线强弱变化而进行昼夜垂直迁移习性的球状水蚤等。另外，施工作业时产生的噪声，对浮游动物有驱赶作用，会导致部分活动能力较强的浮游动物（如纤毛虫、轮虫）产生应激而逃离施工河段，使局部水域内浮游生物的种类和水数量减少。</w:t>
            </w:r>
          </w:p>
          <w:p w14:paraId="27F06E5A">
            <w:pPr>
              <w:spacing w:line="360" w:lineRule="auto"/>
              <w:ind w:firstLine="480" w:firstLineChars="200"/>
              <w:rPr>
                <w:b/>
                <w:bCs/>
                <w:u w:val="single"/>
              </w:rPr>
            </w:pPr>
            <w:r>
              <w:rPr>
                <w:rFonts w:hint="eastAsia"/>
              </w:rPr>
              <w:t>根据《鸭绿江临江航道码头建设工程补充勘察岩土工程勘察报告》，鸭绿江本工程所在河段为砂石底质，自上而下第一层为第四系全新统冲洪积层，包括漂石层及卵石层，层厚2.00～7.80m，故港池施工造成局部河段悬浮物的浓度升高幅度有限，且高粘性泥类悬浮物含量比例较低。</w:t>
            </w:r>
            <w:r>
              <w:rPr>
                <w:rFonts w:hint="eastAsia"/>
                <w:b/>
                <w:bCs/>
                <w:u w:val="single"/>
              </w:rPr>
              <w:t>参照国内同类型疏浚工程施工悬浮物泥沙扩散观测研究结果，疏浚施工导致水中悬浮物浓度增量大于10mg/L的纵向影响范围约1km，因此本项目疏浚工程施工时引起的水质变化主要对此范围内的水生生物产生影响。而此种影响随着施工的结束而结束，因此总体来看，本项目疏浚工程对水生生物的影响亦是有限的，不会导致水生生物量明显减少。</w:t>
            </w:r>
          </w:p>
          <w:p w14:paraId="58557CF6">
            <w:pPr>
              <w:spacing w:line="360" w:lineRule="auto"/>
              <w:ind w:firstLine="482" w:firstLineChars="200"/>
              <w:rPr>
                <w:b/>
                <w:bCs/>
                <w:u w:val="single"/>
              </w:rPr>
            </w:pPr>
            <w:r>
              <w:rPr>
                <w:rFonts w:hint="eastAsia"/>
                <w:b/>
                <w:bCs/>
                <w:u w:val="single"/>
              </w:rPr>
              <w:t>综上所述，疏浚施工会对浮游动植物产生不利影响，主要是增加了水体中悬浮物浓度而影响浮游植物生长，影响浮游动物的摄食、生长等，考虑到浮游动植物个体小，繁殖速度快，因此项目施工对该河段浮游生物的影响只会在施工期间持续，随着施工结束后悬浮物的稀释、沉淀，水质恢复后，浮游生物的数量可基本恢复到施工前的状况。</w:t>
            </w:r>
          </w:p>
          <w:p w14:paraId="2CC212E4">
            <w:pPr>
              <w:spacing w:line="360" w:lineRule="auto"/>
              <w:ind w:firstLine="480" w:firstLineChars="200"/>
            </w:pPr>
            <w:r>
              <w:rPr>
                <w:rFonts w:hint="eastAsia"/>
              </w:rPr>
              <w:t>②对底栖生物的影响</w:t>
            </w:r>
          </w:p>
          <w:p w14:paraId="2C5B8767">
            <w:pPr>
              <w:spacing w:line="360" w:lineRule="auto"/>
              <w:ind w:firstLine="480" w:firstLineChars="200"/>
            </w:pPr>
            <w:r>
              <w:rPr>
                <w:rFonts w:hint="eastAsia"/>
              </w:rPr>
              <w:t>工程水下施工会对底栖生物造成不利影响，施工活动彻底改变施工水域内底质环境，使得少量活动能力强的底栖生物逃往他处，大部分底栖生物将被掩埋、覆盖，除少数能存活外，绝大多数将死亡。</w:t>
            </w:r>
          </w:p>
          <w:p w14:paraId="54E1C637">
            <w:pPr>
              <w:spacing w:line="360" w:lineRule="auto"/>
              <w:ind w:firstLine="482" w:firstLineChars="200"/>
              <w:rPr>
                <w:b/>
                <w:bCs/>
                <w:u w:val="single"/>
              </w:rPr>
            </w:pPr>
            <w:r>
              <w:rPr>
                <w:rFonts w:hint="eastAsia"/>
                <w:b/>
                <w:bCs/>
                <w:u w:val="single"/>
              </w:rPr>
              <w:t>由于本项目港池占地面积较小，因此疏浚工程仅会影响鸭绿江内局部底质环境，不会造成大面积的影响，故从整体来看，河段整体仍旧保持原有流水生境及河流特征，不会对鸭绿江整体底栖生物产生明显的影响，底栖动物总体保持原有状态，即因项目施工而导致的底栖生物量降低，总体上不影响整个河段的底栖生物量水平。</w:t>
            </w:r>
          </w:p>
          <w:p w14:paraId="23614790">
            <w:pPr>
              <w:spacing w:line="360" w:lineRule="auto"/>
              <w:ind w:firstLine="480" w:firstLineChars="200"/>
            </w:pPr>
            <w:r>
              <w:rPr>
                <w:rFonts w:hint="eastAsia"/>
              </w:rPr>
              <w:t>③对鱼类的影响</w:t>
            </w:r>
          </w:p>
          <w:p w14:paraId="6A619D8A">
            <w:pPr>
              <w:spacing w:line="360" w:lineRule="auto"/>
              <w:ind w:firstLine="480" w:firstLineChars="200"/>
            </w:pPr>
            <w:r>
              <w:rPr>
                <w:rFonts w:hint="eastAsia"/>
              </w:rPr>
              <w:t>a.施工噪声对鱼类的影响</w:t>
            </w:r>
          </w:p>
          <w:p w14:paraId="6071F5BB">
            <w:pPr>
              <w:spacing w:line="360" w:lineRule="auto"/>
              <w:ind w:firstLine="480" w:firstLineChars="200"/>
            </w:pPr>
            <w:r>
              <w:rPr>
                <w:rFonts w:hint="eastAsia"/>
              </w:rPr>
              <w:t>施工期持续性的噪声通过水体的传导，将在一定程度上导致过往鱼群受到惊吓或逃避，致使施工水域鱼类资源量有所降低，但对整个评价河段的鱼类资源基本没有影响。本项目施工期内噪声振动对本工程周围200m范围内的鱼类产生驱离作用，施工结束后自然消除。</w:t>
            </w:r>
          </w:p>
          <w:p w14:paraId="435B9242">
            <w:pPr>
              <w:spacing w:line="360" w:lineRule="auto"/>
              <w:ind w:firstLine="480" w:firstLineChars="200"/>
            </w:pPr>
            <w:r>
              <w:rPr>
                <w:rFonts w:hint="eastAsia"/>
              </w:rPr>
              <w:t>b.对鱼类种群结构的影响</w:t>
            </w:r>
          </w:p>
          <w:p w14:paraId="34CD6BAF">
            <w:pPr>
              <w:spacing w:line="360" w:lineRule="auto"/>
              <w:ind w:firstLine="480" w:firstLineChars="200"/>
              <w:rPr>
                <w:b/>
                <w:bCs/>
                <w:u w:val="single"/>
              </w:rPr>
            </w:pPr>
            <w:r>
              <w:rPr>
                <w:rFonts w:hint="eastAsia"/>
              </w:rPr>
              <w:t>施工期将导致水体悬浮物浓度增加，透明度减小，水质变差等，这些变化会导致水体中浮游生物和底栖生物种类及生物量的变化，通常一些耐污物种类会增加，进而导致水体中初级生产力的变化。在这种情况下，鱼类中通常对水质要求较高的种类会减少，而一些对污染耐受力较强的种类影响有限。</w:t>
            </w:r>
            <w:r>
              <w:rPr>
                <w:rFonts w:hint="eastAsia"/>
                <w:b/>
                <w:bCs/>
                <w:u w:val="single"/>
              </w:rPr>
              <w:t>总体而言，疏浚工程施工过程中，主要对沿水流方向长度约1km范围河段内的鱼类种群结构产生影响，随着施工期的结束，此种影响亦逐步结束。</w:t>
            </w:r>
          </w:p>
          <w:p w14:paraId="782CDF9A">
            <w:pPr>
              <w:spacing w:line="360" w:lineRule="auto"/>
              <w:ind w:firstLine="480" w:firstLineChars="200"/>
            </w:pPr>
            <w:r>
              <w:rPr>
                <w:rFonts w:hint="eastAsia"/>
              </w:rPr>
              <w:t>c.对鱼类繁殖的影响</w:t>
            </w:r>
          </w:p>
          <w:p w14:paraId="6C8AFDAB">
            <w:pPr>
              <w:spacing w:line="360" w:lineRule="auto"/>
              <w:ind w:firstLine="480" w:firstLineChars="200"/>
            </w:pPr>
            <w:r>
              <w:rPr>
                <w:rFonts w:hint="eastAsia"/>
              </w:rPr>
              <w:t>通过收集资料和现场查勘调查，项目评价区域附近无珍稀、濒危鱼类及其繁育场。所以工程建设对珍稀、特有鱼类物种的繁殖不产生影响。</w:t>
            </w:r>
          </w:p>
          <w:p w14:paraId="2B328A86">
            <w:pPr>
              <w:spacing w:line="360" w:lineRule="auto"/>
              <w:ind w:firstLine="480" w:firstLineChars="200"/>
            </w:pPr>
            <w:r>
              <w:rPr>
                <w:rFonts w:hint="eastAsia"/>
              </w:rPr>
              <w:t>工程建设施工期的噪声和振动对涉及水域鱼类繁殖会产生影响。由于噪声、振动及水环境的改变，会造成邻近水域鱼类产卵规模减少。鲤、鲫、鲇等鱼类产粘性卵，受精卵常覆于水草或砾石上发育，若繁殖季节产卵场水域SS的增加将影响这些鱼类胚胎发育，导致孵化率降低。噪音对鱼类产卵也有影响，根据《鱼类与环境声》（洪天来），鱼类良好的听觉频率范围一般为16～1033Hz，并随着音频信号的升高，听觉的感度急剧下降。根据类比资料显示：鱼类繁殖期间对噪声要求小于0类声环境功能区（夜间）40dB测算，驱离范围为施工主要场地和涉水工程附近上下约 200m，噪声将驱离这些鱼类离开影响区域，缩小鱼类产卵场面积，影响鱼类等水生生物繁殖力。</w:t>
            </w:r>
          </w:p>
          <w:p w14:paraId="34AB3DBC">
            <w:pPr>
              <w:spacing w:line="360" w:lineRule="auto"/>
              <w:ind w:firstLine="480" w:firstLineChars="200"/>
            </w:pPr>
            <w:r>
              <w:rPr>
                <w:rFonts w:hint="eastAsia"/>
              </w:rPr>
              <w:t>疏浚工程施工将导致以上鱼类产卵场选择范围变窄、面积减少，增加鱼类等水生动物繁殖竞争压力，通过查阅相关资料及咨询当地人员，鸭绿江本工程上下200m范围河段内不存在鱼类产卵场，因此本项目对评价区域影响范围内的鱼类繁殖的影响有限。</w:t>
            </w:r>
          </w:p>
          <w:p w14:paraId="64B0C259">
            <w:pPr>
              <w:spacing w:line="360" w:lineRule="auto"/>
              <w:ind w:firstLine="480" w:firstLineChars="200"/>
            </w:pPr>
            <w:r>
              <w:rPr>
                <w:rFonts w:hint="eastAsia"/>
              </w:rPr>
              <w:t>④对水生植物的影响</w:t>
            </w:r>
          </w:p>
          <w:p w14:paraId="5A7E5632">
            <w:pPr>
              <w:spacing w:line="360" w:lineRule="auto"/>
              <w:ind w:firstLine="480" w:firstLineChars="200"/>
            </w:pPr>
            <w:r>
              <w:rPr>
                <w:rFonts w:hint="eastAsia"/>
              </w:rPr>
              <w:t>本项目施工期，将对河岸植物会造成破坏，由于评价区域内的水生植物均为当地常见物种，在流域内广泛分布，且本项目水域及水利设施用地占地面积较小，故引起的水生植物生物量损失较小，不会导致水生植物的灭绝。</w:t>
            </w:r>
          </w:p>
          <w:p w14:paraId="1461D905">
            <w:pPr>
              <w:spacing w:line="360" w:lineRule="auto"/>
              <w:ind w:firstLine="482" w:firstLineChars="200"/>
            </w:pPr>
            <w:r>
              <w:rPr>
                <w:rFonts w:hint="eastAsia"/>
                <w:b/>
                <w:bCs/>
                <w:u w:val="single"/>
              </w:rPr>
              <w:t>综上所述，疏浚工程施工区域开挖时会对水体产生扰动，对浮游植物、浮游动物、底栖动物、水生植物等饵料生物及鱼类自身的分布和数量都有影响，对底栖动物的影响程度最为明显，但对其影响范围亦最有限；饵料生物在施工区域的分布和数量都会减少，导致以此为食的鱼类在该区域的分布减少，转而迁移到其他区域觅食。同时，水体中悬浮物浓度增加和施工机械作业时发出的噪声和灯光等也会迫使部分鱼类产生应激反应，逃离施工水域，进一步降低该区域的鱼类分布。本项目施工期对水生生物的最大影响范围基本在沿水流方向长度约1km范围之内，此范围内无重要水生物的自然产卵场、索饵场、越冬场及洄游通道，亦距离本项目上下游水产资源种质保护区较远，从整体情况来看，影响范围较小，不会对所在流域内水生生物产生明显的影响。且上述对水生生物的影响均发生在施工期，随着施工期的结束，影响逐步消失，所受影响范围河段内水生生态环境亦可逐步恢复至施工前水平。</w:t>
            </w:r>
          </w:p>
          <w:p w14:paraId="703B417F">
            <w:pPr>
              <w:spacing w:line="360" w:lineRule="auto"/>
              <w:ind w:firstLine="480" w:firstLineChars="200"/>
            </w:pPr>
            <w:r>
              <w:rPr>
                <w:rFonts w:hint="eastAsia"/>
              </w:rPr>
              <w:t>（3）施工期水土流失的影响</w:t>
            </w:r>
          </w:p>
          <w:p w14:paraId="2C4C9B26">
            <w:pPr>
              <w:spacing w:line="360" w:lineRule="auto"/>
              <w:ind w:firstLine="480" w:firstLineChars="200"/>
            </w:pPr>
            <w:r>
              <w:rPr>
                <w:rFonts w:hint="eastAsia"/>
              </w:rPr>
              <w:t>本工程施工期陆域工程填筑施工过程中，开挖及回填土方的临时堆存，若不采取行之有效的防护措施，降雨时，松散的堆积土极易形成水土流失，天旱则易产生扬尘污染，恶化区域环境；施工过程中地表受到机械、车辆碾压，将使土壤下渗和涵养水分的能力降低，同时地表水易形成地表径流，从而加剧水土流失，导致环境的恶化。对于已采取了水土保持防治措施的工程区域，在自然恢复期，植物措施尚未发挥其应有的水土保持功能，受降雨、径流影响，仍会产生一定程度的水土流失，但随着各项措施水土保持功能日渐发挥作用，水土流失影响将逐渐减轻。</w:t>
            </w:r>
          </w:p>
          <w:p w14:paraId="11E8DDF2">
            <w:pPr>
              <w:spacing w:line="360" w:lineRule="auto"/>
              <w:ind w:firstLine="482" w:firstLineChars="200"/>
              <w:rPr>
                <w:b/>
                <w:bCs/>
                <w:u w:val="single"/>
              </w:rPr>
            </w:pPr>
            <w:r>
              <w:rPr>
                <w:rFonts w:hint="eastAsia"/>
                <w:b/>
                <w:bCs/>
                <w:u w:val="single"/>
              </w:rPr>
              <w:t>根据本项目水土保持方案，明确本项目施工期、自然恢复期水土流失情况如下表所示：</w:t>
            </w:r>
          </w:p>
          <w:p w14:paraId="2D9737ED">
            <w:pPr>
              <w:spacing w:line="360" w:lineRule="auto"/>
              <w:ind w:firstLine="482" w:firstLineChars="200"/>
              <w:jc w:val="center"/>
              <w:rPr>
                <w:b/>
                <w:bCs/>
                <w:u w:val="single"/>
              </w:rPr>
            </w:pPr>
            <w:r>
              <w:rPr>
                <w:rFonts w:hint="eastAsia"/>
                <w:b/>
                <w:bCs/>
                <w:u w:val="single"/>
              </w:rPr>
              <w:t>表55    本项目水土流失情况一览表</w:t>
            </w:r>
          </w:p>
          <w:tbl>
            <w:tblPr>
              <w:tblStyle w:val="5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992"/>
              <w:gridCol w:w="992"/>
              <w:gridCol w:w="1549"/>
              <w:gridCol w:w="1549"/>
              <w:gridCol w:w="1550"/>
            </w:tblGrid>
            <w:tr w14:paraId="584BF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1D493C9E">
                  <w:pPr>
                    <w:jc w:val="center"/>
                    <w:rPr>
                      <w:rFonts w:cs="Times New Roman"/>
                      <w:i/>
                      <w:iCs/>
                      <w:kern w:val="0"/>
                      <w:sz w:val="21"/>
                      <w:szCs w:val="21"/>
                      <w:u w:val="single"/>
                    </w:rPr>
                  </w:pPr>
                  <w:r>
                    <w:rPr>
                      <w:rFonts w:hint="eastAsia" w:cs="Times New Roman"/>
                      <w:i/>
                      <w:iCs/>
                      <w:kern w:val="0"/>
                      <w:sz w:val="21"/>
                      <w:szCs w:val="21"/>
                      <w:u w:val="single"/>
                    </w:rPr>
                    <w:t>预测时段</w:t>
                  </w:r>
                </w:p>
              </w:tc>
              <w:tc>
                <w:tcPr>
                  <w:tcW w:w="992" w:type="dxa"/>
                  <w:vAlign w:val="center"/>
                </w:tcPr>
                <w:p w14:paraId="1DA731BF">
                  <w:pPr>
                    <w:jc w:val="center"/>
                    <w:rPr>
                      <w:rFonts w:cs="Times New Roman"/>
                      <w:i/>
                      <w:iCs/>
                      <w:kern w:val="0"/>
                      <w:sz w:val="21"/>
                      <w:szCs w:val="21"/>
                      <w:u w:val="single"/>
                    </w:rPr>
                  </w:pPr>
                  <w:r>
                    <w:rPr>
                      <w:rFonts w:hint="eastAsia" w:cs="Times New Roman"/>
                      <w:i/>
                      <w:iCs/>
                      <w:kern w:val="0"/>
                      <w:sz w:val="21"/>
                      <w:szCs w:val="21"/>
                      <w:u w:val="single"/>
                    </w:rPr>
                    <w:t>预测面积hm</w:t>
                  </w:r>
                  <w:r>
                    <w:rPr>
                      <w:rFonts w:hint="eastAsia" w:cs="Times New Roman"/>
                      <w:i/>
                      <w:iCs/>
                      <w:kern w:val="0"/>
                      <w:sz w:val="21"/>
                      <w:szCs w:val="21"/>
                      <w:u w:val="single"/>
                      <w:vertAlign w:val="superscript"/>
                    </w:rPr>
                    <w:t>2</w:t>
                  </w:r>
                </w:p>
              </w:tc>
              <w:tc>
                <w:tcPr>
                  <w:tcW w:w="992" w:type="dxa"/>
                  <w:vAlign w:val="center"/>
                </w:tcPr>
                <w:p w14:paraId="322C36A4">
                  <w:pPr>
                    <w:jc w:val="center"/>
                    <w:rPr>
                      <w:rFonts w:cs="Times New Roman"/>
                      <w:i/>
                      <w:iCs/>
                      <w:kern w:val="0"/>
                      <w:sz w:val="21"/>
                      <w:szCs w:val="21"/>
                      <w:u w:val="single"/>
                    </w:rPr>
                  </w:pPr>
                  <w:r>
                    <w:rPr>
                      <w:rFonts w:hint="eastAsia" w:cs="Times New Roman"/>
                      <w:i/>
                      <w:iCs/>
                      <w:kern w:val="0"/>
                      <w:sz w:val="21"/>
                      <w:szCs w:val="21"/>
                      <w:u w:val="single"/>
                    </w:rPr>
                    <w:t>预测时长a</w:t>
                  </w:r>
                </w:p>
              </w:tc>
              <w:tc>
                <w:tcPr>
                  <w:tcW w:w="1549" w:type="dxa"/>
                  <w:vAlign w:val="center"/>
                </w:tcPr>
                <w:p w14:paraId="65390BA4">
                  <w:pPr>
                    <w:jc w:val="center"/>
                    <w:rPr>
                      <w:rFonts w:cs="Times New Roman"/>
                      <w:i/>
                      <w:iCs/>
                      <w:kern w:val="0"/>
                      <w:sz w:val="21"/>
                      <w:szCs w:val="21"/>
                      <w:u w:val="single"/>
                    </w:rPr>
                  </w:pPr>
                  <w:r>
                    <w:rPr>
                      <w:rFonts w:hint="eastAsia" w:cs="Times New Roman"/>
                      <w:i/>
                      <w:iCs/>
                      <w:kern w:val="0"/>
                      <w:sz w:val="21"/>
                      <w:szCs w:val="21"/>
                      <w:u w:val="single"/>
                    </w:rPr>
                    <w:t>原生水土流失量t</w:t>
                  </w:r>
                </w:p>
              </w:tc>
              <w:tc>
                <w:tcPr>
                  <w:tcW w:w="1549" w:type="dxa"/>
                  <w:vAlign w:val="center"/>
                </w:tcPr>
                <w:p w14:paraId="58807927">
                  <w:pPr>
                    <w:jc w:val="center"/>
                    <w:rPr>
                      <w:rFonts w:cs="Times New Roman"/>
                      <w:i/>
                      <w:iCs/>
                      <w:kern w:val="0"/>
                      <w:sz w:val="21"/>
                      <w:szCs w:val="21"/>
                      <w:u w:val="single"/>
                    </w:rPr>
                  </w:pPr>
                  <w:r>
                    <w:rPr>
                      <w:rFonts w:hint="eastAsia" w:cs="Times New Roman"/>
                      <w:i/>
                      <w:iCs/>
                      <w:kern w:val="0"/>
                      <w:sz w:val="21"/>
                      <w:szCs w:val="21"/>
                      <w:u w:val="single"/>
                    </w:rPr>
                    <w:t>预测水土流失量t</w:t>
                  </w:r>
                </w:p>
              </w:tc>
              <w:tc>
                <w:tcPr>
                  <w:tcW w:w="1550" w:type="dxa"/>
                  <w:vAlign w:val="center"/>
                </w:tcPr>
                <w:p w14:paraId="53B4C08F">
                  <w:pPr>
                    <w:jc w:val="center"/>
                    <w:rPr>
                      <w:rFonts w:cs="Times New Roman"/>
                      <w:i/>
                      <w:iCs/>
                      <w:kern w:val="0"/>
                      <w:sz w:val="21"/>
                      <w:szCs w:val="21"/>
                      <w:u w:val="single"/>
                    </w:rPr>
                  </w:pPr>
                  <w:r>
                    <w:rPr>
                      <w:rFonts w:hint="eastAsia" w:cs="Times New Roman"/>
                      <w:i/>
                      <w:iCs/>
                      <w:kern w:val="0"/>
                      <w:sz w:val="21"/>
                      <w:szCs w:val="21"/>
                      <w:u w:val="single"/>
                    </w:rPr>
                    <w:t>新增水土流失量t</w:t>
                  </w:r>
                </w:p>
              </w:tc>
            </w:tr>
            <w:tr w14:paraId="47A54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76413428">
                  <w:pPr>
                    <w:jc w:val="center"/>
                    <w:rPr>
                      <w:rFonts w:cs="Times New Roman"/>
                      <w:i/>
                      <w:iCs/>
                      <w:kern w:val="0"/>
                      <w:sz w:val="21"/>
                      <w:szCs w:val="21"/>
                      <w:u w:val="single"/>
                    </w:rPr>
                  </w:pPr>
                  <w:r>
                    <w:rPr>
                      <w:rFonts w:hint="eastAsia" w:cs="Times New Roman"/>
                      <w:i/>
                      <w:iCs/>
                      <w:kern w:val="0"/>
                      <w:sz w:val="21"/>
                      <w:szCs w:val="21"/>
                      <w:u w:val="single"/>
                    </w:rPr>
                    <w:t>施工期</w:t>
                  </w:r>
                </w:p>
              </w:tc>
              <w:tc>
                <w:tcPr>
                  <w:tcW w:w="992" w:type="dxa"/>
                  <w:vAlign w:val="center"/>
                </w:tcPr>
                <w:p w14:paraId="3E7AE3C8">
                  <w:pPr>
                    <w:jc w:val="center"/>
                    <w:rPr>
                      <w:rFonts w:cs="Times New Roman"/>
                      <w:i/>
                      <w:iCs/>
                      <w:kern w:val="0"/>
                      <w:sz w:val="21"/>
                      <w:szCs w:val="21"/>
                      <w:u w:val="single"/>
                    </w:rPr>
                  </w:pPr>
                  <w:r>
                    <w:rPr>
                      <w:rFonts w:hint="eastAsia" w:cs="Times New Roman"/>
                      <w:i/>
                      <w:iCs/>
                      <w:kern w:val="0"/>
                      <w:sz w:val="21"/>
                      <w:szCs w:val="21"/>
                      <w:u w:val="single"/>
                    </w:rPr>
                    <w:t>2.66</w:t>
                  </w:r>
                </w:p>
              </w:tc>
              <w:tc>
                <w:tcPr>
                  <w:tcW w:w="992" w:type="dxa"/>
                  <w:vAlign w:val="center"/>
                </w:tcPr>
                <w:p w14:paraId="0B81563D">
                  <w:pPr>
                    <w:jc w:val="center"/>
                    <w:rPr>
                      <w:rFonts w:cs="Times New Roman"/>
                      <w:i/>
                      <w:iCs/>
                      <w:kern w:val="0"/>
                      <w:sz w:val="21"/>
                      <w:szCs w:val="21"/>
                      <w:u w:val="single"/>
                    </w:rPr>
                  </w:pPr>
                  <w:r>
                    <w:rPr>
                      <w:rFonts w:hint="eastAsia" w:cs="Times New Roman"/>
                      <w:i/>
                      <w:iCs/>
                      <w:kern w:val="0"/>
                      <w:sz w:val="21"/>
                      <w:szCs w:val="21"/>
                      <w:u w:val="single"/>
                    </w:rPr>
                    <w:t>1.5</w:t>
                  </w:r>
                </w:p>
              </w:tc>
              <w:tc>
                <w:tcPr>
                  <w:tcW w:w="1549" w:type="dxa"/>
                  <w:vAlign w:val="center"/>
                </w:tcPr>
                <w:p w14:paraId="7BD608D2">
                  <w:pPr>
                    <w:jc w:val="center"/>
                    <w:rPr>
                      <w:rFonts w:cs="Times New Roman"/>
                      <w:i/>
                      <w:iCs/>
                      <w:kern w:val="0"/>
                      <w:sz w:val="21"/>
                      <w:szCs w:val="21"/>
                      <w:u w:val="single"/>
                    </w:rPr>
                  </w:pPr>
                  <w:r>
                    <w:rPr>
                      <w:rFonts w:hint="eastAsia" w:cs="Times New Roman"/>
                      <w:i/>
                      <w:iCs/>
                      <w:kern w:val="0"/>
                      <w:sz w:val="21"/>
                      <w:szCs w:val="21"/>
                      <w:u w:val="single"/>
                    </w:rPr>
                    <w:t>18.27</w:t>
                  </w:r>
                </w:p>
              </w:tc>
              <w:tc>
                <w:tcPr>
                  <w:tcW w:w="1549" w:type="dxa"/>
                  <w:vAlign w:val="center"/>
                </w:tcPr>
                <w:p w14:paraId="5D1D5600">
                  <w:pPr>
                    <w:jc w:val="center"/>
                    <w:rPr>
                      <w:rFonts w:cs="Times New Roman"/>
                      <w:i/>
                      <w:iCs/>
                      <w:kern w:val="0"/>
                      <w:sz w:val="21"/>
                      <w:szCs w:val="21"/>
                      <w:u w:val="single"/>
                    </w:rPr>
                  </w:pPr>
                  <w:r>
                    <w:rPr>
                      <w:rFonts w:hint="eastAsia" w:cs="Times New Roman"/>
                      <w:i/>
                      <w:iCs/>
                      <w:kern w:val="0"/>
                      <w:sz w:val="21"/>
                      <w:szCs w:val="21"/>
                      <w:u w:val="single"/>
                    </w:rPr>
                    <w:t>148.35</w:t>
                  </w:r>
                </w:p>
              </w:tc>
              <w:tc>
                <w:tcPr>
                  <w:tcW w:w="1550" w:type="dxa"/>
                  <w:vAlign w:val="center"/>
                </w:tcPr>
                <w:p w14:paraId="497925A0">
                  <w:pPr>
                    <w:jc w:val="center"/>
                    <w:rPr>
                      <w:rFonts w:cs="Times New Roman"/>
                      <w:i/>
                      <w:iCs/>
                      <w:kern w:val="0"/>
                      <w:sz w:val="21"/>
                      <w:szCs w:val="21"/>
                      <w:u w:val="single"/>
                    </w:rPr>
                  </w:pPr>
                  <w:r>
                    <w:rPr>
                      <w:rFonts w:hint="eastAsia" w:cs="Times New Roman"/>
                      <w:i/>
                      <w:iCs/>
                      <w:kern w:val="0"/>
                      <w:sz w:val="21"/>
                      <w:szCs w:val="21"/>
                      <w:u w:val="single"/>
                    </w:rPr>
                    <w:t>130.08</w:t>
                  </w:r>
                </w:p>
              </w:tc>
            </w:tr>
            <w:tr w14:paraId="2820A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5" w:type="dxa"/>
                  <w:vAlign w:val="center"/>
                </w:tcPr>
                <w:p w14:paraId="2B871B91">
                  <w:pPr>
                    <w:jc w:val="center"/>
                    <w:rPr>
                      <w:rFonts w:cs="Times New Roman"/>
                      <w:i/>
                      <w:iCs/>
                      <w:kern w:val="0"/>
                      <w:sz w:val="21"/>
                      <w:szCs w:val="21"/>
                      <w:u w:val="single"/>
                    </w:rPr>
                  </w:pPr>
                  <w:r>
                    <w:rPr>
                      <w:rFonts w:hint="eastAsia" w:cs="Times New Roman"/>
                      <w:i/>
                      <w:iCs/>
                      <w:kern w:val="0"/>
                      <w:sz w:val="21"/>
                      <w:szCs w:val="21"/>
                      <w:u w:val="single"/>
                    </w:rPr>
                    <w:t>自然恢复期</w:t>
                  </w:r>
                </w:p>
              </w:tc>
              <w:tc>
                <w:tcPr>
                  <w:tcW w:w="992" w:type="dxa"/>
                  <w:vAlign w:val="center"/>
                </w:tcPr>
                <w:p w14:paraId="7939501B">
                  <w:pPr>
                    <w:jc w:val="center"/>
                    <w:rPr>
                      <w:rFonts w:cs="Times New Roman"/>
                      <w:i/>
                      <w:iCs/>
                      <w:kern w:val="0"/>
                      <w:sz w:val="21"/>
                      <w:szCs w:val="21"/>
                      <w:u w:val="single"/>
                    </w:rPr>
                  </w:pPr>
                  <w:r>
                    <w:rPr>
                      <w:rFonts w:hint="eastAsia" w:cs="Times New Roman"/>
                      <w:i/>
                      <w:iCs/>
                      <w:kern w:val="0"/>
                      <w:sz w:val="21"/>
                      <w:szCs w:val="21"/>
                      <w:u w:val="single"/>
                    </w:rPr>
                    <w:t>0.44</w:t>
                  </w:r>
                </w:p>
              </w:tc>
              <w:tc>
                <w:tcPr>
                  <w:tcW w:w="992" w:type="dxa"/>
                  <w:vAlign w:val="center"/>
                </w:tcPr>
                <w:p w14:paraId="26C3121F">
                  <w:pPr>
                    <w:jc w:val="center"/>
                    <w:rPr>
                      <w:rFonts w:cs="Times New Roman"/>
                      <w:i/>
                      <w:iCs/>
                      <w:kern w:val="0"/>
                      <w:sz w:val="21"/>
                      <w:szCs w:val="21"/>
                      <w:u w:val="single"/>
                    </w:rPr>
                  </w:pPr>
                  <w:r>
                    <w:rPr>
                      <w:rFonts w:hint="eastAsia" w:cs="Times New Roman"/>
                      <w:i/>
                      <w:iCs/>
                      <w:kern w:val="0"/>
                      <w:sz w:val="21"/>
                      <w:szCs w:val="21"/>
                      <w:u w:val="single"/>
                    </w:rPr>
                    <w:t>3.0</w:t>
                  </w:r>
                </w:p>
              </w:tc>
              <w:tc>
                <w:tcPr>
                  <w:tcW w:w="1549" w:type="dxa"/>
                  <w:vAlign w:val="center"/>
                </w:tcPr>
                <w:p w14:paraId="249B01E9">
                  <w:pPr>
                    <w:jc w:val="center"/>
                    <w:rPr>
                      <w:rFonts w:cs="Times New Roman"/>
                      <w:i/>
                      <w:iCs/>
                      <w:kern w:val="0"/>
                      <w:sz w:val="21"/>
                      <w:szCs w:val="21"/>
                      <w:u w:val="single"/>
                    </w:rPr>
                  </w:pPr>
                  <w:r>
                    <w:rPr>
                      <w:rFonts w:hint="eastAsia" w:cs="Times New Roman"/>
                      <w:i/>
                      <w:iCs/>
                      <w:kern w:val="0"/>
                      <w:sz w:val="21"/>
                      <w:szCs w:val="21"/>
                      <w:u w:val="single"/>
                    </w:rPr>
                    <w:t>6.08</w:t>
                  </w:r>
                </w:p>
              </w:tc>
              <w:tc>
                <w:tcPr>
                  <w:tcW w:w="1549" w:type="dxa"/>
                  <w:vAlign w:val="center"/>
                </w:tcPr>
                <w:p w14:paraId="69A50888">
                  <w:pPr>
                    <w:jc w:val="center"/>
                    <w:rPr>
                      <w:rFonts w:cs="Times New Roman"/>
                      <w:i/>
                      <w:iCs/>
                      <w:kern w:val="0"/>
                      <w:sz w:val="21"/>
                      <w:szCs w:val="21"/>
                      <w:u w:val="single"/>
                    </w:rPr>
                  </w:pPr>
                  <w:r>
                    <w:rPr>
                      <w:rFonts w:hint="eastAsia" w:cs="Times New Roman"/>
                      <w:i/>
                      <w:iCs/>
                      <w:kern w:val="0"/>
                      <w:sz w:val="21"/>
                      <w:szCs w:val="21"/>
                      <w:u w:val="single"/>
                    </w:rPr>
                    <w:t>10.34</w:t>
                  </w:r>
                </w:p>
              </w:tc>
              <w:tc>
                <w:tcPr>
                  <w:tcW w:w="1550" w:type="dxa"/>
                  <w:vAlign w:val="center"/>
                </w:tcPr>
                <w:p w14:paraId="7B452EC8">
                  <w:pPr>
                    <w:jc w:val="center"/>
                    <w:rPr>
                      <w:rFonts w:cs="Times New Roman"/>
                      <w:i/>
                      <w:iCs/>
                      <w:kern w:val="0"/>
                      <w:sz w:val="21"/>
                      <w:szCs w:val="21"/>
                      <w:u w:val="single"/>
                    </w:rPr>
                  </w:pPr>
                  <w:r>
                    <w:rPr>
                      <w:rFonts w:hint="eastAsia" w:cs="Times New Roman"/>
                      <w:i/>
                      <w:iCs/>
                      <w:kern w:val="0"/>
                      <w:sz w:val="21"/>
                      <w:szCs w:val="21"/>
                      <w:u w:val="single"/>
                    </w:rPr>
                    <w:t>4.27</w:t>
                  </w:r>
                </w:p>
              </w:tc>
            </w:tr>
          </w:tbl>
          <w:p w14:paraId="2F42EBC6">
            <w:pPr>
              <w:spacing w:line="360" w:lineRule="auto"/>
              <w:ind w:firstLine="480" w:firstLineChars="200"/>
            </w:pPr>
          </w:p>
        </w:tc>
      </w:tr>
      <w:tr w14:paraId="42EA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62F92BE6">
            <w:pPr>
              <w:spacing w:line="360" w:lineRule="auto"/>
              <w:jc w:val="center"/>
            </w:pPr>
            <w:r>
              <w:rPr>
                <w:rFonts w:hint="eastAsia"/>
              </w:rPr>
              <w:t>运营期生态环境影响分析</w:t>
            </w:r>
          </w:p>
        </w:tc>
        <w:tc>
          <w:tcPr>
            <w:tcW w:w="7843" w:type="dxa"/>
            <w:vAlign w:val="center"/>
          </w:tcPr>
          <w:p w14:paraId="20EF248A">
            <w:pPr>
              <w:spacing w:line="360" w:lineRule="auto"/>
              <w:ind w:firstLine="482" w:firstLineChars="200"/>
              <w:rPr>
                <w:b/>
                <w:bCs/>
                <w:u w:val="single"/>
              </w:rPr>
            </w:pPr>
            <w:r>
              <w:rPr>
                <w:rFonts w:hint="eastAsia"/>
                <w:b/>
                <w:bCs/>
                <w:u w:val="single"/>
              </w:rPr>
              <w:t>本项目为工作船码头，运营期主要实行船舶停靠、暂存及物料暂存功能。故运营期主要考虑来往船只及码头内工作内容对环境质量的影响，以及码头建成后对水文的影响。本项目建成后未增加吉林省航道管理局日常巡航养护的工作量，且该单位对鸭绿江的疏浚工程，均需单独立项单独评价，故本次评价不包括巡航养护及疏浚工程影响内容。</w:t>
            </w:r>
          </w:p>
          <w:p w14:paraId="145BE44C">
            <w:pPr>
              <w:spacing w:line="360" w:lineRule="auto"/>
              <w:ind w:firstLine="480" w:firstLineChars="200"/>
            </w:pPr>
            <w:r>
              <w:rPr>
                <w:rFonts w:hint="eastAsia"/>
              </w:rPr>
              <w:t>1、运营期地表水环境影响分析</w:t>
            </w:r>
          </w:p>
          <w:p w14:paraId="69F01086">
            <w:pPr>
              <w:spacing w:line="360" w:lineRule="auto"/>
              <w:ind w:firstLine="480" w:firstLineChars="200"/>
            </w:pPr>
            <w:r>
              <w:rPr>
                <w:rFonts w:hint="eastAsia"/>
              </w:rPr>
              <w:t>本项目运营期废水主要为工作人员生活污水、船舶含油污水以及船舶冲洗废水。</w:t>
            </w:r>
          </w:p>
          <w:p w14:paraId="65C35D14">
            <w:pPr>
              <w:spacing w:line="360" w:lineRule="auto"/>
              <w:ind w:firstLine="482" w:firstLineChars="200"/>
              <w:rPr>
                <w:b/>
                <w:bCs/>
                <w:u w:val="single"/>
              </w:rPr>
            </w:pPr>
            <w:r>
              <w:rPr>
                <w:rFonts w:hint="eastAsia"/>
                <w:b/>
                <w:bCs/>
                <w:u w:val="single"/>
              </w:rPr>
              <w:t>根据天津水运工程勘察设计院编制的《鸭绿江临江船舶临时停靠基地专项养护工程岩土工程勘察报告》，以及天津华兴勘察设计有限公司编制的《鸭绿江临江航道码头建设工程补充勘察岩土工程勘察报告》中的相关内容，鸭绿江本工程所在河段为砂石底质，自上而下第一层为第四系全新统冲洪积层（</w:t>
            </w:r>
            <m:oMath>
              <m:sSubSup>
                <m:sSubSupPr>
                  <m:ctrlPr>
                    <w:rPr>
                      <w:rFonts w:ascii="Cambria Math" w:hAnsi="Cambria Math"/>
                      <w:b/>
                      <w:bCs/>
                      <w:i/>
                      <w:u w:val="single"/>
                    </w:rPr>
                  </m:ctrlPr>
                </m:sSubSupPr>
                <m:e>
                  <m:r>
                    <m:rPr>
                      <m:sty m:val="bi"/>
                    </m:rPr>
                    <w:rPr>
                      <w:rFonts w:ascii="Cambria Math" w:hAnsi="Cambria Math"/>
                      <w:u w:val="single"/>
                    </w:rPr>
                    <m:t>Q</m:t>
                  </m:r>
                  <m:ctrlPr>
                    <w:rPr>
                      <w:rFonts w:ascii="Cambria Math" w:hAnsi="Cambria Math"/>
                      <w:b/>
                      <w:bCs/>
                      <w:i/>
                      <w:u w:val="single"/>
                    </w:rPr>
                  </m:ctrlPr>
                </m:e>
                <m:sub>
                  <m:r>
                    <m:rPr>
                      <m:sty m:val="bi"/>
                    </m:rPr>
                    <w:rPr>
                      <w:rFonts w:ascii="Cambria Math" w:hAnsi="Cambria Math"/>
                      <w:u w:val="single"/>
                    </w:rPr>
                    <m:t>4</m:t>
                  </m:r>
                  <m:ctrlPr>
                    <w:rPr>
                      <w:rFonts w:ascii="Cambria Math" w:hAnsi="Cambria Math"/>
                      <w:b/>
                      <w:bCs/>
                      <w:i/>
                      <w:u w:val="single"/>
                    </w:rPr>
                  </m:ctrlPr>
                </m:sub>
                <m:sup>
                  <m:r>
                    <m:rPr>
                      <m:sty m:val="bi"/>
                    </m:rPr>
                    <w:rPr>
                      <w:rFonts w:hint="eastAsia" w:ascii="Cambria Math" w:hAnsi="Cambria Math"/>
                      <w:u w:val="single"/>
                    </w:rPr>
                    <m:t>al</m:t>
                  </m:r>
                  <m:r>
                    <m:rPr>
                      <m:sty m:val="bi"/>
                    </m:rPr>
                    <w:rPr>
                      <w:rFonts w:ascii="Cambria Math" w:hAnsi="Cambria Math"/>
                      <w:u w:val="single"/>
                    </w:rPr>
                    <m:t>+</m:t>
                  </m:r>
                  <m:r>
                    <m:rPr>
                      <m:sty m:val="bi"/>
                    </m:rPr>
                    <w:rPr>
                      <w:rFonts w:hint="eastAsia" w:ascii="Cambria Math" w:hAnsi="Cambria Math"/>
                      <w:u w:val="single"/>
                    </w:rPr>
                    <m:t>pl</m:t>
                  </m:r>
                  <m:ctrlPr>
                    <w:rPr>
                      <w:rFonts w:ascii="Cambria Math" w:hAnsi="Cambria Math"/>
                      <w:b/>
                      <w:bCs/>
                      <w:i/>
                      <w:u w:val="single"/>
                    </w:rPr>
                  </m:ctrlPr>
                </m:sup>
              </m:sSubSup>
            </m:oMath>
            <w:r>
              <w:rPr>
                <w:rFonts w:hint="eastAsia"/>
                <w:b/>
                <w:bCs/>
                <w:u w:val="single"/>
              </w:rPr>
              <w:t>），层厚2.00～7.80m，主要亚层为卵石，粒径一般约2-8cm，骨架颗粒含量约80—90%，填充物为中粗砂。</w:t>
            </w:r>
          </w:p>
          <w:p w14:paraId="02D19507">
            <w:pPr>
              <w:spacing w:line="360" w:lineRule="auto"/>
              <w:ind w:firstLine="482" w:firstLineChars="200"/>
              <w:rPr>
                <w:b/>
                <w:bCs/>
                <w:u w:val="single"/>
              </w:rPr>
            </w:pPr>
            <w:r>
              <w:rPr>
                <w:rFonts w:hint="eastAsia"/>
                <w:b/>
                <w:bCs/>
                <w:u w:val="single"/>
              </w:rPr>
              <w:t>同时根据临江分局多年河道维护经验，同时结合《鸭绿江挡石至小栗子段航道养护小栗子浅滩专项养护工程竣工环境保护验收调查表》中的调查结论，航道维护疏浚物主要为卵石，基本不含泥类物质。疏浚物经疏浚船只清理并输送上船后，在船上进行沥水，由于其粒径较大，持水力较差，故其经简单沥水后含水率较低，运输至本工程临时堆放区暂存时，物料堆存过程中基本无渗滤液产生，本次评价不考虑此部分内容。</w:t>
            </w:r>
          </w:p>
          <w:p w14:paraId="125133F0">
            <w:pPr>
              <w:spacing w:line="360" w:lineRule="auto"/>
              <w:ind w:firstLine="480" w:firstLineChars="200"/>
            </w:pPr>
            <w:r>
              <w:rPr>
                <w:rFonts w:hint="eastAsia"/>
              </w:rPr>
              <w:t>（1）生活污水</w:t>
            </w:r>
          </w:p>
          <w:p w14:paraId="4CCCDF2F">
            <w:pPr>
              <w:spacing w:line="360" w:lineRule="auto"/>
              <w:ind w:firstLine="480" w:firstLineChars="200"/>
            </w:pPr>
            <w:r>
              <w:rPr>
                <w:rFonts w:hint="eastAsia"/>
              </w:rPr>
              <w:t>工作区员工生活污水排入防渗污水收集池（60m</w:t>
            </w:r>
            <w:r>
              <w:rPr>
                <w:rFonts w:hint="eastAsia"/>
                <w:vertAlign w:val="superscript"/>
              </w:rPr>
              <w:t>3</w:t>
            </w:r>
            <w:r>
              <w:rPr>
                <w:rFonts w:hint="eastAsia"/>
              </w:rPr>
              <w:t>），定期进行清理并运送至临江市污水处理厂，不会对周边环境造成影响。本项目食堂产生少量含油废水，其经隔油处理后，一并排入污水暂存池。</w:t>
            </w:r>
          </w:p>
          <w:p w14:paraId="2A859E19">
            <w:pPr>
              <w:spacing w:line="360" w:lineRule="auto"/>
              <w:ind w:firstLine="482" w:firstLineChars="200"/>
              <w:rPr>
                <w:b/>
                <w:bCs/>
                <w:u w:val="single"/>
              </w:rPr>
            </w:pPr>
            <w:r>
              <w:rPr>
                <w:rFonts w:hint="eastAsia"/>
                <w:b/>
                <w:bCs/>
                <w:u w:val="single"/>
              </w:rPr>
              <w:t>本项目运营期运行船舶内工作产生的生活污水于船舶内暂存，靠岸后采用吸污设备抽出，并于防渗污水收集池（60m</w:t>
            </w:r>
            <w:r>
              <w:rPr>
                <w:rFonts w:hint="eastAsia"/>
                <w:b/>
                <w:bCs/>
                <w:u w:val="single"/>
                <w:vertAlign w:val="superscript"/>
              </w:rPr>
              <w:t>3</w:t>
            </w:r>
            <w:r>
              <w:rPr>
                <w:rFonts w:hint="eastAsia"/>
                <w:b/>
                <w:bCs/>
                <w:u w:val="single"/>
              </w:rPr>
              <w:t>）内暂存，与码头工作人员生活污水一并委托临江市污水处理厂进行处理。</w:t>
            </w:r>
          </w:p>
          <w:p w14:paraId="44ECC309">
            <w:pPr>
              <w:spacing w:line="360" w:lineRule="auto"/>
              <w:ind w:firstLine="480" w:firstLineChars="200"/>
            </w:pPr>
            <w:r>
              <w:rPr>
                <w:rFonts w:hint="eastAsia"/>
              </w:rPr>
              <w:t>因此本项目运营期产生的各类生活污水均能得到有效的收集、处理及处置，不会对周边环境造成影响。</w:t>
            </w:r>
          </w:p>
          <w:p w14:paraId="2B11B890">
            <w:pPr>
              <w:spacing w:line="360" w:lineRule="auto"/>
              <w:ind w:firstLine="480" w:firstLineChars="200"/>
            </w:pPr>
            <w:r>
              <w:rPr>
                <w:rFonts w:hint="eastAsia"/>
              </w:rPr>
              <w:t>（2）船舶含油污水</w:t>
            </w:r>
          </w:p>
          <w:p w14:paraId="446B71C6">
            <w:pPr>
              <w:spacing w:line="360" w:lineRule="auto"/>
              <w:ind w:firstLine="482" w:firstLineChars="200"/>
              <w:rPr>
                <w:b/>
                <w:bCs/>
                <w:u w:val="single"/>
              </w:rPr>
            </w:pPr>
            <w:r>
              <w:rPr>
                <w:rFonts w:hint="eastAsia"/>
                <w:b/>
                <w:bCs/>
                <w:u w:val="single"/>
              </w:rPr>
              <w:t>反铲式挖泥船等作业船的产排污情况均纳入单独立项的疏浚工程项目，故本次评价仅针对工作船舱底含油废水产生情况进行分析。</w:t>
            </w:r>
          </w:p>
          <w:p w14:paraId="6945158B">
            <w:pPr>
              <w:spacing w:line="360" w:lineRule="auto"/>
              <w:ind w:firstLine="482" w:firstLineChars="200"/>
              <w:rPr>
                <w:b/>
                <w:bCs/>
                <w:u w:val="single"/>
              </w:rPr>
            </w:pPr>
            <w:r>
              <w:rPr>
                <w:rFonts w:hint="eastAsia"/>
                <w:b/>
                <w:bCs/>
                <w:u w:val="single"/>
              </w:rPr>
              <w:t>根据《水运工程环境保护设计规范》（JTS 149-2018[2019年局部修订]），500吨级及以下的船舶舱底含油废水产生量为0.14t/d·艘，未经处理的含油废水中石油类浓度约5000mg/L，同时根据建设单位运行经验，本项目快艇舱底含油废水产生量约0.01t/d，结合本项目配备的船型及船舶运行方案，可知本项目工作船舱底含油污水总产生量约5.92t/a，污染物（石油类）总产生量为0.03t/a。</w:t>
            </w:r>
          </w:p>
          <w:p w14:paraId="0851ADB5">
            <w:pPr>
              <w:spacing w:line="360" w:lineRule="auto"/>
              <w:ind w:firstLine="482" w:firstLineChars="200"/>
              <w:rPr>
                <w:b/>
                <w:bCs/>
                <w:u w:val="single"/>
              </w:rPr>
            </w:pPr>
            <w:r>
              <w:rPr>
                <w:b/>
                <w:bCs/>
                <w:u w:val="single"/>
              </w:rPr>
              <w:t>根据</w:t>
            </w:r>
            <w:r>
              <w:rPr>
                <w:rFonts w:hint="eastAsia"/>
                <w:b/>
                <w:bCs/>
                <w:u w:val="single"/>
              </w:rPr>
              <w:t>《交通运输部关于修改</w:t>
            </w:r>
            <w:r>
              <w:rPr>
                <w:b/>
                <w:bCs/>
                <w:u w:val="single"/>
              </w:rPr>
              <w:t>《中华人民共和国防治船舶污染内河水域环境管理规定》</w:t>
            </w:r>
            <w:r>
              <w:rPr>
                <w:rFonts w:hint="eastAsia"/>
                <w:b/>
                <w:bCs/>
                <w:u w:val="single"/>
              </w:rPr>
              <w:t>的决定》（2022年9月26日）及《船舶水污染物排放控制标准》（GB 3552-2018）中的要求</w:t>
            </w:r>
            <w:r>
              <w:rPr>
                <w:b/>
                <w:bCs/>
                <w:u w:val="single"/>
              </w:rPr>
              <w:t>，</w:t>
            </w:r>
            <w:r>
              <w:rPr>
                <w:rFonts w:hint="eastAsia"/>
                <w:b/>
                <w:bCs/>
                <w:u w:val="single"/>
              </w:rPr>
              <w:t>本项目除快艇以外的各个来往</w:t>
            </w:r>
            <w:r>
              <w:rPr>
                <w:b/>
                <w:bCs/>
                <w:u w:val="single"/>
              </w:rPr>
              <w:t>船舶本身</w:t>
            </w:r>
            <w:r>
              <w:rPr>
                <w:rFonts w:hint="eastAsia"/>
                <w:b/>
                <w:bCs/>
                <w:u w:val="single"/>
              </w:rPr>
              <w:t>均</w:t>
            </w:r>
            <w:r>
              <w:rPr>
                <w:b/>
                <w:bCs/>
                <w:u w:val="single"/>
              </w:rPr>
              <w:t>配有处理机舱油污水的船用油水分离器，经处理后含油量应小于15mg/L</w:t>
            </w:r>
            <w:r>
              <w:rPr>
                <w:rFonts w:hint="eastAsia"/>
                <w:b/>
                <w:bCs/>
                <w:u w:val="single"/>
              </w:rPr>
              <w:t>，即本项目快艇舱底含油污水中石油类的量为：1.6kg/a，其余工作船处理后舱底含油污水污染物（石油类）的量为：0.084kg/a，本项目各工作船舱底含油污水中石油类的总量为：1.684kg/a，各工作船靠岸后定期采用吸污车抽出，并委托长春市瀚拓工业有限公司处理，</w:t>
            </w:r>
            <w:r>
              <w:rPr>
                <w:b/>
                <w:bCs/>
                <w:u w:val="single"/>
              </w:rPr>
              <w:t>不在码头所在江段排放</w:t>
            </w:r>
            <w:r>
              <w:rPr>
                <w:rFonts w:hint="eastAsia"/>
                <w:b/>
                <w:bCs/>
                <w:u w:val="single"/>
              </w:rPr>
              <w:t>，亦不在本项目码头内存储</w:t>
            </w:r>
            <w:r>
              <w:rPr>
                <w:b/>
                <w:bCs/>
                <w:u w:val="single"/>
              </w:rPr>
              <w:t>。船舶因故不能自行处理时，应申请</w:t>
            </w:r>
            <w:r>
              <w:rPr>
                <w:rFonts w:hint="eastAsia"/>
                <w:b/>
                <w:bCs/>
                <w:u w:val="single"/>
              </w:rPr>
              <w:t>航运主管</w:t>
            </w:r>
            <w:r>
              <w:rPr>
                <w:b/>
                <w:bCs/>
                <w:u w:val="single"/>
              </w:rPr>
              <w:t>部门的环保工作船进行专业收集处理，码头水域不得排放舱底油污水</w:t>
            </w:r>
            <w:r>
              <w:rPr>
                <w:rFonts w:hint="eastAsia"/>
                <w:b/>
                <w:bCs/>
                <w:u w:val="single"/>
              </w:rPr>
              <w:t>。</w:t>
            </w:r>
          </w:p>
          <w:p w14:paraId="71AFB1BB">
            <w:pPr>
              <w:spacing w:line="360" w:lineRule="auto"/>
              <w:ind w:firstLine="482" w:firstLineChars="200"/>
              <w:rPr>
                <w:b/>
                <w:bCs/>
                <w:u w:val="single"/>
              </w:rPr>
            </w:pPr>
            <w:r>
              <w:rPr>
                <w:rFonts w:hint="eastAsia"/>
                <w:b/>
                <w:bCs/>
                <w:u w:val="single"/>
              </w:rPr>
              <w:t>因此本项目运营期来往船舶舱底油污水能够得到有效的处理，具有合理的处置去向，不直接向鸭绿江排放污水，对地表水环境影响较小。</w:t>
            </w:r>
          </w:p>
          <w:p w14:paraId="65A327EA">
            <w:pPr>
              <w:spacing w:line="360" w:lineRule="auto"/>
              <w:ind w:firstLine="482" w:firstLineChars="200"/>
              <w:rPr>
                <w:b/>
                <w:bCs/>
                <w:u w:val="single"/>
              </w:rPr>
            </w:pPr>
            <w:r>
              <w:rPr>
                <w:rFonts w:hint="eastAsia"/>
                <w:b/>
                <w:bCs/>
                <w:u w:val="single"/>
              </w:rPr>
              <w:t>（3）船舶冲洗废水</w:t>
            </w:r>
          </w:p>
          <w:p w14:paraId="0B75BE65">
            <w:pPr>
              <w:spacing w:line="360" w:lineRule="auto"/>
              <w:ind w:firstLine="482" w:firstLineChars="200"/>
            </w:pPr>
            <w:r>
              <w:rPr>
                <w:rFonts w:hint="eastAsia"/>
                <w:b/>
                <w:bCs/>
                <w:u w:val="single"/>
              </w:rPr>
              <w:t>本工程运营期产生少量船舶冲洗废水，根据建设单位船舶管理情况，正常情况下预计每年冬季船舶上岸暂存时进行一次船舶冲洗，故本项目船舶冲洗废水量约1.2t/a，船舶冲洗废水所含的主要污染因子为SS，其浓度约为200</w:t>
            </w:r>
            <w:r>
              <w:rPr>
                <w:b/>
                <w:bCs/>
                <w:u w:val="single"/>
              </w:rPr>
              <w:t>mg/L</w:t>
            </w:r>
            <w:r>
              <w:rPr>
                <w:rFonts w:hint="eastAsia"/>
                <w:b/>
                <w:bCs/>
                <w:u w:val="single"/>
              </w:rPr>
              <w:t>，产生量约0.25kg/a。其产生后收集并暂存于冲洗废水收集池内（2m³），定期清运至临江市污水处理厂进行处理，不会对地表水环境产生明显的影响。</w:t>
            </w:r>
          </w:p>
          <w:p w14:paraId="3425FA14">
            <w:pPr>
              <w:spacing w:line="360" w:lineRule="auto"/>
              <w:ind w:firstLine="482" w:firstLineChars="200"/>
              <w:rPr>
                <w:b/>
                <w:bCs/>
                <w:u w:val="single"/>
              </w:rPr>
            </w:pPr>
            <w:r>
              <w:rPr>
                <w:rFonts w:hint="eastAsia"/>
                <w:b/>
                <w:bCs/>
                <w:u w:val="single"/>
              </w:rPr>
              <w:t>（4）运营期水文情势影响分析</w:t>
            </w:r>
          </w:p>
          <w:p w14:paraId="3EC254C3">
            <w:pPr>
              <w:spacing w:line="360" w:lineRule="auto"/>
              <w:ind w:firstLine="482" w:firstLineChars="200"/>
              <w:rPr>
                <w:b/>
                <w:bCs/>
                <w:u w:val="single"/>
              </w:rPr>
            </w:pPr>
            <w:r>
              <w:rPr>
                <w:rFonts w:hint="eastAsia"/>
                <w:b/>
                <w:bCs/>
                <w:u w:val="single"/>
              </w:rPr>
              <w:t>通常情况下，码头工程建成后会因阻挡水流而引起码头上游的水面比降减小、流速降低、水位壅高；当水流到达码头前端断面时，由于河面束窄，水面比降和流速迅速增大，水位降低；而在码头附近下游，由于惯性作用，水流会继续收缩，水面比降和流速继续增大，水位降低；至收缩断面后，又在扩散作用下，水位逐渐扩散到与天然河段相接，水流恢复到天然状况。通过数值模拟本工程前后水流演化规律，分析不同流量下的河道断面的水位、流速变化。</w:t>
            </w:r>
          </w:p>
          <w:p w14:paraId="1F8DB3FC">
            <w:pPr>
              <w:spacing w:line="360" w:lineRule="auto"/>
              <w:ind w:firstLine="482" w:firstLineChars="200"/>
              <w:rPr>
                <w:b/>
                <w:bCs/>
                <w:u w:val="single"/>
              </w:rPr>
            </w:pPr>
            <w:r>
              <w:rPr>
                <w:rFonts w:hint="eastAsia"/>
                <w:b/>
                <w:bCs/>
                <w:u w:val="single"/>
              </w:rPr>
              <w:t>根据临江站1990—2022年实测畅流期流量数据，经统计得出：</w:t>
            </w:r>
          </w:p>
          <w:p w14:paraId="64D03BA4">
            <w:pPr>
              <w:spacing w:line="360" w:lineRule="auto"/>
              <w:ind w:firstLine="482" w:firstLineChars="200"/>
              <w:rPr>
                <w:b/>
                <w:bCs/>
                <w:u w:val="single"/>
              </w:rPr>
            </w:pPr>
            <w:r>
              <w:rPr>
                <w:rFonts w:hint="eastAsia"/>
                <w:b/>
                <w:bCs/>
                <w:u w:val="single"/>
              </w:rPr>
              <w:t>临江站多年畅流期日平均流量平均值为276m</w:t>
            </w:r>
            <w:r>
              <w:rPr>
                <w:rFonts w:hint="eastAsia"/>
                <w:b/>
                <w:bCs/>
                <w:u w:val="single"/>
                <w:vertAlign w:val="superscript"/>
              </w:rPr>
              <w:t>3</w:t>
            </w:r>
            <w:r>
              <w:rPr>
                <w:rFonts w:hint="eastAsia"/>
                <w:b/>
                <w:bCs/>
                <w:u w:val="single"/>
              </w:rPr>
              <w:t>/s；最大年畅流期平均流量为570m</w:t>
            </w:r>
            <w:r>
              <w:rPr>
                <w:rFonts w:hint="eastAsia"/>
                <w:b/>
                <w:bCs/>
                <w:u w:val="single"/>
                <w:vertAlign w:val="superscript"/>
              </w:rPr>
              <w:t>3</w:t>
            </w:r>
            <w:r>
              <w:rPr>
                <w:rFonts w:hint="eastAsia"/>
                <w:b/>
                <w:bCs/>
                <w:u w:val="single"/>
              </w:rPr>
              <w:t>/s。</w:t>
            </w:r>
          </w:p>
          <w:p w14:paraId="67644C8F">
            <w:pPr>
              <w:spacing w:line="360" w:lineRule="auto"/>
              <w:ind w:firstLine="482" w:firstLineChars="200"/>
              <w:rPr>
                <w:b/>
                <w:bCs/>
                <w:u w:val="single"/>
              </w:rPr>
            </w:pPr>
            <w:r>
              <w:rPr>
                <w:rFonts w:hint="eastAsia"/>
                <w:b/>
                <w:bCs/>
                <w:u w:val="single"/>
              </w:rPr>
              <w:t>基于MIKE21 HD模块建立河道的平面二维水动力模型，为了水流计算稳定，选取码头上下游各1.5km长度范围建立水动力数值模型，并沿河道上游至下游设置了6个断面进行水位和流速的变化监测。</w:t>
            </w:r>
          </w:p>
          <w:p w14:paraId="7F3D5D6D">
            <w:pPr>
              <w:spacing w:line="360" w:lineRule="auto"/>
              <w:ind w:firstLine="482" w:firstLineChars="200"/>
              <w:rPr>
                <w:b/>
                <w:bCs/>
                <w:u w:val="single"/>
              </w:rPr>
            </w:pPr>
            <w:r>
              <w:rPr>
                <w:rFonts w:hint="eastAsia"/>
                <w:b/>
                <w:bCs/>
                <w:u w:val="single"/>
              </w:rPr>
              <w:t>本项目方案实施前，在河道内进行了流量和流速的现场观测。针对观测流量为Q=200m</w:t>
            </w:r>
            <w:r>
              <w:rPr>
                <w:rFonts w:hint="eastAsia"/>
                <w:b/>
                <w:bCs/>
                <w:u w:val="single"/>
                <w:vertAlign w:val="superscript"/>
              </w:rPr>
              <w:t>3</w:t>
            </w:r>
            <w:r>
              <w:rPr>
                <w:rFonts w:hint="eastAsia"/>
                <w:b/>
                <w:bCs/>
                <w:u w:val="single"/>
              </w:rPr>
              <w:t>/s的工况进行河道水流模拟。码头正前方断面#4和#5最大流速分别为2.1m/s和2.5 m/s，平均值为2.3m/s，与实测码头前沿的最大流速2.3m/s吻合。河道内速度分布结果如下图所示：</w:t>
            </w:r>
          </w:p>
          <w:p w14:paraId="62842CA4">
            <w:pPr>
              <w:spacing w:line="360" w:lineRule="auto"/>
            </w:pPr>
            <w:r>
              <w:drawing>
                <wp:inline distT="0" distB="0" distL="0" distR="0">
                  <wp:extent cx="4845050" cy="3601085"/>
                  <wp:effectExtent l="0" t="0" r="0" b="0"/>
                  <wp:docPr id="20005264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2645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52500" cy="3607220"/>
                          </a:xfrm>
                          <a:prstGeom prst="rect">
                            <a:avLst/>
                          </a:prstGeom>
                          <a:noFill/>
                          <a:ln>
                            <a:noFill/>
                          </a:ln>
                        </pic:spPr>
                      </pic:pic>
                    </a:graphicData>
                  </a:graphic>
                </wp:inline>
              </w:drawing>
            </w:r>
          </w:p>
          <w:p w14:paraId="64F84ADC">
            <w:pPr>
              <w:spacing w:line="360" w:lineRule="auto"/>
              <w:rPr>
                <w:b/>
                <w:bCs/>
                <w:u w:val="single"/>
              </w:rPr>
            </w:pPr>
            <w:r>
              <w:rPr>
                <w:rFonts w:hint="eastAsia"/>
                <w:b/>
                <w:bCs/>
                <w:u w:val="single"/>
              </w:rPr>
              <w:t>图10   河道数值模型示意图（a）断面位置，（b）速度场（Q=200 m</w:t>
            </w:r>
            <w:r>
              <w:rPr>
                <w:rFonts w:hint="eastAsia"/>
                <w:b/>
                <w:bCs/>
                <w:u w:val="single"/>
                <w:vertAlign w:val="superscript"/>
              </w:rPr>
              <w:t>3</w:t>
            </w:r>
            <w:r>
              <w:rPr>
                <w:rFonts w:hint="eastAsia"/>
                <w:b/>
                <w:bCs/>
                <w:u w:val="single"/>
              </w:rPr>
              <w:t>/s）</w:t>
            </w:r>
          </w:p>
          <w:p w14:paraId="295A4B5D">
            <w:pPr>
              <w:spacing w:line="360" w:lineRule="auto"/>
              <w:ind w:firstLine="482" w:firstLineChars="200"/>
              <w:rPr>
                <w:b/>
                <w:bCs/>
                <w:u w:val="single"/>
              </w:rPr>
            </w:pPr>
            <w:r>
              <w:rPr>
                <w:rFonts w:hint="eastAsia"/>
                <w:b/>
                <w:bCs/>
                <w:u w:val="single"/>
              </w:rPr>
              <w:t>码头修建前后的断面流速也发生了较大变化，尤其是与码头比较靠近的断面#2~#5。在断面#2处流速发生了一定的增大，主要由于修建的码头减小了河道的宽度，而此处水深没有发生变化，故总的过流断面发生了减小。断面#4位于码头的正中间位置，流速由原来的最大2.1m/s，降低为码头修建之后的1.2m/s。这是由于码头前方的回旋水域进行了开挖的原因，尽管码头修建降低了河道的宽度，但是总的过流断面仍然增大，故码头正前方的最大流速发生较大程度的降低。此外，在距离码头较远的2个断面，即#1和#6处的最大流速都没有发生变化，表明码头修建之后对于整体河道的水流影响很小，仅限于码头局部范围。</w:t>
            </w:r>
          </w:p>
          <w:p w14:paraId="7A134BC8">
            <w:pPr>
              <w:spacing w:line="360" w:lineRule="auto"/>
              <w:ind w:firstLine="482" w:firstLineChars="200"/>
              <w:rPr>
                <w:b/>
                <w:bCs/>
                <w:u w:val="single"/>
              </w:rPr>
            </w:pPr>
            <w:r>
              <w:rPr>
                <w:rFonts w:hint="eastAsia"/>
                <w:b/>
                <w:bCs/>
                <w:u w:val="single"/>
              </w:rPr>
              <w:t>针对不同的设计流量分别进行了河道水流模拟，包括多年畅流期平均流量、最大年畅流期平均流量、2年一遇洪水流量、5年一遇洪水流量、10年一遇洪水流量。通过计算表明，码头的修建可以一定程度上降低断面#4处的水位，而且河道流量越小，码头工程对于水位的影响越明显。当河道流量在多年畅流期日平均流量（276m</w:t>
            </w:r>
            <w:r>
              <w:rPr>
                <w:rFonts w:hint="eastAsia"/>
                <w:b/>
                <w:bCs/>
                <w:u w:val="single"/>
                <w:vertAlign w:val="superscript"/>
              </w:rPr>
              <w:t>3</w:t>
            </w:r>
            <w:r>
              <w:rPr>
                <w:rFonts w:hint="eastAsia"/>
                <w:b/>
                <w:bCs/>
                <w:u w:val="single"/>
              </w:rPr>
              <w:t>/s）、最大年畅流期平均流量（570 m</w:t>
            </w:r>
            <w:r>
              <w:rPr>
                <w:rFonts w:hint="eastAsia"/>
                <w:b/>
                <w:bCs/>
                <w:u w:val="single"/>
                <w:vertAlign w:val="superscript"/>
              </w:rPr>
              <w:t>3</w:t>
            </w:r>
            <w:r>
              <w:rPr>
                <w:rFonts w:hint="eastAsia"/>
                <w:b/>
                <w:bCs/>
                <w:u w:val="single"/>
              </w:rPr>
              <w:t>/s）时，码头建设前后水位差-0.26m、-0.11m，当河道流量大于最大年畅流期平均流量（Q &gt; 570m</w:t>
            </w:r>
            <w:r>
              <w:rPr>
                <w:rFonts w:hint="eastAsia"/>
                <w:b/>
                <w:bCs/>
                <w:u w:val="single"/>
                <w:vertAlign w:val="superscript"/>
              </w:rPr>
              <w:t>3</w:t>
            </w:r>
            <w:r>
              <w:rPr>
                <w:rFonts w:hint="eastAsia"/>
                <w:b/>
                <w:bCs/>
                <w:u w:val="single"/>
              </w:rPr>
              <w:t>/s）时，码头工程基本不会对水位产生影响。</w:t>
            </w:r>
          </w:p>
          <w:p w14:paraId="1523BD99">
            <w:pPr>
              <w:spacing w:line="360" w:lineRule="auto"/>
              <w:ind w:firstLine="482" w:firstLineChars="200"/>
            </w:pPr>
            <w:r>
              <w:rPr>
                <w:rFonts w:hint="eastAsia"/>
                <w:b/>
                <w:bCs/>
                <w:u w:val="single"/>
              </w:rPr>
              <w:t>总体而言，本项目建设对于码头前沿的流速具有一定降低作用，尤其是在正常流量情况下；而在洪水流量情况下则对速度的影响不明显，这与断面水位变化趋势相同。码头前沿河道的开挖增加了过流断面的面积，在流量较小的情况下，码头工程的影响更加明显；而在洪水流量下，过流断面的影响可以基本被忽略。总体上来看，码头修建后，码头前沿的水深整体增加了，且最大流速发生了一定的降低，而洪水期的水位和流速基本没有变化。由于畅流期此种水文情势变化仅限于本码头工程范围，故不会对鸭绿江整体水文情势造成影响。</w:t>
            </w:r>
          </w:p>
          <w:p w14:paraId="4FC9BE6E">
            <w:pPr>
              <w:spacing w:line="360" w:lineRule="auto"/>
              <w:ind w:firstLine="480" w:firstLineChars="200"/>
            </w:pPr>
            <w:r>
              <w:rPr>
                <w:rFonts w:hint="eastAsia"/>
              </w:rPr>
              <w:t>（4）运营期冲淤变化预测</w:t>
            </w:r>
          </w:p>
          <w:p w14:paraId="362ED1E7">
            <w:pPr>
              <w:spacing w:line="360" w:lineRule="auto"/>
              <w:ind w:firstLine="480" w:firstLineChars="200"/>
            </w:pPr>
            <w:r>
              <w:rPr>
                <w:rFonts w:hint="eastAsia"/>
              </w:rPr>
              <w:t>①泥沙启动流量</w:t>
            </w:r>
          </w:p>
          <w:p w14:paraId="2831AB7B">
            <w:pPr>
              <w:spacing w:line="360" w:lineRule="auto"/>
              <w:ind w:firstLine="480" w:firstLineChars="200"/>
            </w:pPr>
            <w:r>
              <w:rPr>
                <w:rFonts w:hint="eastAsia"/>
              </w:rPr>
              <w:t>根据河道流量及流速数据，建立相应的数值模型模拟泥沙启动流量。取中值粒径D50=40mm计算15天，得到其最大启动流量Q=650m</w:t>
            </w:r>
            <w:r>
              <w:rPr>
                <w:rFonts w:hint="eastAsia"/>
                <w:vertAlign w:val="superscript"/>
              </w:rPr>
              <w:t>3</w:t>
            </w:r>
            <w:r>
              <w:rPr>
                <w:rFonts w:hint="eastAsia"/>
              </w:rPr>
              <w:t>/s。结果表明：当流量为Q=650m</w:t>
            </w:r>
            <w:r>
              <w:rPr>
                <w:rFonts w:hint="eastAsia"/>
                <w:vertAlign w:val="superscript"/>
              </w:rPr>
              <w:t>3</w:t>
            </w:r>
            <w:r>
              <w:rPr>
                <w:rFonts w:hint="eastAsia"/>
              </w:rPr>
              <w:t>/s时，可以引起河段内局部泥沙颗粒的起动，但是河床变化量极小，仅在所见码头区域的上游个别点处，15天的变化量约为6mm；整体河道内河床未发生明显改变。</w:t>
            </w:r>
          </w:p>
          <w:p w14:paraId="6586DE3A">
            <w:pPr>
              <w:spacing w:line="360" w:lineRule="auto"/>
              <w:ind w:firstLine="480" w:firstLineChars="200"/>
            </w:pPr>
            <w:r>
              <w:rPr>
                <w:rFonts w:hint="eastAsia"/>
              </w:rPr>
              <w:t>②洪水流量下冲淤变化</w:t>
            </w:r>
          </w:p>
          <w:p w14:paraId="5337199E">
            <w:pPr>
              <w:spacing w:line="360" w:lineRule="auto"/>
              <w:ind w:firstLine="480" w:firstLineChars="200"/>
            </w:pPr>
            <w:r>
              <w:rPr>
                <w:rFonts w:hint="eastAsia"/>
              </w:rPr>
              <w:t>对不同的设计洪水流量下的河床演变进行模拟，计算包括：2年一遇流量Q=1490m</w:t>
            </w:r>
            <w:r>
              <w:rPr>
                <w:rFonts w:hint="eastAsia"/>
                <w:vertAlign w:val="superscript"/>
              </w:rPr>
              <w:t>3</w:t>
            </w:r>
            <w:r>
              <w:rPr>
                <w:rFonts w:hint="eastAsia"/>
              </w:rPr>
              <w:t>/s；5年一遇流量Q=2910m</w:t>
            </w:r>
            <w:r>
              <w:rPr>
                <w:rFonts w:hint="eastAsia"/>
                <w:vertAlign w:val="superscript"/>
              </w:rPr>
              <w:t>3</w:t>
            </w:r>
            <w:r>
              <w:rPr>
                <w:rFonts w:hint="eastAsia"/>
              </w:rPr>
              <w:t>/s和10年一遇流量Q=3730m</w:t>
            </w:r>
            <w:r>
              <w:rPr>
                <w:rFonts w:hint="eastAsia"/>
                <w:vertAlign w:val="superscript"/>
              </w:rPr>
              <w:t>3</w:t>
            </w:r>
            <w:r>
              <w:rPr>
                <w:rFonts w:hint="eastAsia"/>
              </w:rPr>
              <w:t>/s，三组算例，分别给出特征断面内的河道高程变化，以及码头段的河道高程变化分布。</w:t>
            </w:r>
          </w:p>
          <w:p w14:paraId="4D434711">
            <w:pPr>
              <w:spacing w:line="360" w:lineRule="auto"/>
              <w:ind w:firstLine="480" w:firstLineChars="200"/>
            </w:pPr>
            <w:r>
              <w:rPr>
                <w:rFonts w:hint="eastAsia"/>
              </w:rPr>
              <w:t>假设每次洪水持续时间为3天，模型预测了10～15年内的河道高程变化，分别利用2年一遇流量连续模拟15天，利用5年一遇洪水流量连续模拟10天，以及10年一遇洪水流量连续模拟5天。</w:t>
            </w:r>
          </w:p>
          <w:p w14:paraId="08F2C204">
            <w:pPr>
              <w:spacing w:line="360" w:lineRule="auto"/>
              <w:ind w:firstLine="480" w:firstLineChars="200"/>
            </w:pPr>
            <w:r>
              <w:rPr>
                <w:rFonts w:hint="eastAsia"/>
              </w:rPr>
              <w:t>A. 2年一遇洪水流量Q=1490m</w:t>
            </w:r>
            <w:r>
              <w:rPr>
                <w:rFonts w:hint="eastAsia"/>
                <w:vertAlign w:val="superscript"/>
              </w:rPr>
              <w:t>3</w:t>
            </w:r>
            <w:r>
              <w:rPr>
                <w:rFonts w:hint="eastAsia"/>
              </w:rPr>
              <w:t>/s</w:t>
            </w:r>
          </w:p>
          <w:p w14:paraId="51C090B6">
            <w:pPr>
              <w:spacing w:line="360" w:lineRule="auto"/>
              <w:ind w:firstLine="480" w:firstLineChars="200"/>
            </w:pPr>
            <w:r>
              <w:rPr>
                <w:rFonts w:hint="eastAsia"/>
              </w:rPr>
              <w:t>利用2年一遇流量连续模拟15天，得到河道的高程变化。整个河段内的最大冲刷量约为0.4m，最大淤积量约为0.3m。在码头前方的河道内为冲刷状态，最大冲刷深度约为0.4m左右，在回旋水域的上游区域，为淤积状态，最大淤积量为0.4m左右，回旋水域的下游边缘处也存在一定的淤积，最大值约为0.2m。但是整个回旋水域主体区域河床高程未发生改变。</w:t>
            </w:r>
          </w:p>
          <w:p w14:paraId="6D4C570B">
            <w:pPr>
              <w:spacing w:line="360" w:lineRule="auto"/>
            </w:pPr>
            <w:r>
              <w:drawing>
                <wp:inline distT="0" distB="0" distL="0" distR="0">
                  <wp:extent cx="4838700" cy="3496310"/>
                  <wp:effectExtent l="0" t="0" r="0" b="8890"/>
                  <wp:docPr id="506066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6682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65627" cy="3515952"/>
                          </a:xfrm>
                          <a:prstGeom prst="rect">
                            <a:avLst/>
                          </a:prstGeom>
                          <a:noFill/>
                          <a:ln>
                            <a:noFill/>
                          </a:ln>
                        </pic:spPr>
                      </pic:pic>
                    </a:graphicData>
                  </a:graphic>
                </wp:inline>
              </w:drawing>
            </w:r>
          </w:p>
          <w:p w14:paraId="3A458DF5">
            <w:pPr>
              <w:spacing w:line="360" w:lineRule="auto"/>
              <w:jc w:val="center"/>
              <w:rPr>
                <w:b/>
                <w:bCs/>
              </w:rPr>
            </w:pPr>
            <w:r>
              <w:rPr>
                <w:rFonts w:hint="eastAsia"/>
                <w:b/>
                <w:bCs/>
              </w:rPr>
              <w:t>图10    码头修建前后工程河段河床变化情况（Q=1490m</w:t>
            </w:r>
            <w:r>
              <w:rPr>
                <w:rFonts w:hint="eastAsia"/>
                <w:b/>
                <w:bCs/>
                <w:vertAlign w:val="superscript"/>
              </w:rPr>
              <w:t>3</w:t>
            </w:r>
            <w:r>
              <w:rPr>
                <w:rFonts w:hint="eastAsia"/>
                <w:b/>
                <w:bCs/>
              </w:rPr>
              <w:t>/s15天后）</w:t>
            </w:r>
          </w:p>
          <w:p w14:paraId="46C69A51">
            <w:pPr>
              <w:spacing w:line="360" w:lineRule="auto"/>
              <w:ind w:firstLine="480" w:firstLineChars="200"/>
            </w:pPr>
            <w:r>
              <w:rPr>
                <w:rFonts w:hint="eastAsia"/>
              </w:rPr>
              <w:t>B. 5 年一遇洪水流量Q=2910m</w:t>
            </w:r>
            <w:r>
              <w:rPr>
                <w:rFonts w:hint="eastAsia"/>
                <w:vertAlign w:val="superscript"/>
              </w:rPr>
              <w:t>3</w:t>
            </w:r>
            <w:r>
              <w:rPr>
                <w:rFonts w:hint="eastAsia"/>
              </w:rPr>
              <w:t>/s</w:t>
            </w:r>
          </w:p>
          <w:p w14:paraId="246E5334">
            <w:pPr>
              <w:spacing w:line="360" w:lineRule="auto"/>
              <w:ind w:firstLine="480" w:firstLineChars="200"/>
            </w:pPr>
            <w:r>
              <w:rPr>
                <w:rFonts w:hint="eastAsia"/>
              </w:rPr>
              <w:t>利用5年一遇流量连续模拟10天，代表15年的变化情况，得到河道的高程变化。整个河段内的最大冲刷量约为0.6m，最大淤积量约为0.6m。在码头前方的河道中泓线附近为冲刷状态，最大冲刷深度约为0.6m左右，在回旋水域的上游区域，为淤积状态，最大淤积量为0.55m左右，回旋水域的下游边缘处也存在一定的淤积，最大值约为0.55m。但是整个回旋水域主体区域河床高程未发生改变。</w:t>
            </w:r>
          </w:p>
          <w:p w14:paraId="79519FDB">
            <w:pPr>
              <w:spacing w:line="360" w:lineRule="auto"/>
            </w:pPr>
            <w:r>
              <w:rPr>
                <w:rFonts w:hint="eastAsia"/>
              </w:rPr>
              <w:drawing>
                <wp:inline distT="0" distB="0" distL="0" distR="0">
                  <wp:extent cx="4881880" cy="3525520"/>
                  <wp:effectExtent l="0" t="0" r="0" b="0"/>
                  <wp:docPr id="8121148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1487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92092" cy="3533112"/>
                          </a:xfrm>
                          <a:prstGeom prst="rect">
                            <a:avLst/>
                          </a:prstGeom>
                          <a:noFill/>
                          <a:ln>
                            <a:noFill/>
                          </a:ln>
                        </pic:spPr>
                      </pic:pic>
                    </a:graphicData>
                  </a:graphic>
                </wp:inline>
              </w:drawing>
            </w:r>
          </w:p>
          <w:p w14:paraId="3095461A">
            <w:pPr>
              <w:spacing w:line="360" w:lineRule="auto"/>
              <w:jc w:val="center"/>
              <w:rPr>
                <w:b/>
                <w:bCs/>
              </w:rPr>
            </w:pPr>
            <w:r>
              <w:rPr>
                <w:rFonts w:hint="eastAsia"/>
                <w:b/>
                <w:bCs/>
              </w:rPr>
              <w:t>图11    码头修建前后工程河段河床变化情况（Q=2910m</w:t>
            </w:r>
            <w:r>
              <w:rPr>
                <w:rFonts w:hint="eastAsia"/>
                <w:b/>
                <w:bCs/>
                <w:vertAlign w:val="superscript"/>
              </w:rPr>
              <w:t>3</w:t>
            </w:r>
            <w:r>
              <w:rPr>
                <w:rFonts w:hint="eastAsia"/>
                <w:b/>
                <w:bCs/>
              </w:rPr>
              <w:t>/s10天后）</w:t>
            </w:r>
          </w:p>
          <w:p w14:paraId="7FFEBFF9">
            <w:pPr>
              <w:spacing w:line="360" w:lineRule="auto"/>
              <w:ind w:firstLine="480" w:firstLineChars="200"/>
            </w:pPr>
          </w:p>
          <w:p w14:paraId="666B3D83">
            <w:pPr>
              <w:spacing w:line="360" w:lineRule="auto"/>
              <w:ind w:firstLine="480" w:firstLineChars="200"/>
            </w:pPr>
            <w:r>
              <w:rPr>
                <w:rFonts w:hint="eastAsia"/>
              </w:rPr>
              <w:t>C. 10年一遇洪水流量Q=3730m</w:t>
            </w:r>
            <w:r>
              <w:rPr>
                <w:rFonts w:hint="eastAsia"/>
                <w:vertAlign w:val="superscript"/>
              </w:rPr>
              <w:t>3</w:t>
            </w:r>
            <w:r>
              <w:rPr>
                <w:rFonts w:hint="eastAsia"/>
              </w:rPr>
              <w:t>/s</w:t>
            </w:r>
          </w:p>
          <w:p w14:paraId="3B74D26C">
            <w:pPr>
              <w:spacing w:line="360" w:lineRule="auto"/>
              <w:ind w:firstLine="480" w:firstLineChars="200"/>
            </w:pPr>
            <w:r>
              <w:rPr>
                <w:rFonts w:hint="eastAsia"/>
              </w:rPr>
              <w:t>利用10年一遇流量连续模拟5天，代表15年的变化情况，得到河道的高程变化。整个河段内的最大冲刷量约为0.7m，最大淤积量约为0.7m。在码头上下游的河道中泓线附近为冲刷状态，最大冲刷深度约为0.7m左右，在码头正前方的河道中泓线也为冲刷状态，最大冲刷量约为0.2m。在回旋水域的上游区域，为淤积状态，最大淤积量为0.57m左右，回旋水域的下游边缘处也存在一定的淤积，最大值约为0.57m。但是整个港池及回旋水域主体区域河床高程未发生改变。</w:t>
            </w:r>
          </w:p>
          <w:p w14:paraId="55716F99">
            <w:pPr>
              <w:spacing w:line="360" w:lineRule="auto"/>
            </w:pPr>
            <w:r>
              <w:drawing>
                <wp:inline distT="0" distB="0" distL="0" distR="0">
                  <wp:extent cx="4872355" cy="3547745"/>
                  <wp:effectExtent l="0" t="0" r="4445" b="0"/>
                  <wp:docPr id="9804847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84738"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77405" cy="3551474"/>
                          </a:xfrm>
                          <a:prstGeom prst="rect">
                            <a:avLst/>
                          </a:prstGeom>
                          <a:noFill/>
                          <a:ln>
                            <a:noFill/>
                          </a:ln>
                        </pic:spPr>
                      </pic:pic>
                    </a:graphicData>
                  </a:graphic>
                </wp:inline>
              </w:drawing>
            </w:r>
          </w:p>
          <w:p w14:paraId="765290CF">
            <w:pPr>
              <w:spacing w:line="360" w:lineRule="auto"/>
              <w:jc w:val="center"/>
              <w:rPr>
                <w:b/>
                <w:bCs/>
              </w:rPr>
            </w:pPr>
            <w:r>
              <w:rPr>
                <w:rFonts w:hint="eastAsia"/>
                <w:b/>
                <w:bCs/>
              </w:rPr>
              <w:t>图12    码头修建前后工程河段河床变化情况（Q=3730m</w:t>
            </w:r>
            <w:r>
              <w:rPr>
                <w:rFonts w:hint="eastAsia"/>
                <w:b/>
                <w:bCs/>
                <w:vertAlign w:val="superscript"/>
              </w:rPr>
              <w:t>3</w:t>
            </w:r>
            <w:r>
              <w:rPr>
                <w:rFonts w:hint="eastAsia"/>
                <w:b/>
                <w:bCs/>
              </w:rPr>
              <w:t>/s，5天后）</w:t>
            </w:r>
          </w:p>
          <w:p w14:paraId="4ED87822">
            <w:pPr>
              <w:spacing w:line="360" w:lineRule="auto"/>
              <w:ind w:firstLine="480" w:firstLineChars="200"/>
            </w:pPr>
          </w:p>
          <w:p w14:paraId="59727E39">
            <w:pPr>
              <w:spacing w:line="360" w:lineRule="auto"/>
              <w:ind w:firstLine="480" w:firstLineChars="200"/>
            </w:pPr>
            <w:r>
              <w:rPr>
                <w:rFonts w:hint="eastAsia"/>
              </w:rPr>
              <w:t>综合上述计算内容，工程所在河段河床多年来处于相对稳定状态，河床断面变化较小，河床主要以卵石为主，一般粒径约2—8cm，河床淤积主要发生在码头上游段。工程实施后不会因泥沙淤积对河势产生较大影响。</w:t>
            </w:r>
          </w:p>
          <w:p w14:paraId="1E376F4D">
            <w:pPr>
              <w:spacing w:line="360" w:lineRule="auto"/>
              <w:ind w:firstLine="480" w:firstLineChars="200"/>
            </w:pPr>
            <w:r>
              <w:rPr>
                <w:rFonts w:hint="eastAsia"/>
              </w:rPr>
              <w:t>2、运营期环境空气影响分析</w:t>
            </w:r>
          </w:p>
          <w:p w14:paraId="041CF5D3">
            <w:pPr>
              <w:spacing w:line="360" w:lineRule="auto"/>
              <w:ind w:firstLine="480" w:firstLineChars="200"/>
            </w:pPr>
            <w:r>
              <w:rPr>
                <w:rFonts w:hint="eastAsia"/>
              </w:rPr>
              <w:t>本项目运营期废气主要包括：来往船舶燃油废气、维修废气、疏浚物堆放扬尘以及食堂油烟。</w:t>
            </w:r>
          </w:p>
          <w:p w14:paraId="72F261CF">
            <w:pPr>
              <w:spacing w:line="360" w:lineRule="auto"/>
              <w:ind w:firstLine="480" w:firstLineChars="200"/>
            </w:pPr>
            <w:r>
              <w:rPr>
                <w:rFonts w:hint="eastAsia"/>
              </w:rPr>
              <w:t>（1）来往船舶燃油废气</w:t>
            </w:r>
          </w:p>
          <w:p w14:paraId="6DEB646B">
            <w:pPr>
              <w:spacing w:line="360" w:lineRule="auto"/>
              <w:ind w:firstLine="480" w:firstLineChars="200"/>
            </w:pPr>
            <w:r>
              <w:rPr>
                <w:rFonts w:hint="eastAsia"/>
              </w:rPr>
              <w:t>根据设计船型资料，本项目码头靠泊的工作船全部为小型船舶，使用汽油或轻柴油作为燃料，船舶发动机燃油废气中主要包括SO</w:t>
            </w:r>
            <w:r>
              <w:rPr>
                <w:rFonts w:hint="eastAsia"/>
                <w:vertAlign w:val="subscript"/>
              </w:rPr>
              <w:t>2</w:t>
            </w:r>
            <w:r>
              <w:rPr>
                <w:rFonts w:hint="eastAsia"/>
              </w:rPr>
              <w:t>、CO、THC、NOx 等污染物，由于发动机功率较小，废气产生量较小，同时排放源具有间歇性和流动性，且污染物为露天排放，有利于空气的扩散，污染物经大气扩散和稀释后，对局部地区的环境影响较小。</w:t>
            </w:r>
          </w:p>
          <w:p w14:paraId="765DF63C">
            <w:pPr>
              <w:spacing w:line="360" w:lineRule="auto"/>
              <w:ind w:firstLine="480" w:firstLineChars="200"/>
            </w:pPr>
            <w:r>
              <w:rPr>
                <w:rFonts w:hint="eastAsia"/>
              </w:rPr>
              <w:t>（2）维修废气</w:t>
            </w:r>
          </w:p>
          <w:p w14:paraId="35EF2C8F">
            <w:pPr>
              <w:spacing w:line="360" w:lineRule="auto"/>
              <w:ind w:firstLine="480" w:firstLineChars="200"/>
            </w:pPr>
            <w:r>
              <w:rPr>
                <w:rFonts w:hint="eastAsia"/>
              </w:rPr>
              <w:t>本项目运营期船台还用于航标维修，配备电焊机2台，氧气乙炔切割机2台，对破损的钢质岸标进行简单的切割和焊接，不涉及涂装作业。船标维修过程中将产生少量焊接烟尘、切割废气。</w:t>
            </w:r>
          </w:p>
          <w:p w14:paraId="5E19C411">
            <w:pPr>
              <w:spacing w:line="360" w:lineRule="auto"/>
              <w:ind w:firstLine="480" w:firstLineChars="200"/>
            </w:pPr>
            <w:r>
              <w:rPr>
                <w:rFonts w:hint="eastAsia"/>
              </w:rPr>
              <w:t>焊接烟尘主要来自焊丝，焊接烟尘中的主要成分是铁、锰、硅等氧化物。焊接烟尘是由金属及非金属物质在过热条件下产生的蒸气经氧化和冷凝而形成的，是焊接烟和焊接粉尘的统称，直径小于0.1μm为烟，直径在0.1-10μm之间的为粉尘，是一种十分复杂的物质。焊接烟尘中的有害物质主要为Fe</w:t>
            </w:r>
            <w:r>
              <w:rPr>
                <w:rFonts w:hint="eastAsia"/>
                <w:vertAlign w:val="subscript"/>
              </w:rPr>
              <w:t>2</w:t>
            </w:r>
            <w:r>
              <w:rPr>
                <w:rFonts w:hint="eastAsia"/>
              </w:rPr>
              <w:t>O</w:t>
            </w:r>
            <w:r>
              <w:rPr>
                <w:rFonts w:hint="eastAsia"/>
                <w:vertAlign w:val="subscript"/>
              </w:rPr>
              <w:t>3</w:t>
            </w:r>
            <w:r>
              <w:rPr>
                <w:rFonts w:hint="eastAsia"/>
              </w:rPr>
              <w:t>、SiO</w:t>
            </w:r>
            <w:r>
              <w:rPr>
                <w:rFonts w:hint="eastAsia"/>
                <w:vertAlign w:val="subscript"/>
              </w:rPr>
              <w:t>2</w:t>
            </w:r>
            <w:r>
              <w:rPr>
                <w:rFonts w:hint="eastAsia"/>
              </w:rPr>
              <w:t>、MnO</w:t>
            </w:r>
            <w:r>
              <w:rPr>
                <w:rFonts w:hint="eastAsia"/>
                <w:vertAlign w:val="subscript"/>
              </w:rPr>
              <w:t>2</w:t>
            </w:r>
            <w:r>
              <w:rPr>
                <w:rFonts w:hint="eastAsia"/>
              </w:rPr>
              <w:t>、HF等，其中含量最多的为Fe</w:t>
            </w:r>
            <w:r>
              <w:rPr>
                <w:rFonts w:hint="eastAsia"/>
                <w:vertAlign w:val="subscript"/>
              </w:rPr>
              <w:t>2</w:t>
            </w:r>
            <w:r>
              <w:rPr>
                <w:rFonts w:hint="eastAsia"/>
              </w:rPr>
              <w:t>O</w:t>
            </w:r>
            <w:r>
              <w:rPr>
                <w:rFonts w:hint="eastAsia"/>
                <w:vertAlign w:val="subscript"/>
              </w:rPr>
              <w:t>3</w:t>
            </w:r>
            <w:r>
              <w:rPr>
                <w:rFonts w:hint="eastAsia"/>
              </w:rPr>
              <w:t>，一般占烟尘总量的35.56%，其次为SiO</w:t>
            </w:r>
            <w:r>
              <w:rPr>
                <w:rFonts w:hint="eastAsia"/>
                <w:vertAlign w:val="subscript"/>
              </w:rPr>
              <w:t>2</w:t>
            </w:r>
            <w:r>
              <w:rPr>
                <w:rFonts w:hint="eastAsia"/>
              </w:rPr>
              <w:t>，占10—20%，MnO</w:t>
            </w:r>
            <w:r>
              <w:rPr>
                <w:rFonts w:hint="eastAsia"/>
                <w:vertAlign w:val="subscript"/>
              </w:rPr>
              <w:t>2</w:t>
            </w:r>
            <w:r>
              <w:rPr>
                <w:rFonts w:hint="eastAsia"/>
              </w:rPr>
              <w:t>占5—20%左右。</w:t>
            </w:r>
          </w:p>
          <w:p w14:paraId="3407DD0A">
            <w:pPr>
              <w:spacing w:line="360" w:lineRule="auto"/>
              <w:ind w:firstLine="480" w:firstLineChars="200"/>
            </w:pPr>
            <w:r>
              <w:rPr>
                <w:rFonts w:hint="eastAsia"/>
              </w:rPr>
              <w:t>切割废气中主要污染物包括：颗粒物。乙炔切割过程中被切割位置的受热金属熔化，由于局部的高温作用部分金属离子直接以气态形式进入空气中或者被熔化金属中杂质燃烧产生的气体（如</w:t>
            </w:r>
            <w:r>
              <w:t xml:space="preserve">C </w:t>
            </w:r>
            <w:r>
              <w:rPr>
                <w:rFonts w:hint="eastAsia"/>
              </w:rPr>
              <w:t>燃烧产生的</w:t>
            </w:r>
            <w:r>
              <w:t>CO</w:t>
            </w:r>
            <w:r>
              <w:rPr>
                <w:vertAlign w:val="subscript"/>
              </w:rPr>
              <w:t>2</w:t>
            </w:r>
            <w:r>
              <w:rPr>
                <w:rFonts w:hint="eastAsia"/>
              </w:rPr>
              <w:t>）带入到空气中，金属离子空气中随即冷却形成颗粒物，根据被切割件的性质特点，本项目切割烟尘主要成份为金属颗粒物（</w:t>
            </w:r>
            <w:r>
              <w:t>Fe</w:t>
            </w:r>
            <w:r>
              <w:rPr>
                <w:vertAlign w:val="subscript"/>
              </w:rPr>
              <w:t>2</w:t>
            </w:r>
            <w:r>
              <w:t>O</w:t>
            </w:r>
            <w:r>
              <w:rPr>
                <w:vertAlign w:val="subscript"/>
              </w:rPr>
              <w:t>3</w:t>
            </w:r>
            <w:r>
              <w:rPr>
                <w:rFonts w:hint="eastAsia"/>
              </w:rPr>
              <w:t>、</w:t>
            </w:r>
            <w:r>
              <w:t>FeO</w:t>
            </w:r>
            <w:r>
              <w:rPr>
                <w:vertAlign w:val="subscript"/>
              </w:rPr>
              <w:t>2</w:t>
            </w:r>
            <w:r>
              <w:rPr>
                <w:rFonts w:hint="eastAsia"/>
              </w:rPr>
              <w:t>、</w:t>
            </w:r>
            <w:r>
              <w:t>MnO</w:t>
            </w:r>
            <w:r>
              <w:rPr>
                <w:vertAlign w:val="subscript"/>
              </w:rPr>
              <w:t>2</w:t>
            </w:r>
            <w:r>
              <w:rPr>
                <w:rFonts w:hint="eastAsia"/>
              </w:rPr>
              <w:t>、</w:t>
            </w:r>
            <w:r>
              <w:t>SiO</w:t>
            </w:r>
            <w:r>
              <w:rPr>
                <w:vertAlign w:val="subscript"/>
              </w:rPr>
              <w:t>2</w:t>
            </w:r>
            <w:r>
              <w:rPr>
                <w:rFonts w:hint="eastAsia"/>
              </w:rPr>
              <w:t>）等。根据《焊接工作的劳动保护》，</w:t>
            </w:r>
            <w:r>
              <w:t>“</w:t>
            </w:r>
            <w:r>
              <w:rPr>
                <w:rFonts w:hint="eastAsia"/>
              </w:rPr>
              <w:t>氧－乙炔切割</w:t>
            </w:r>
            <w:r>
              <w:t>”</w:t>
            </w:r>
            <w:r>
              <w:rPr>
                <w:rFonts w:hint="eastAsia"/>
              </w:rPr>
              <w:t>施焊时发尘量为</w:t>
            </w:r>
            <w:r>
              <w:t>40</w:t>
            </w:r>
            <w:r>
              <w:rPr>
                <w:rFonts w:hint="eastAsia"/>
              </w:rPr>
              <w:t>～</w:t>
            </w:r>
            <w:r>
              <w:t>80mg/min</w:t>
            </w:r>
            <w:r>
              <w:rPr>
                <w:rFonts w:hint="eastAsia"/>
              </w:rPr>
              <w:t>。</w:t>
            </w:r>
          </w:p>
          <w:p w14:paraId="44F17731">
            <w:pPr>
              <w:spacing w:line="360" w:lineRule="auto"/>
              <w:ind w:firstLine="480" w:firstLineChars="200"/>
            </w:pPr>
            <w:r>
              <w:rPr>
                <w:rFonts w:hint="eastAsia"/>
              </w:rPr>
              <w:t>由于鸭绿江临江分局年度最大布标数量较少，共19座，故需进行维修的航标维护数量少，且航标维修频率低，因此本项目运营期产生的焊接烟尘、切割废气量小，产生时长短，本项目采用低毒、环保型焊接材料，码头所处地形相对开阔，有利于空气的扩散，污染物经大气扩散和稀释后，对局部地区的环境影响有限，维修废气污染物（颗粒物）的排放情况满足《大气污染物综合排放标准》（GB 16297-1996）中厂界处无组织排放控制限值的要求。</w:t>
            </w:r>
          </w:p>
          <w:p w14:paraId="016EFE67">
            <w:pPr>
              <w:spacing w:line="360" w:lineRule="auto"/>
              <w:ind w:firstLine="482" w:firstLineChars="200"/>
              <w:rPr>
                <w:b/>
                <w:bCs/>
                <w:u w:val="single"/>
              </w:rPr>
            </w:pPr>
            <w:r>
              <w:rPr>
                <w:rFonts w:hint="eastAsia"/>
                <w:b/>
                <w:bCs/>
                <w:u w:val="single"/>
              </w:rPr>
              <w:t>（3）疏浚物堆放扬尘</w:t>
            </w:r>
          </w:p>
          <w:p w14:paraId="699C0B30">
            <w:pPr>
              <w:spacing w:line="360" w:lineRule="auto"/>
              <w:ind w:firstLine="482" w:firstLineChars="200"/>
            </w:pPr>
            <w:r>
              <w:rPr>
                <w:rFonts w:hint="eastAsia"/>
                <w:b/>
                <w:bCs/>
                <w:u w:val="single"/>
              </w:rPr>
              <w:t>本项目疏浚物于材料临时存放区暂存时将产生扬尘。鉴于本项目运营期疏浚物主要为卵石，存在少量中粗砂，可见疏浚物的粒径较大，相对不易起尘。而对于露天沙堆来说，一般认为，堆沙的启动风速为4.4m/s（50m高处），则其地面风速应为2.94m/s，临江市年平均风速1.5m/s，其中4月份平均风速最大，为2.0m/s，均小于启动风速，因此疏浚物在本项目临时存放区内暂存时的扬尘产生量较小，本次评价不进行扬尘的定量计算，仅进行定性分析。为了最大限度的降低扬尘对环境空气的影响，本次评价建议采取苫盖、围挡等方式进一步降低疏浚物暂存过程中的扬尘产生情况。经采取上述措施后，堆放扬尘排放情况能够满足《大气污染物综合排放标准》（GB 16297-1996）中厂界处无组织排放控制限值的要求。</w:t>
            </w:r>
          </w:p>
          <w:p w14:paraId="63F0E359">
            <w:pPr>
              <w:spacing w:line="360" w:lineRule="auto"/>
              <w:ind w:firstLine="480" w:firstLineChars="200"/>
            </w:pPr>
            <w:r>
              <w:rPr>
                <w:rFonts w:hint="eastAsia"/>
              </w:rPr>
              <w:t>（4）食堂油烟</w:t>
            </w:r>
          </w:p>
          <w:p w14:paraId="6F94413A">
            <w:pPr>
              <w:spacing w:line="360" w:lineRule="auto"/>
              <w:ind w:firstLine="480" w:firstLineChars="200"/>
            </w:pPr>
            <w:r>
              <w:rPr>
                <w:rFonts w:hint="eastAsia"/>
              </w:rPr>
              <w:t>本项目食堂设置一个标准灶头，按照服务人数14人计。食物在加工过程中挥发的油脂、有机质以及加热分解或裂解，从而产生油烟。根据有关部门的调查统计，本项目所在地区人均食用油消耗量为10kg/a·人，因此本项目食堂食用油消耗量约0.14t/a。炒菜时油烟挥发按用油量的3%计算，则油烟产生量为4.2kg/a，根据《饮食业油烟排放标准（试行）》（GB 18483-2001）中的相关内容，判定本项目属于小型规模，油烟去除率需达到60%，油烟排放量为1.68kg/a。一般单个灶头基准排风量为5000m³/h，日运转2小时。计算出油烟排放浓度为1.02mg/m³，满足《饮食业油烟排放标准（试行）》（GB 18483-2001）中油烟最高运行排放浓度限值要求，处理后的油烟经烟气管道与所在建筑物屋顶排放。排放情况满足</w:t>
            </w:r>
            <w:r>
              <w:rPr>
                <w:rFonts w:cs="Times New Roman"/>
                <w:szCs w:val="24"/>
              </w:rPr>
              <w:t>《饮食业油烟排放标准（试行）》（GB 18483-2001）</w:t>
            </w:r>
            <w:r>
              <w:rPr>
                <w:rFonts w:hint="eastAsia" w:cs="Times New Roman"/>
                <w:szCs w:val="24"/>
              </w:rPr>
              <w:t>中的</w:t>
            </w:r>
            <w:r>
              <w:rPr>
                <w:rFonts w:cs="Times New Roman"/>
                <w:szCs w:val="24"/>
              </w:rPr>
              <w:t>标准要求</w:t>
            </w:r>
            <w:r>
              <w:rPr>
                <w:rFonts w:hint="eastAsia" w:cs="Times New Roman"/>
                <w:szCs w:val="24"/>
              </w:rPr>
              <w:t>，不会对区域环境空气产生明显的影响。</w:t>
            </w:r>
          </w:p>
          <w:p w14:paraId="39187FCD">
            <w:pPr>
              <w:spacing w:line="360" w:lineRule="auto"/>
              <w:ind w:firstLine="480" w:firstLineChars="200"/>
            </w:pPr>
            <w:r>
              <w:rPr>
                <w:rFonts w:hint="eastAsia"/>
              </w:rPr>
              <w:t>3、运营期声环境影响分析</w:t>
            </w:r>
          </w:p>
          <w:p w14:paraId="1A334B49">
            <w:pPr>
              <w:spacing w:line="360" w:lineRule="auto"/>
              <w:ind w:firstLine="480" w:firstLineChars="200"/>
            </w:pPr>
            <w:r>
              <w:rPr>
                <w:rFonts w:hint="eastAsia"/>
              </w:rPr>
              <w:t>本项目噪声主要来源于装卸设施、空压机、切割机等，其噪声值约在70-95dB（A）范围内。</w:t>
            </w:r>
            <w:r>
              <w:rPr>
                <w:rFonts w:hint="eastAsia"/>
                <w:b/>
                <w:bCs/>
                <w:u w:val="single"/>
              </w:rPr>
              <w:t>船舶停靠本码头时不鸣笛，停靠及驶离时启动时间短，且随即驶离本项目码头范围，因此本项目主要针对码头内装卸设施、空压机等设施进行声环境影响分析。</w:t>
            </w:r>
            <w:r>
              <w:rPr>
                <w:rFonts w:hint="eastAsia"/>
              </w:rPr>
              <w:t>本项目噪声源情况如下表所示：</w:t>
            </w:r>
          </w:p>
          <w:p w14:paraId="138DDD7C">
            <w:pPr>
              <w:spacing w:line="360" w:lineRule="auto"/>
              <w:jc w:val="center"/>
              <w:rPr>
                <w:b/>
                <w:bCs/>
              </w:rPr>
            </w:pPr>
          </w:p>
          <w:p w14:paraId="3CA4B5BE">
            <w:pPr>
              <w:spacing w:line="360" w:lineRule="auto"/>
              <w:jc w:val="center"/>
              <w:rPr>
                <w:b/>
                <w:bCs/>
              </w:rPr>
            </w:pPr>
            <w:r>
              <w:rPr>
                <w:rFonts w:hint="eastAsia"/>
                <w:b/>
                <w:bCs/>
              </w:rPr>
              <w:t>表56     本项目噪声源强调查清单（室外声源）</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65"/>
              <w:gridCol w:w="975"/>
              <w:gridCol w:w="759"/>
              <w:gridCol w:w="758"/>
              <w:gridCol w:w="681"/>
              <w:gridCol w:w="1084"/>
              <w:gridCol w:w="821"/>
              <w:gridCol w:w="819"/>
            </w:tblGrid>
            <w:tr w14:paraId="514BF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vMerge w:val="restart"/>
                  <w:vAlign w:val="center"/>
                </w:tcPr>
                <w:p w14:paraId="40ADCECC">
                  <w:pPr>
                    <w:jc w:val="center"/>
                    <w:rPr>
                      <w:rFonts w:cs="Times New Roman"/>
                      <w:kern w:val="0"/>
                      <w:sz w:val="21"/>
                      <w:szCs w:val="16"/>
                    </w:rPr>
                  </w:pPr>
                  <w:r>
                    <w:rPr>
                      <w:rFonts w:hint="eastAsia" w:cs="Times New Roman"/>
                      <w:kern w:val="0"/>
                      <w:sz w:val="21"/>
                      <w:szCs w:val="16"/>
                    </w:rPr>
                    <w:t>序号</w:t>
                  </w:r>
                </w:p>
              </w:tc>
              <w:tc>
                <w:tcPr>
                  <w:tcW w:w="929" w:type="pct"/>
                  <w:vMerge w:val="restart"/>
                  <w:vAlign w:val="center"/>
                </w:tcPr>
                <w:p w14:paraId="66E345FE">
                  <w:pPr>
                    <w:jc w:val="center"/>
                    <w:rPr>
                      <w:rFonts w:cs="Times New Roman"/>
                      <w:kern w:val="0"/>
                      <w:sz w:val="21"/>
                      <w:szCs w:val="16"/>
                    </w:rPr>
                  </w:pPr>
                  <w:r>
                    <w:rPr>
                      <w:rFonts w:hint="eastAsia" w:cs="Times New Roman"/>
                      <w:kern w:val="0"/>
                      <w:sz w:val="21"/>
                      <w:szCs w:val="16"/>
                    </w:rPr>
                    <w:t>声源名称</w:t>
                  </w:r>
                </w:p>
              </w:tc>
              <w:tc>
                <w:tcPr>
                  <w:tcW w:w="456" w:type="pct"/>
                  <w:vMerge w:val="restart"/>
                  <w:vAlign w:val="center"/>
                </w:tcPr>
                <w:p w14:paraId="380111F7">
                  <w:pPr>
                    <w:jc w:val="center"/>
                    <w:rPr>
                      <w:rFonts w:cs="Times New Roman"/>
                      <w:kern w:val="0"/>
                      <w:sz w:val="21"/>
                      <w:szCs w:val="16"/>
                    </w:rPr>
                  </w:pPr>
                  <w:r>
                    <w:rPr>
                      <w:rFonts w:hint="eastAsia" w:cs="Times New Roman"/>
                      <w:kern w:val="0"/>
                      <w:sz w:val="21"/>
                      <w:szCs w:val="16"/>
                    </w:rPr>
                    <w:t>型号</w:t>
                  </w:r>
                </w:p>
              </w:tc>
              <w:tc>
                <w:tcPr>
                  <w:tcW w:w="1496" w:type="pct"/>
                  <w:gridSpan w:val="3"/>
                  <w:vAlign w:val="center"/>
                </w:tcPr>
                <w:p w14:paraId="75335902">
                  <w:pPr>
                    <w:jc w:val="center"/>
                    <w:rPr>
                      <w:rFonts w:cs="Times New Roman"/>
                      <w:kern w:val="0"/>
                      <w:sz w:val="21"/>
                      <w:szCs w:val="16"/>
                    </w:rPr>
                  </w:pPr>
                  <w:r>
                    <w:rPr>
                      <w:rFonts w:hint="eastAsia" w:cs="Times New Roman"/>
                      <w:kern w:val="0"/>
                      <w:sz w:val="21"/>
                      <w:szCs w:val="16"/>
                    </w:rPr>
                    <w:t>空间相对位置/m</w:t>
                  </w:r>
                </w:p>
              </w:tc>
              <w:tc>
                <w:tcPr>
                  <w:tcW w:w="727" w:type="pct"/>
                  <w:vMerge w:val="restart"/>
                  <w:vAlign w:val="center"/>
                </w:tcPr>
                <w:p w14:paraId="1EAAC8BF">
                  <w:pPr>
                    <w:jc w:val="center"/>
                    <w:rPr>
                      <w:rFonts w:cs="Times New Roman"/>
                      <w:kern w:val="0"/>
                      <w:sz w:val="21"/>
                      <w:szCs w:val="16"/>
                    </w:rPr>
                  </w:pPr>
                  <w:r>
                    <w:rPr>
                      <w:rFonts w:hint="eastAsia" w:cs="Times New Roman"/>
                      <w:kern w:val="0"/>
                      <w:sz w:val="21"/>
                      <w:szCs w:val="16"/>
                    </w:rPr>
                    <w:t>声源源强</w:t>
                  </w:r>
                </w:p>
                <w:p w14:paraId="4DEA93EB">
                  <w:pPr>
                    <w:jc w:val="center"/>
                    <w:rPr>
                      <w:rFonts w:cs="Times New Roman"/>
                      <w:kern w:val="0"/>
                      <w:sz w:val="21"/>
                      <w:szCs w:val="16"/>
                    </w:rPr>
                  </w:pPr>
                  <w:r>
                    <w:rPr>
                      <w:rFonts w:hint="eastAsia" w:cs="Times New Roman"/>
                      <w:kern w:val="0"/>
                      <w:sz w:val="21"/>
                      <w:szCs w:val="16"/>
                    </w:rPr>
                    <w:t>dB（A）</w:t>
                  </w:r>
                </w:p>
              </w:tc>
              <w:tc>
                <w:tcPr>
                  <w:tcW w:w="556" w:type="pct"/>
                  <w:vMerge w:val="restart"/>
                  <w:vAlign w:val="center"/>
                </w:tcPr>
                <w:p w14:paraId="25BD0D30">
                  <w:pPr>
                    <w:jc w:val="center"/>
                    <w:rPr>
                      <w:rFonts w:cs="Times New Roman"/>
                      <w:kern w:val="0"/>
                      <w:sz w:val="21"/>
                      <w:szCs w:val="16"/>
                    </w:rPr>
                  </w:pPr>
                  <w:r>
                    <w:rPr>
                      <w:rFonts w:hint="eastAsia" w:cs="Times New Roman"/>
                      <w:kern w:val="0"/>
                      <w:sz w:val="21"/>
                      <w:szCs w:val="16"/>
                    </w:rPr>
                    <w:t>声源控制措施</w:t>
                  </w:r>
                </w:p>
              </w:tc>
              <w:tc>
                <w:tcPr>
                  <w:tcW w:w="555" w:type="pct"/>
                  <w:vMerge w:val="restart"/>
                  <w:vAlign w:val="center"/>
                </w:tcPr>
                <w:p w14:paraId="60AFBF54">
                  <w:pPr>
                    <w:jc w:val="center"/>
                    <w:rPr>
                      <w:rFonts w:cs="Times New Roman"/>
                      <w:kern w:val="0"/>
                      <w:sz w:val="21"/>
                      <w:szCs w:val="16"/>
                    </w:rPr>
                  </w:pPr>
                  <w:r>
                    <w:rPr>
                      <w:rFonts w:hint="eastAsia" w:cs="Times New Roman"/>
                      <w:kern w:val="0"/>
                      <w:sz w:val="21"/>
                      <w:szCs w:val="16"/>
                    </w:rPr>
                    <w:t>运行时段</w:t>
                  </w:r>
                </w:p>
              </w:tc>
            </w:tr>
            <w:tr w14:paraId="38307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vMerge w:val="continue"/>
                  <w:vAlign w:val="center"/>
                </w:tcPr>
                <w:p w14:paraId="698FC6D5">
                  <w:pPr>
                    <w:jc w:val="center"/>
                    <w:rPr>
                      <w:rFonts w:cs="Times New Roman"/>
                      <w:kern w:val="0"/>
                      <w:sz w:val="21"/>
                      <w:szCs w:val="16"/>
                    </w:rPr>
                  </w:pPr>
                </w:p>
              </w:tc>
              <w:tc>
                <w:tcPr>
                  <w:tcW w:w="929" w:type="pct"/>
                  <w:vMerge w:val="continue"/>
                  <w:vAlign w:val="center"/>
                </w:tcPr>
                <w:p w14:paraId="4BCBDB9B">
                  <w:pPr>
                    <w:jc w:val="center"/>
                    <w:rPr>
                      <w:rFonts w:cs="Times New Roman"/>
                      <w:kern w:val="0"/>
                      <w:sz w:val="21"/>
                      <w:szCs w:val="16"/>
                    </w:rPr>
                  </w:pPr>
                </w:p>
              </w:tc>
              <w:tc>
                <w:tcPr>
                  <w:tcW w:w="456" w:type="pct"/>
                  <w:vMerge w:val="continue"/>
                  <w:vAlign w:val="center"/>
                </w:tcPr>
                <w:p w14:paraId="66B4974F">
                  <w:pPr>
                    <w:jc w:val="center"/>
                    <w:rPr>
                      <w:rFonts w:cs="Times New Roman"/>
                      <w:kern w:val="0"/>
                      <w:sz w:val="21"/>
                      <w:szCs w:val="16"/>
                    </w:rPr>
                  </w:pPr>
                </w:p>
              </w:tc>
              <w:tc>
                <w:tcPr>
                  <w:tcW w:w="515" w:type="pct"/>
                  <w:vAlign w:val="center"/>
                </w:tcPr>
                <w:p w14:paraId="391D8EE9">
                  <w:pPr>
                    <w:jc w:val="center"/>
                    <w:rPr>
                      <w:rFonts w:cs="Times New Roman"/>
                      <w:kern w:val="0"/>
                      <w:sz w:val="21"/>
                      <w:szCs w:val="16"/>
                    </w:rPr>
                  </w:pPr>
                  <w:r>
                    <w:rPr>
                      <w:rFonts w:hint="eastAsia" w:cs="Times New Roman"/>
                      <w:kern w:val="0"/>
                      <w:sz w:val="21"/>
                      <w:szCs w:val="16"/>
                    </w:rPr>
                    <w:t>X</w:t>
                  </w:r>
                </w:p>
              </w:tc>
              <w:tc>
                <w:tcPr>
                  <w:tcW w:w="516" w:type="pct"/>
                  <w:vAlign w:val="center"/>
                </w:tcPr>
                <w:p w14:paraId="3E0058FC">
                  <w:pPr>
                    <w:jc w:val="center"/>
                    <w:rPr>
                      <w:rFonts w:cs="Times New Roman"/>
                      <w:kern w:val="0"/>
                      <w:sz w:val="21"/>
                      <w:szCs w:val="16"/>
                    </w:rPr>
                  </w:pPr>
                  <w:r>
                    <w:rPr>
                      <w:rFonts w:hint="eastAsia" w:cs="Times New Roman"/>
                      <w:kern w:val="0"/>
                      <w:sz w:val="21"/>
                      <w:szCs w:val="16"/>
                    </w:rPr>
                    <w:t>Y</w:t>
                  </w:r>
                </w:p>
              </w:tc>
              <w:tc>
                <w:tcPr>
                  <w:tcW w:w="465" w:type="pct"/>
                  <w:vAlign w:val="center"/>
                </w:tcPr>
                <w:p w14:paraId="2E629B4E">
                  <w:pPr>
                    <w:jc w:val="center"/>
                    <w:rPr>
                      <w:rFonts w:cs="Times New Roman"/>
                      <w:kern w:val="0"/>
                      <w:sz w:val="21"/>
                      <w:szCs w:val="16"/>
                    </w:rPr>
                  </w:pPr>
                  <w:r>
                    <w:rPr>
                      <w:rFonts w:hint="eastAsia" w:cs="Times New Roman"/>
                      <w:kern w:val="0"/>
                      <w:sz w:val="21"/>
                      <w:szCs w:val="16"/>
                    </w:rPr>
                    <w:t>Z</w:t>
                  </w:r>
                </w:p>
              </w:tc>
              <w:tc>
                <w:tcPr>
                  <w:tcW w:w="727" w:type="pct"/>
                  <w:vMerge w:val="continue"/>
                  <w:vAlign w:val="center"/>
                </w:tcPr>
                <w:p w14:paraId="17ECDE6C">
                  <w:pPr>
                    <w:jc w:val="center"/>
                    <w:rPr>
                      <w:rFonts w:cs="Times New Roman"/>
                      <w:kern w:val="0"/>
                      <w:sz w:val="21"/>
                      <w:szCs w:val="16"/>
                    </w:rPr>
                  </w:pPr>
                </w:p>
              </w:tc>
              <w:tc>
                <w:tcPr>
                  <w:tcW w:w="556" w:type="pct"/>
                  <w:vMerge w:val="continue"/>
                  <w:vAlign w:val="center"/>
                </w:tcPr>
                <w:p w14:paraId="0BF53E8E">
                  <w:pPr>
                    <w:jc w:val="center"/>
                    <w:rPr>
                      <w:rFonts w:cs="Times New Roman"/>
                      <w:kern w:val="0"/>
                      <w:sz w:val="21"/>
                      <w:szCs w:val="16"/>
                    </w:rPr>
                  </w:pPr>
                </w:p>
              </w:tc>
              <w:tc>
                <w:tcPr>
                  <w:tcW w:w="555" w:type="pct"/>
                  <w:vMerge w:val="continue"/>
                  <w:vAlign w:val="center"/>
                </w:tcPr>
                <w:p w14:paraId="5A6D8FBF">
                  <w:pPr>
                    <w:jc w:val="center"/>
                    <w:rPr>
                      <w:rFonts w:cs="Times New Roman"/>
                      <w:kern w:val="0"/>
                      <w:sz w:val="21"/>
                      <w:szCs w:val="16"/>
                    </w:rPr>
                  </w:pPr>
                </w:p>
              </w:tc>
            </w:tr>
            <w:tr w14:paraId="30D34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36F0C502">
                  <w:pPr>
                    <w:jc w:val="center"/>
                    <w:rPr>
                      <w:rFonts w:cs="Times New Roman"/>
                      <w:kern w:val="0"/>
                      <w:sz w:val="21"/>
                      <w:szCs w:val="16"/>
                    </w:rPr>
                  </w:pPr>
                  <w:r>
                    <w:rPr>
                      <w:rFonts w:hint="eastAsia" w:cs="Times New Roman"/>
                      <w:kern w:val="0"/>
                      <w:sz w:val="21"/>
                      <w:szCs w:val="16"/>
                    </w:rPr>
                    <w:t>1</w:t>
                  </w:r>
                </w:p>
              </w:tc>
              <w:tc>
                <w:tcPr>
                  <w:tcW w:w="929" w:type="pct"/>
                  <w:vAlign w:val="center"/>
                </w:tcPr>
                <w:p w14:paraId="4DC2A8A8">
                  <w:pPr>
                    <w:jc w:val="center"/>
                    <w:rPr>
                      <w:rFonts w:cs="Times New Roman"/>
                      <w:kern w:val="0"/>
                      <w:sz w:val="21"/>
                      <w:szCs w:val="16"/>
                    </w:rPr>
                  </w:pPr>
                  <w:r>
                    <w:rPr>
                      <w:rFonts w:hint="eastAsia" w:cs="Times New Roman"/>
                      <w:kern w:val="0"/>
                      <w:sz w:val="21"/>
                      <w:szCs w:val="16"/>
                    </w:rPr>
                    <w:t>空气压缩机</w:t>
                  </w:r>
                </w:p>
              </w:tc>
              <w:tc>
                <w:tcPr>
                  <w:tcW w:w="456" w:type="pct"/>
                  <w:vMerge w:val="restart"/>
                  <w:vAlign w:val="center"/>
                </w:tcPr>
                <w:p w14:paraId="3FCD0115">
                  <w:pPr>
                    <w:jc w:val="center"/>
                    <w:rPr>
                      <w:rFonts w:cs="Times New Roman"/>
                      <w:kern w:val="0"/>
                      <w:sz w:val="21"/>
                      <w:szCs w:val="16"/>
                    </w:rPr>
                  </w:pPr>
                  <w:r>
                    <w:rPr>
                      <w:rFonts w:hint="eastAsia" w:cs="Times New Roman"/>
                      <w:kern w:val="0"/>
                      <w:sz w:val="21"/>
                      <w:szCs w:val="16"/>
                    </w:rPr>
                    <w:t>2m³/min</w:t>
                  </w:r>
                </w:p>
              </w:tc>
              <w:tc>
                <w:tcPr>
                  <w:tcW w:w="515" w:type="pct"/>
                  <w:vAlign w:val="center"/>
                </w:tcPr>
                <w:p w14:paraId="36AF6A7B">
                  <w:pPr>
                    <w:jc w:val="center"/>
                    <w:rPr>
                      <w:rFonts w:cs="Times New Roman"/>
                      <w:kern w:val="0"/>
                      <w:sz w:val="21"/>
                      <w:szCs w:val="16"/>
                    </w:rPr>
                  </w:pPr>
                  <w:r>
                    <w:rPr>
                      <w:rFonts w:hint="eastAsia" w:cs="Times New Roman"/>
                      <w:kern w:val="0"/>
                      <w:sz w:val="21"/>
                      <w:szCs w:val="16"/>
                    </w:rPr>
                    <w:t>-12.42</w:t>
                  </w:r>
                </w:p>
              </w:tc>
              <w:tc>
                <w:tcPr>
                  <w:tcW w:w="516" w:type="pct"/>
                  <w:vAlign w:val="center"/>
                </w:tcPr>
                <w:p w14:paraId="0294C116">
                  <w:pPr>
                    <w:jc w:val="center"/>
                    <w:rPr>
                      <w:rFonts w:cs="Times New Roman"/>
                      <w:kern w:val="0"/>
                      <w:sz w:val="21"/>
                      <w:szCs w:val="16"/>
                    </w:rPr>
                  </w:pPr>
                  <w:r>
                    <w:rPr>
                      <w:rFonts w:hint="eastAsia" w:cs="Times New Roman"/>
                      <w:kern w:val="0"/>
                      <w:sz w:val="21"/>
                      <w:szCs w:val="16"/>
                    </w:rPr>
                    <w:t>16.81</w:t>
                  </w:r>
                </w:p>
              </w:tc>
              <w:tc>
                <w:tcPr>
                  <w:tcW w:w="465" w:type="pct"/>
                  <w:vAlign w:val="center"/>
                </w:tcPr>
                <w:p w14:paraId="1FC018A6">
                  <w:pPr>
                    <w:jc w:val="center"/>
                    <w:rPr>
                      <w:rFonts w:cs="Times New Roman"/>
                      <w:kern w:val="0"/>
                      <w:sz w:val="21"/>
                      <w:szCs w:val="16"/>
                    </w:rPr>
                  </w:pPr>
                  <w:r>
                    <w:rPr>
                      <w:rFonts w:hint="eastAsia" w:cs="Times New Roman"/>
                      <w:kern w:val="0"/>
                      <w:sz w:val="21"/>
                      <w:szCs w:val="16"/>
                    </w:rPr>
                    <w:t>1</w:t>
                  </w:r>
                </w:p>
              </w:tc>
              <w:tc>
                <w:tcPr>
                  <w:tcW w:w="727" w:type="pct"/>
                  <w:vAlign w:val="center"/>
                </w:tcPr>
                <w:p w14:paraId="277E5FDE">
                  <w:pPr>
                    <w:jc w:val="center"/>
                    <w:rPr>
                      <w:rFonts w:cs="Times New Roman"/>
                      <w:kern w:val="0"/>
                      <w:sz w:val="21"/>
                      <w:szCs w:val="16"/>
                    </w:rPr>
                  </w:pPr>
                  <w:r>
                    <w:rPr>
                      <w:rFonts w:hint="eastAsia" w:cs="Times New Roman"/>
                      <w:kern w:val="0"/>
                      <w:sz w:val="21"/>
                      <w:szCs w:val="16"/>
                    </w:rPr>
                    <w:t>95</w:t>
                  </w:r>
                </w:p>
              </w:tc>
              <w:tc>
                <w:tcPr>
                  <w:tcW w:w="556" w:type="pct"/>
                  <w:vMerge w:val="restart"/>
                  <w:vAlign w:val="center"/>
                </w:tcPr>
                <w:p w14:paraId="7D5207E5">
                  <w:pPr>
                    <w:jc w:val="center"/>
                    <w:rPr>
                      <w:rFonts w:cs="Times New Roman"/>
                      <w:kern w:val="0"/>
                      <w:sz w:val="21"/>
                      <w:szCs w:val="16"/>
                    </w:rPr>
                  </w:pPr>
                  <w:r>
                    <w:rPr>
                      <w:rFonts w:hint="eastAsia" w:cs="Times New Roman"/>
                      <w:kern w:val="0"/>
                      <w:sz w:val="21"/>
                      <w:szCs w:val="16"/>
                    </w:rPr>
                    <w:t>选用低噪声设备</w:t>
                  </w:r>
                </w:p>
              </w:tc>
              <w:tc>
                <w:tcPr>
                  <w:tcW w:w="555" w:type="pct"/>
                  <w:vAlign w:val="center"/>
                </w:tcPr>
                <w:p w14:paraId="4F05E948">
                  <w:pPr>
                    <w:jc w:val="center"/>
                    <w:rPr>
                      <w:rFonts w:cs="Times New Roman"/>
                      <w:kern w:val="0"/>
                      <w:sz w:val="21"/>
                      <w:szCs w:val="16"/>
                    </w:rPr>
                  </w:pPr>
                  <w:r>
                    <w:rPr>
                      <w:rFonts w:hint="eastAsia" w:cs="Times New Roman"/>
                      <w:kern w:val="0"/>
                      <w:sz w:val="21"/>
                      <w:szCs w:val="16"/>
                    </w:rPr>
                    <w:t>昼间</w:t>
                  </w:r>
                </w:p>
              </w:tc>
            </w:tr>
            <w:tr w14:paraId="23F68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355814AA">
                  <w:pPr>
                    <w:jc w:val="center"/>
                    <w:rPr>
                      <w:rFonts w:cs="Times New Roman"/>
                      <w:kern w:val="0"/>
                      <w:sz w:val="21"/>
                      <w:szCs w:val="16"/>
                    </w:rPr>
                  </w:pPr>
                  <w:r>
                    <w:rPr>
                      <w:rFonts w:hint="eastAsia" w:cs="Times New Roman"/>
                      <w:kern w:val="0"/>
                      <w:sz w:val="21"/>
                      <w:szCs w:val="16"/>
                    </w:rPr>
                    <w:t>2</w:t>
                  </w:r>
                </w:p>
              </w:tc>
              <w:tc>
                <w:tcPr>
                  <w:tcW w:w="929" w:type="pct"/>
                  <w:vAlign w:val="center"/>
                </w:tcPr>
                <w:p w14:paraId="0F1D8F82">
                  <w:pPr>
                    <w:jc w:val="center"/>
                    <w:rPr>
                      <w:rFonts w:cs="Times New Roman"/>
                      <w:kern w:val="0"/>
                      <w:sz w:val="21"/>
                      <w:szCs w:val="16"/>
                    </w:rPr>
                  </w:pPr>
                  <w:r>
                    <w:rPr>
                      <w:rFonts w:hint="eastAsia" w:cs="Times New Roman"/>
                      <w:kern w:val="0"/>
                      <w:sz w:val="21"/>
                      <w:szCs w:val="16"/>
                    </w:rPr>
                    <w:t>空气压缩机</w:t>
                  </w:r>
                </w:p>
              </w:tc>
              <w:tc>
                <w:tcPr>
                  <w:tcW w:w="456" w:type="pct"/>
                  <w:vMerge w:val="continue"/>
                  <w:vAlign w:val="center"/>
                </w:tcPr>
                <w:p w14:paraId="7C172838">
                  <w:pPr>
                    <w:jc w:val="center"/>
                    <w:rPr>
                      <w:rFonts w:cs="Times New Roman"/>
                      <w:kern w:val="0"/>
                      <w:sz w:val="21"/>
                      <w:szCs w:val="16"/>
                    </w:rPr>
                  </w:pPr>
                </w:p>
              </w:tc>
              <w:tc>
                <w:tcPr>
                  <w:tcW w:w="515" w:type="pct"/>
                  <w:vAlign w:val="center"/>
                </w:tcPr>
                <w:p w14:paraId="1F6EDCD0">
                  <w:pPr>
                    <w:jc w:val="center"/>
                    <w:rPr>
                      <w:rFonts w:cs="Times New Roman"/>
                      <w:kern w:val="0"/>
                      <w:sz w:val="21"/>
                      <w:szCs w:val="16"/>
                    </w:rPr>
                  </w:pPr>
                  <w:r>
                    <w:rPr>
                      <w:rFonts w:hint="eastAsia" w:cs="Times New Roman"/>
                      <w:kern w:val="0"/>
                      <w:sz w:val="21"/>
                      <w:szCs w:val="16"/>
                    </w:rPr>
                    <w:t>35.75</w:t>
                  </w:r>
                </w:p>
              </w:tc>
              <w:tc>
                <w:tcPr>
                  <w:tcW w:w="516" w:type="pct"/>
                  <w:vAlign w:val="center"/>
                </w:tcPr>
                <w:p w14:paraId="7B19E3C3">
                  <w:pPr>
                    <w:jc w:val="center"/>
                    <w:rPr>
                      <w:rFonts w:cs="Times New Roman"/>
                      <w:kern w:val="0"/>
                      <w:sz w:val="21"/>
                      <w:szCs w:val="16"/>
                    </w:rPr>
                  </w:pPr>
                  <w:r>
                    <w:rPr>
                      <w:rFonts w:hint="eastAsia" w:cs="Times New Roman"/>
                      <w:kern w:val="0"/>
                      <w:sz w:val="21"/>
                      <w:szCs w:val="16"/>
                    </w:rPr>
                    <w:t>49.53</w:t>
                  </w:r>
                </w:p>
              </w:tc>
              <w:tc>
                <w:tcPr>
                  <w:tcW w:w="465" w:type="pct"/>
                  <w:vAlign w:val="center"/>
                </w:tcPr>
                <w:p w14:paraId="2B43A5A1">
                  <w:pPr>
                    <w:jc w:val="center"/>
                    <w:rPr>
                      <w:rFonts w:cs="Times New Roman"/>
                      <w:kern w:val="0"/>
                      <w:sz w:val="21"/>
                      <w:szCs w:val="16"/>
                    </w:rPr>
                  </w:pPr>
                  <w:r>
                    <w:rPr>
                      <w:rFonts w:hint="eastAsia" w:cs="Times New Roman"/>
                      <w:kern w:val="0"/>
                      <w:sz w:val="21"/>
                      <w:szCs w:val="16"/>
                    </w:rPr>
                    <w:t>1</w:t>
                  </w:r>
                </w:p>
              </w:tc>
              <w:tc>
                <w:tcPr>
                  <w:tcW w:w="727" w:type="pct"/>
                  <w:vAlign w:val="center"/>
                </w:tcPr>
                <w:p w14:paraId="5D35D9A5">
                  <w:pPr>
                    <w:jc w:val="center"/>
                    <w:rPr>
                      <w:rFonts w:cs="Times New Roman"/>
                      <w:kern w:val="0"/>
                      <w:sz w:val="21"/>
                      <w:szCs w:val="16"/>
                    </w:rPr>
                  </w:pPr>
                  <w:r>
                    <w:rPr>
                      <w:rFonts w:hint="eastAsia" w:cs="Times New Roman"/>
                      <w:kern w:val="0"/>
                      <w:sz w:val="21"/>
                      <w:szCs w:val="16"/>
                    </w:rPr>
                    <w:t>95</w:t>
                  </w:r>
                </w:p>
              </w:tc>
              <w:tc>
                <w:tcPr>
                  <w:tcW w:w="556" w:type="pct"/>
                  <w:vMerge w:val="continue"/>
                  <w:vAlign w:val="center"/>
                </w:tcPr>
                <w:p w14:paraId="75EB65B5">
                  <w:pPr>
                    <w:jc w:val="center"/>
                    <w:rPr>
                      <w:rFonts w:cs="Times New Roman"/>
                      <w:kern w:val="0"/>
                      <w:sz w:val="21"/>
                      <w:szCs w:val="16"/>
                    </w:rPr>
                  </w:pPr>
                </w:p>
              </w:tc>
              <w:tc>
                <w:tcPr>
                  <w:tcW w:w="555" w:type="pct"/>
                  <w:vAlign w:val="center"/>
                </w:tcPr>
                <w:p w14:paraId="62A9B7A1">
                  <w:pPr>
                    <w:jc w:val="center"/>
                    <w:rPr>
                      <w:rFonts w:cs="Times New Roman"/>
                      <w:kern w:val="0"/>
                      <w:sz w:val="21"/>
                      <w:szCs w:val="16"/>
                    </w:rPr>
                  </w:pPr>
                  <w:r>
                    <w:rPr>
                      <w:rFonts w:hint="eastAsia" w:cs="Times New Roman"/>
                      <w:kern w:val="0"/>
                      <w:sz w:val="21"/>
                      <w:szCs w:val="16"/>
                    </w:rPr>
                    <w:t>昼间</w:t>
                  </w:r>
                </w:p>
              </w:tc>
            </w:tr>
            <w:tr w14:paraId="5A963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248FE781">
                  <w:pPr>
                    <w:jc w:val="center"/>
                    <w:rPr>
                      <w:rFonts w:cs="Times New Roman"/>
                      <w:kern w:val="0"/>
                      <w:sz w:val="21"/>
                      <w:szCs w:val="16"/>
                    </w:rPr>
                  </w:pPr>
                  <w:r>
                    <w:rPr>
                      <w:rFonts w:hint="eastAsia" w:cs="Times New Roman"/>
                      <w:kern w:val="0"/>
                      <w:sz w:val="21"/>
                      <w:szCs w:val="16"/>
                    </w:rPr>
                    <w:t>3</w:t>
                  </w:r>
                </w:p>
              </w:tc>
              <w:tc>
                <w:tcPr>
                  <w:tcW w:w="929" w:type="pct"/>
                  <w:vAlign w:val="center"/>
                </w:tcPr>
                <w:p w14:paraId="3FB1088B">
                  <w:pPr>
                    <w:jc w:val="center"/>
                    <w:rPr>
                      <w:rFonts w:cs="Times New Roman"/>
                      <w:kern w:val="0"/>
                      <w:sz w:val="21"/>
                      <w:szCs w:val="16"/>
                    </w:rPr>
                  </w:pPr>
                  <w:r>
                    <w:rPr>
                      <w:rFonts w:hint="eastAsia" w:cs="Times New Roman"/>
                      <w:kern w:val="0"/>
                      <w:sz w:val="21"/>
                      <w:szCs w:val="16"/>
                    </w:rPr>
                    <w:t>切割机</w:t>
                  </w:r>
                </w:p>
              </w:tc>
              <w:tc>
                <w:tcPr>
                  <w:tcW w:w="456" w:type="pct"/>
                  <w:vAlign w:val="center"/>
                </w:tcPr>
                <w:p w14:paraId="05A19DAF">
                  <w:pPr>
                    <w:jc w:val="center"/>
                    <w:rPr>
                      <w:rFonts w:cs="Times New Roman"/>
                      <w:kern w:val="0"/>
                      <w:sz w:val="21"/>
                      <w:szCs w:val="16"/>
                    </w:rPr>
                  </w:pPr>
                  <w:r>
                    <w:rPr>
                      <w:rFonts w:hint="eastAsia" w:cs="Times New Roman"/>
                      <w:kern w:val="0"/>
                      <w:sz w:val="21"/>
                      <w:szCs w:val="16"/>
                    </w:rPr>
                    <w:t>/</w:t>
                  </w:r>
                </w:p>
              </w:tc>
              <w:tc>
                <w:tcPr>
                  <w:tcW w:w="515" w:type="pct"/>
                  <w:vAlign w:val="center"/>
                </w:tcPr>
                <w:p w14:paraId="242AE63E">
                  <w:pPr>
                    <w:jc w:val="center"/>
                    <w:rPr>
                      <w:rFonts w:cs="Times New Roman"/>
                      <w:kern w:val="0"/>
                      <w:sz w:val="21"/>
                      <w:szCs w:val="16"/>
                    </w:rPr>
                  </w:pPr>
                  <w:r>
                    <w:rPr>
                      <w:rFonts w:hint="eastAsia" w:cs="Times New Roman"/>
                      <w:kern w:val="0"/>
                      <w:sz w:val="21"/>
                      <w:szCs w:val="16"/>
                    </w:rPr>
                    <w:t>-7.55</w:t>
                  </w:r>
                </w:p>
              </w:tc>
              <w:tc>
                <w:tcPr>
                  <w:tcW w:w="516" w:type="pct"/>
                  <w:vAlign w:val="center"/>
                </w:tcPr>
                <w:p w14:paraId="1CCF9DAF">
                  <w:pPr>
                    <w:jc w:val="center"/>
                    <w:rPr>
                      <w:rFonts w:cs="Times New Roman"/>
                      <w:kern w:val="0"/>
                      <w:sz w:val="21"/>
                      <w:szCs w:val="16"/>
                    </w:rPr>
                  </w:pPr>
                  <w:r>
                    <w:rPr>
                      <w:rFonts w:cs="Times New Roman"/>
                      <w:kern w:val="0"/>
                      <w:sz w:val="21"/>
                      <w:szCs w:val="16"/>
                    </w:rPr>
                    <w:t>8.78</w:t>
                  </w:r>
                </w:p>
              </w:tc>
              <w:tc>
                <w:tcPr>
                  <w:tcW w:w="465" w:type="pct"/>
                  <w:vAlign w:val="center"/>
                </w:tcPr>
                <w:p w14:paraId="63E10F26">
                  <w:pPr>
                    <w:jc w:val="center"/>
                    <w:rPr>
                      <w:rFonts w:cs="Times New Roman"/>
                      <w:kern w:val="0"/>
                      <w:sz w:val="21"/>
                      <w:szCs w:val="16"/>
                    </w:rPr>
                  </w:pPr>
                  <w:r>
                    <w:rPr>
                      <w:rFonts w:hint="eastAsia" w:cs="Times New Roman"/>
                      <w:kern w:val="0"/>
                      <w:sz w:val="21"/>
                      <w:szCs w:val="16"/>
                    </w:rPr>
                    <w:t>0.5</w:t>
                  </w:r>
                </w:p>
              </w:tc>
              <w:tc>
                <w:tcPr>
                  <w:tcW w:w="727" w:type="pct"/>
                  <w:vAlign w:val="center"/>
                </w:tcPr>
                <w:p w14:paraId="4C0F1712">
                  <w:pPr>
                    <w:jc w:val="center"/>
                    <w:rPr>
                      <w:rFonts w:cs="Times New Roman"/>
                      <w:kern w:val="0"/>
                      <w:sz w:val="21"/>
                      <w:szCs w:val="16"/>
                    </w:rPr>
                  </w:pPr>
                  <w:r>
                    <w:rPr>
                      <w:rFonts w:hint="eastAsia" w:cs="Times New Roman"/>
                      <w:kern w:val="0"/>
                      <w:sz w:val="21"/>
                      <w:szCs w:val="16"/>
                    </w:rPr>
                    <w:t>85</w:t>
                  </w:r>
                </w:p>
              </w:tc>
              <w:tc>
                <w:tcPr>
                  <w:tcW w:w="556" w:type="pct"/>
                  <w:vMerge w:val="continue"/>
                  <w:vAlign w:val="center"/>
                </w:tcPr>
                <w:p w14:paraId="79F4E773">
                  <w:pPr>
                    <w:jc w:val="center"/>
                    <w:rPr>
                      <w:rFonts w:cs="Times New Roman"/>
                      <w:kern w:val="0"/>
                      <w:sz w:val="21"/>
                      <w:szCs w:val="16"/>
                    </w:rPr>
                  </w:pPr>
                </w:p>
              </w:tc>
              <w:tc>
                <w:tcPr>
                  <w:tcW w:w="555" w:type="pct"/>
                  <w:vAlign w:val="center"/>
                </w:tcPr>
                <w:p w14:paraId="436025C8">
                  <w:pPr>
                    <w:jc w:val="center"/>
                    <w:rPr>
                      <w:rFonts w:cs="Times New Roman"/>
                      <w:kern w:val="0"/>
                      <w:sz w:val="21"/>
                      <w:szCs w:val="16"/>
                    </w:rPr>
                  </w:pPr>
                  <w:r>
                    <w:rPr>
                      <w:rFonts w:hint="eastAsia" w:cs="Times New Roman"/>
                      <w:kern w:val="0"/>
                      <w:sz w:val="21"/>
                      <w:szCs w:val="16"/>
                    </w:rPr>
                    <w:t>昼间</w:t>
                  </w:r>
                </w:p>
              </w:tc>
            </w:tr>
            <w:tr w14:paraId="5F3CA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52B5AA8F">
                  <w:pPr>
                    <w:jc w:val="center"/>
                    <w:rPr>
                      <w:rFonts w:cs="Times New Roman"/>
                      <w:kern w:val="0"/>
                      <w:sz w:val="21"/>
                      <w:szCs w:val="16"/>
                    </w:rPr>
                  </w:pPr>
                  <w:r>
                    <w:rPr>
                      <w:rFonts w:hint="eastAsia" w:cs="Times New Roman"/>
                      <w:kern w:val="0"/>
                      <w:sz w:val="21"/>
                      <w:szCs w:val="16"/>
                    </w:rPr>
                    <w:t>4</w:t>
                  </w:r>
                </w:p>
              </w:tc>
              <w:tc>
                <w:tcPr>
                  <w:tcW w:w="929" w:type="pct"/>
                  <w:vAlign w:val="center"/>
                </w:tcPr>
                <w:p w14:paraId="1E5D02AC">
                  <w:pPr>
                    <w:jc w:val="center"/>
                    <w:rPr>
                      <w:rFonts w:cs="Times New Roman"/>
                      <w:kern w:val="0"/>
                      <w:sz w:val="21"/>
                      <w:szCs w:val="16"/>
                    </w:rPr>
                  </w:pPr>
                  <w:r>
                    <w:rPr>
                      <w:rFonts w:hint="eastAsia" w:cs="Times New Roman"/>
                      <w:kern w:val="0"/>
                      <w:sz w:val="21"/>
                      <w:szCs w:val="16"/>
                    </w:rPr>
                    <w:t>焊接机</w:t>
                  </w:r>
                </w:p>
              </w:tc>
              <w:tc>
                <w:tcPr>
                  <w:tcW w:w="456" w:type="pct"/>
                  <w:vAlign w:val="center"/>
                </w:tcPr>
                <w:p w14:paraId="713C4857">
                  <w:pPr>
                    <w:jc w:val="center"/>
                    <w:rPr>
                      <w:rFonts w:cs="Times New Roman"/>
                      <w:kern w:val="0"/>
                      <w:sz w:val="21"/>
                      <w:szCs w:val="16"/>
                    </w:rPr>
                  </w:pPr>
                  <w:r>
                    <w:rPr>
                      <w:rFonts w:hint="eastAsia" w:cs="Times New Roman"/>
                      <w:kern w:val="0"/>
                      <w:sz w:val="21"/>
                      <w:szCs w:val="16"/>
                    </w:rPr>
                    <w:t>/</w:t>
                  </w:r>
                </w:p>
              </w:tc>
              <w:tc>
                <w:tcPr>
                  <w:tcW w:w="515" w:type="pct"/>
                  <w:vAlign w:val="center"/>
                </w:tcPr>
                <w:p w14:paraId="30B012DD">
                  <w:pPr>
                    <w:jc w:val="center"/>
                    <w:rPr>
                      <w:rFonts w:cs="Times New Roman"/>
                      <w:kern w:val="0"/>
                      <w:sz w:val="21"/>
                      <w:szCs w:val="16"/>
                    </w:rPr>
                  </w:pPr>
                  <w:r>
                    <w:rPr>
                      <w:rFonts w:hint="eastAsia" w:cs="Times New Roman"/>
                      <w:kern w:val="0"/>
                      <w:sz w:val="21"/>
                      <w:szCs w:val="16"/>
                    </w:rPr>
                    <w:t>-14.71</w:t>
                  </w:r>
                </w:p>
              </w:tc>
              <w:tc>
                <w:tcPr>
                  <w:tcW w:w="516" w:type="pct"/>
                  <w:vAlign w:val="center"/>
                </w:tcPr>
                <w:p w14:paraId="6DD0796E">
                  <w:pPr>
                    <w:jc w:val="center"/>
                    <w:rPr>
                      <w:rFonts w:cs="Times New Roman"/>
                      <w:kern w:val="0"/>
                      <w:sz w:val="21"/>
                      <w:szCs w:val="16"/>
                    </w:rPr>
                  </w:pPr>
                  <w:r>
                    <w:rPr>
                      <w:rFonts w:cs="Times New Roman"/>
                      <w:kern w:val="0"/>
                      <w:sz w:val="21"/>
                      <w:szCs w:val="16"/>
                    </w:rPr>
                    <w:t>11.17</w:t>
                  </w:r>
                </w:p>
              </w:tc>
              <w:tc>
                <w:tcPr>
                  <w:tcW w:w="465" w:type="pct"/>
                  <w:vAlign w:val="center"/>
                </w:tcPr>
                <w:p w14:paraId="71CF664C">
                  <w:pPr>
                    <w:jc w:val="center"/>
                    <w:rPr>
                      <w:rFonts w:cs="Times New Roman"/>
                      <w:kern w:val="0"/>
                      <w:sz w:val="21"/>
                      <w:szCs w:val="16"/>
                    </w:rPr>
                  </w:pPr>
                  <w:r>
                    <w:rPr>
                      <w:rFonts w:hint="eastAsia" w:cs="Times New Roman"/>
                      <w:kern w:val="0"/>
                      <w:sz w:val="21"/>
                      <w:szCs w:val="16"/>
                    </w:rPr>
                    <w:t>0.5</w:t>
                  </w:r>
                </w:p>
              </w:tc>
              <w:tc>
                <w:tcPr>
                  <w:tcW w:w="727" w:type="pct"/>
                  <w:vAlign w:val="center"/>
                </w:tcPr>
                <w:p w14:paraId="3C945CD5">
                  <w:pPr>
                    <w:jc w:val="center"/>
                    <w:rPr>
                      <w:rFonts w:cs="Times New Roman"/>
                      <w:kern w:val="0"/>
                      <w:sz w:val="21"/>
                      <w:szCs w:val="16"/>
                    </w:rPr>
                  </w:pPr>
                  <w:r>
                    <w:rPr>
                      <w:rFonts w:hint="eastAsia" w:cs="Times New Roman"/>
                      <w:kern w:val="0"/>
                      <w:sz w:val="21"/>
                      <w:szCs w:val="16"/>
                    </w:rPr>
                    <w:t>70</w:t>
                  </w:r>
                </w:p>
              </w:tc>
              <w:tc>
                <w:tcPr>
                  <w:tcW w:w="556" w:type="pct"/>
                  <w:vMerge w:val="continue"/>
                  <w:vAlign w:val="center"/>
                </w:tcPr>
                <w:p w14:paraId="22BA2E86">
                  <w:pPr>
                    <w:jc w:val="center"/>
                    <w:rPr>
                      <w:rFonts w:cs="Times New Roman"/>
                      <w:kern w:val="0"/>
                      <w:sz w:val="21"/>
                      <w:szCs w:val="16"/>
                    </w:rPr>
                  </w:pPr>
                </w:p>
              </w:tc>
              <w:tc>
                <w:tcPr>
                  <w:tcW w:w="555" w:type="pct"/>
                  <w:vAlign w:val="center"/>
                </w:tcPr>
                <w:p w14:paraId="5B9787AC">
                  <w:pPr>
                    <w:jc w:val="center"/>
                    <w:rPr>
                      <w:rFonts w:cs="Times New Roman"/>
                      <w:kern w:val="0"/>
                      <w:sz w:val="21"/>
                      <w:szCs w:val="16"/>
                    </w:rPr>
                  </w:pPr>
                  <w:r>
                    <w:rPr>
                      <w:rFonts w:hint="eastAsia" w:cs="Times New Roman"/>
                      <w:kern w:val="0"/>
                      <w:sz w:val="21"/>
                      <w:szCs w:val="16"/>
                    </w:rPr>
                    <w:t>昼间</w:t>
                  </w:r>
                </w:p>
              </w:tc>
            </w:tr>
            <w:tr w14:paraId="2ACB0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 w:type="pct"/>
                  <w:vAlign w:val="center"/>
                </w:tcPr>
                <w:p w14:paraId="39BB4406">
                  <w:pPr>
                    <w:jc w:val="center"/>
                    <w:rPr>
                      <w:rFonts w:cs="Times New Roman"/>
                      <w:kern w:val="0"/>
                      <w:sz w:val="21"/>
                      <w:szCs w:val="16"/>
                    </w:rPr>
                  </w:pPr>
                  <w:r>
                    <w:rPr>
                      <w:rFonts w:hint="eastAsia" w:cs="Times New Roman"/>
                      <w:kern w:val="0"/>
                      <w:sz w:val="21"/>
                      <w:szCs w:val="16"/>
                    </w:rPr>
                    <w:t>5</w:t>
                  </w:r>
                </w:p>
              </w:tc>
              <w:tc>
                <w:tcPr>
                  <w:tcW w:w="929" w:type="pct"/>
                  <w:vAlign w:val="center"/>
                </w:tcPr>
                <w:p w14:paraId="602D7EF5">
                  <w:pPr>
                    <w:jc w:val="center"/>
                    <w:rPr>
                      <w:rFonts w:cs="Times New Roman"/>
                      <w:kern w:val="0"/>
                      <w:sz w:val="21"/>
                      <w:szCs w:val="16"/>
                    </w:rPr>
                  </w:pPr>
                  <w:r>
                    <w:rPr>
                      <w:rFonts w:hint="eastAsia" w:cs="Times New Roman"/>
                      <w:kern w:val="0"/>
                      <w:sz w:val="21"/>
                      <w:szCs w:val="16"/>
                    </w:rPr>
                    <w:t>轮胎式起重机</w:t>
                  </w:r>
                </w:p>
              </w:tc>
              <w:tc>
                <w:tcPr>
                  <w:tcW w:w="456" w:type="pct"/>
                  <w:vAlign w:val="center"/>
                </w:tcPr>
                <w:p w14:paraId="4C6C629B">
                  <w:pPr>
                    <w:jc w:val="center"/>
                    <w:rPr>
                      <w:rFonts w:cs="Times New Roman"/>
                      <w:kern w:val="0"/>
                      <w:sz w:val="21"/>
                      <w:szCs w:val="16"/>
                    </w:rPr>
                  </w:pPr>
                  <w:r>
                    <w:rPr>
                      <w:rFonts w:hint="eastAsia" w:cs="Times New Roman"/>
                      <w:kern w:val="0"/>
                      <w:sz w:val="21"/>
                      <w:szCs w:val="16"/>
                    </w:rPr>
                    <w:t>25t</w:t>
                  </w:r>
                </w:p>
              </w:tc>
              <w:tc>
                <w:tcPr>
                  <w:tcW w:w="515" w:type="pct"/>
                  <w:vAlign w:val="center"/>
                </w:tcPr>
                <w:p w14:paraId="750FB9D5">
                  <w:pPr>
                    <w:jc w:val="center"/>
                    <w:rPr>
                      <w:rFonts w:cs="Times New Roman"/>
                      <w:kern w:val="0"/>
                      <w:sz w:val="21"/>
                      <w:szCs w:val="16"/>
                    </w:rPr>
                  </w:pPr>
                  <w:r>
                    <w:rPr>
                      <w:rFonts w:hint="eastAsia" w:cs="Times New Roman"/>
                      <w:kern w:val="0"/>
                      <w:sz w:val="21"/>
                      <w:szCs w:val="16"/>
                    </w:rPr>
                    <w:t>32.97</w:t>
                  </w:r>
                </w:p>
              </w:tc>
              <w:tc>
                <w:tcPr>
                  <w:tcW w:w="516" w:type="pct"/>
                  <w:vAlign w:val="center"/>
                </w:tcPr>
                <w:p w14:paraId="7759254C">
                  <w:pPr>
                    <w:jc w:val="center"/>
                    <w:rPr>
                      <w:rFonts w:cs="Times New Roman"/>
                      <w:kern w:val="0"/>
                      <w:sz w:val="21"/>
                      <w:szCs w:val="16"/>
                    </w:rPr>
                  </w:pPr>
                  <w:r>
                    <w:rPr>
                      <w:rFonts w:hint="eastAsia" w:cs="Times New Roman"/>
                      <w:kern w:val="0"/>
                      <w:sz w:val="21"/>
                      <w:szCs w:val="16"/>
                    </w:rPr>
                    <w:t>62.58</w:t>
                  </w:r>
                </w:p>
              </w:tc>
              <w:tc>
                <w:tcPr>
                  <w:tcW w:w="465" w:type="pct"/>
                  <w:vAlign w:val="center"/>
                </w:tcPr>
                <w:p w14:paraId="31F8DDCE">
                  <w:pPr>
                    <w:jc w:val="center"/>
                    <w:rPr>
                      <w:rFonts w:cs="Times New Roman"/>
                      <w:kern w:val="0"/>
                      <w:sz w:val="21"/>
                      <w:szCs w:val="16"/>
                    </w:rPr>
                  </w:pPr>
                  <w:r>
                    <w:rPr>
                      <w:rFonts w:hint="eastAsia" w:cs="Times New Roman"/>
                      <w:kern w:val="0"/>
                      <w:sz w:val="21"/>
                      <w:szCs w:val="16"/>
                    </w:rPr>
                    <w:t>1</w:t>
                  </w:r>
                </w:p>
              </w:tc>
              <w:tc>
                <w:tcPr>
                  <w:tcW w:w="727" w:type="pct"/>
                  <w:vAlign w:val="center"/>
                </w:tcPr>
                <w:p w14:paraId="3361F1CB">
                  <w:pPr>
                    <w:jc w:val="center"/>
                    <w:rPr>
                      <w:rFonts w:cs="Times New Roman"/>
                      <w:kern w:val="0"/>
                      <w:sz w:val="21"/>
                      <w:szCs w:val="16"/>
                    </w:rPr>
                  </w:pPr>
                  <w:r>
                    <w:rPr>
                      <w:rFonts w:hint="eastAsia" w:cs="Times New Roman"/>
                      <w:kern w:val="0"/>
                      <w:sz w:val="21"/>
                      <w:szCs w:val="16"/>
                    </w:rPr>
                    <w:t>70</w:t>
                  </w:r>
                </w:p>
              </w:tc>
              <w:tc>
                <w:tcPr>
                  <w:tcW w:w="556" w:type="pct"/>
                  <w:vMerge w:val="continue"/>
                  <w:vAlign w:val="center"/>
                </w:tcPr>
                <w:p w14:paraId="4F85B6F0">
                  <w:pPr>
                    <w:jc w:val="center"/>
                    <w:rPr>
                      <w:rFonts w:cs="Times New Roman"/>
                      <w:kern w:val="0"/>
                      <w:sz w:val="21"/>
                      <w:szCs w:val="16"/>
                    </w:rPr>
                  </w:pPr>
                </w:p>
              </w:tc>
              <w:tc>
                <w:tcPr>
                  <w:tcW w:w="555" w:type="pct"/>
                  <w:vAlign w:val="center"/>
                </w:tcPr>
                <w:p w14:paraId="57C7E5E2">
                  <w:pPr>
                    <w:jc w:val="center"/>
                    <w:rPr>
                      <w:rFonts w:cs="Times New Roman"/>
                      <w:kern w:val="0"/>
                      <w:sz w:val="21"/>
                      <w:szCs w:val="16"/>
                    </w:rPr>
                  </w:pPr>
                  <w:r>
                    <w:rPr>
                      <w:rFonts w:hint="eastAsia" w:cs="Times New Roman"/>
                      <w:kern w:val="0"/>
                      <w:sz w:val="21"/>
                      <w:szCs w:val="16"/>
                    </w:rPr>
                    <w:t>昼间</w:t>
                  </w:r>
                </w:p>
              </w:tc>
            </w:tr>
          </w:tbl>
          <w:p w14:paraId="122CE534">
            <w:pPr>
              <w:spacing w:line="360" w:lineRule="auto"/>
              <w:ind w:firstLine="480" w:firstLineChars="200"/>
            </w:pPr>
          </w:p>
          <w:p w14:paraId="1B2882F2">
            <w:pPr>
              <w:spacing w:line="360" w:lineRule="auto"/>
              <w:ind w:firstLine="480" w:firstLineChars="200"/>
              <w:rPr>
                <w:b/>
                <w:bCs/>
                <w:u w:val="single"/>
              </w:rPr>
            </w:pPr>
            <w:r>
              <w:rPr>
                <w:rFonts w:hint="eastAsia"/>
              </w:rPr>
              <w:t>根据《环境影响评价技术导则声环境》（HJ 2.4-2021）推荐的噪声预测模型，结合噪声源到各预测点距离，通过计算，</w:t>
            </w:r>
            <w:r>
              <w:rPr>
                <w:rFonts w:hint="eastAsia"/>
                <w:b/>
                <w:bCs/>
                <w:u w:val="single"/>
              </w:rPr>
              <w:t>项目各噪声源至本工程码头东、西、南、北厂界的预测值见下表：</w:t>
            </w:r>
          </w:p>
          <w:p w14:paraId="1B20FD35">
            <w:pPr>
              <w:spacing w:line="360" w:lineRule="auto"/>
              <w:ind w:firstLine="482" w:firstLineChars="200"/>
              <w:rPr>
                <w:b/>
                <w:bCs/>
                <w:u w:val="single"/>
              </w:rPr>
            </w:pPr>
          </w:p>
          <w:p w14:paraId="6A3BC6F3">
            <w:pPr>
              <w:spacing w:line="360" w:lineRule="auto"/>
              <w:ind w:firstLine="482" w:firstLineChars="200"/>
              <w:rPr>
                <w:u w:val="single"/>
              </w:rPr>
            </w:pPr>
            <w:r>
              <w:rPr>
                <w:b/>
                <w:bCs/>
                <w:u w:val="single"/>
              </w:rPr>
              <w:t>表</w:t>
            </w:r>
            <w:r>
              <w:rPr>
                <w:rFonts w:hint="eastAsia"/>
                <w:b/>
                <w:bCs/>
                <w:u w:val="single"/>
              </w:rPr>
              <w:t>57</w:t>
            </w:r>
            <w:r>
              <w:rPr>
                <w:b/>
                <w:bCs/>
                <w:u w:val="single"/>
              </w:rPr>
              <w:t xml:space="preserve">       本项目厂界噪声预测结果一览表</w:t>
            </w:r>
            <w:r>
              <w:rPr>
                <w:u w:val="single"/>
              </w:rPr>
              <w:t xml:space="preserve">       单位：dB（A）</w:t>
            </w:r>
          </w:p>
          <w:tbl>
            <w:tblPr>
              <w:tblStyle w:val="5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003"/>
              <w:gridCol w:w="1139"/>
              <w:gridCol w:w="1142"/>
              <w:gridCol w:w="1355"/>
              <w:gridCol w:w="832"/>
              <w:gridCol w:w="1215"/>
            </w:tblGrid>
            <w:tr w14:paraId="0B90E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52" w:type="pct"/>
                  <w:vMerge w:val="restart"/>
                  <w:vAlign w:val="center"/>
                </w:tcPr>
                <w:p w14:paraId="124C42C1">
                  <w:pPr>
                    <w:jc w:val="center"/>
                    <w:rPr>
                      <w:rFonts w:cs="Times New Roman"/>
                      <w:b/>
                      <w:i/>
                      <w:kern w:val="0"/>
                      <w:sz w:val="21"/>
                      <w:szCs w:val="21"/>
                      <w:u w:val="single"/>
                    </w:rPr>
                  </w:pPr>
                  <w:r>
                    <w:rPr>
                      <w:rFonts w:hint="eastAsia" w:cs="Times New Roman"/>
                      <w:b/>
                      <w:i/>
                      <w:kern w:val="0"/>
                      <w:sz w:val="21"/>
                      <w:szCs w:val="21"/>
                      <w:u w:val="single"/>
                    </w:rPr>
                    <w:t>方位</w:t>
                  </w:r>
                </w:p>
              </w:tc>
              <w:tc>
                <w:tcPr>
                  <w:tcW w:w="652" w:type="pct"/>
                  <w:vMerge w:val="restart"/>
                  <w:vAlign w:val="center"/>
                </w:tcPr>
                <w:p w14:paraId="12A99DDD">
                  <w:pPr>
                    <w:jc w:val="center"/>
                    <w:rPr>
                      <w:rFonts w:cs="Times New Roman"/>
                      <w:b/>
                      <w:i/>
                      <w:kern w:val="0"/>
                      <w:sz w:val="21"/>
                      <w:szCs w:val="21"/>
                      <w:u w:val="single"/>
                    </w:rPr>
                  </w:pPr>
                  <w:r>
                    <w:rPr>
                      <w:rFonts w:hint="eastAsia" w:cs="Times New Roman"/>
                      <w:b/>
                      <w:i/>
                      <w:kern w:val="0"/>
                      <w:sz w:val="21"/>
                      <w:szCs w:val="21"/>
                      <w:u w:val="single"/>
                    </w:rPr>
                    <w:t>时段</w:t>
                  </w:r>
                </w:p>
              </w:tc>
              <w:tc>
                <w:tcPr>
                  <w:tcW w:w="1484" w:type="pct"/>
                  <w:gridSpan w:val="2"/>
                  <w:vAlign w:val="center"/>
                </w:tcPr>
                <w:p w14:paraId="1019E029">
                  <w:pPr>
                    <w:jc w:val="center"/>
                    <w:rPr>
                      <w:rFonts w:cs="Times New Roman"/>
                      <w:b/>
                      <w:i/>
                      <w:kern w:val="0"/>
                      <w:sz w:val="21"/>
                      <w:szCs w:val="21"/>
                      <w:u w:val="single"/>
                    </w:rPr>
                  </w:pPr>
                  <w:r>
                    <w:rPr>
                      <w:rFonts w:hint="eastAsia" w:cs="Times New Roman"/>
                      <w:b/>
                      <w:i/>
                      <w:kern w:val="0"/>
                      <w:sz w:val="21"/>
                      <w:szCs w:val="21"/>
                      <w:u w:val="single"/>
                    </w:rPr>
                    <w:t>最大噪声值出现点位</w:t>
                  </w:r>
                </w:p>
              </w:tc>
              <w:tc>
                <w:tcPr>
                  <w:tcW w:w="881" w:type="pct"/>
                  <w:vMerge w:val="restart"/>
                  <w:vAlign w:val="center"/>
                </w:tcPr>
                <w:p w14:paraId="4BB93333">
                  <w:pPr>
                    <w:jc w:val="center"/>
                    <w:rPr>
                      <w:rFonts w:cs="Times New Roman"/>
                      <w:b/>
                      <w:i/>
                      <w:kern w:val="0"/>
                      <w:sz w:val="21"/>
                      <w:szCs w:val="21"/>
                      <w:u w:val="single"/>
                    </w:rPr>
                  </w:pPr>
                  <w:r>
                    <w:rPr>
                      <w:rFonts w:hint="eastAsia" w:cs="Times New Roman"/>
                      <w:b/>
                      <w:i/>
                      <w:kern w:val="0"/>
                      <w:sz w:val="21"/>
                      <w:szCs w:val="21"/>
                      <w:u w:val="single"/>
                    </w:rPr>
                    <w:t>最大噪声值</w:t>
                  </w:r>
                </w:p>
              </w:tc>
              <w:tc>
                <w:tcPr>
                  <w:tcW w:w="541" w:type="pct"/>
                  <w:vMerge w:val="restart"/>
                  <w:vAlign w:val="center"/>
                </w:tcPr>
                <w:p w14:paraId="1AEE0F1C">
                  <w:pPr>
                    <w:jc w:val="center"/>
                    <w:rPr>
                      <w:rFonts w:cs="Times New Roman"/>
                      <w:b/>
                      <w:i/>
                      <w:kern w:val="0"/>
                      <w:sz w:val="21"/>
                      <w:szCs w:val="21"/>
                      <w:u w:val="single"/>
                    </w:rPr>
                  </w:pPr>
                  <w:r>
                    <w:rPr>
                      <w:rFonts w:hint="eastAsia" w:cs="Times New Roman"/>
                      <w:b/>
                      <w:i/>
                      <w:kern w:val="0"/>
                      <w:sz w:val="21"/>
                      <w:szCs w:val="21"/>
                      <w:u w:val="single"/>
                    </w:rPr>
                    <w:t>标准</w:t>
                  </w:r>
                </w:p>
              </w:tc>
              <w:tc>
                <w:tcPr>
                  <w:tcW w:w="790" w:type="pct"/>
                  <w:vMerge w:val="restart"/>
                  <w:vAlign w:val="center"/>
                </w:tcPr>
                <w:p w14:paraId="39C66802">
                  <w:pPr>
                    <w:jc w:val="center"/>
                    <w:rPr>
                      <w:rFonts w:cs="Times New Roman"/>
                      <w:b/>
                      <w:i/>
                      <w:kern w:val="0"/>
                      <w:sz w:val="21"/>
                      <w:szCs w:val="21"/>
                      <w:u w:val="single"/>
                    </w:rPr>
                  </w:pPr>
                  <w:r>
                    <w:rPr>
                      <w:rFonts w:hint="eastAsia" w:cs="Times New Roman"/>
                      <w:b/>
                      <w:i/>
                      <w:kern w:val="0"/>
                      <w:sz w:val="21"/>
                      <w:szCs w:val="21"/>
                      <w:u w:val="single"/>
                    </w:rPr>
                    <w:t>是否</w:t>
                  </w:r>
                  <w:r>
                    <w:rPr>
                      <w:rFonts w:cs="Times New Roman"/>
                      <w:b/>
                      <w:i/>
                      <w:kern w:val="0"/>
                      <w:sz w:val="21"/>
                      <w:szCs w:val="21"/>
                      <w:u w:val="single"/>
                    </w:rPr>
                    <w:t>达标</w:t>
                  </w:r>
                </w:p>
              </w:tc>
            </w:tr>
            <w:tr w14:paraId="213EE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Merge w:val="continue"/>
                  <w:vAlign w:val="center"/>
                </w:tcPr>
                <w:p w14:paraId="523F80CC">
                  <w:pPr>
                    <w:jc w:val="center"/>
                    <w:rPr>
                      <w:rFonts w:cs="Times New Roman"/>
                      <w:b/>
                      <w:i/>
                      <w:kern w:val="0"/>
                      <w:sz w:val="21"/>
                      <w:szCs w:val="21"/>
                      <w:u w:val="single"/>
                    </w:rPr>
                  </w:pPr>
                </w:p>
              </w:tc>
              <w:tc>
                <w:tcPr>
                  <w:tcW w:w="652" w:type="pct"/>
                  <w:vMerge w:val="continue"/>
                  <w:vAlign w:val="center"/>
                </w:tcPr>
                <w:p w14:paraId="693CE068">
                  <w:pPr>
                    <w:jc w:val="center"/>
                    <w:rPr>
                      <w:rFonts w:cs="Times New Roman"/>
                      <w:b/>
                      <w:i/>
                      <w:kern w:val="0"/>
                      <w:sz w:val="21"/>
                      <w:szCs w:val="21"/>
                      <w:u w:val="single"/>
                    </w:rPr>
                  </w:pPr>
                </w:p>
              </w:tc>
              <w:tc>
                <w:tcPr>
                  <w:tcW w:w="741" w:type="pct"/>
                  <w:vAlign w:val="center"/>
                </w:tcPr>
                <w:p w14:paraId="5F79EEDD">
                  <w:pPr>
                    <w:jc w:val="center"/>
                    <w:rPr>
                      <w:rFonts w:cs="Times New Roman"/>
                      <w:b/>
                      <w:i/>
                      <w:kern w:val="0"/>
                      <w:sz w:val="21"/>
                      <w:szCs w:val="21"/>
                      <w:u w:val="single"/>
                    </w:rPr>
                  </w:pPr>
                  <w:r>
                    <w:rPr>
                      <w:rFonts w:hint="eastAsia" w:cs="Times New Roman"/>
                      <w:b/>
                      <w:i/>
                      <w:kern w:val="0"/>
                      <w:sz w:val="21"/>
                      <w:szCs w:val="21"/>
                      <w:u w:val="single"/>
                    </w:rPr>
                    <w:t>X</w:t>
                  </w:r>
                </w:p>
              </w:tc>
              <w:tc>
                <w:tcPr>
                  <w:tcW w:w="743" w:type="pct"/>
                  <w:vAlign w:val="center"/>
                </w:tcPr>
                <w:p w14:paraId="63CD8281">
                  <w:pPr>
                    <w:jc w:val="center"/>
                    <w:rPr>
                      <w:rFonts w:cs="Times New Roman"/>
                      <w:b/>
                      <w:i/>
                      <w:kern w:val="0"/>
                      <w:sz w:val="21"/>
                      <w:szCs w:val="21"/>
                      <w:u w:val="single"/>
                    </w:rPr>
                  </w:pPr>
                  <w:r>
                    <w:rPr>
                      <w:rFonts w:hint="eastAsia" w:cs="Times New Roman"/>
                      <w:b/>
                      <w:i/>
                      <w:kern w:val="0"/>
                      <w:sz w:val="21"/>
                      <w:szCs w:val="21"/>
                      <w:u w:val="single"/>
                    </w:rPr>
                    <w:t>Y</w:t>
                  </w:r>
                </w:p>
              </w:tc>
              <w:tc>
                <w:tcPr>
                  <w:tcW w:w="881" w:type="pct"/>
                  <w:vMerge w:val="continue"/>
                  <w:vAlign w:val="center"/>
                </w:tcPr>
                <w:p w14:paraId="5E14701E">
                  <w:pPr>
                    <w:jc w:val="center"/>
                    <w:rPr>
                      <w:rFonts w:cs="Times New Roman"/>
                      <w:b/>
                      <w:i/>
                      <w:kern w:val="0"/>
                      <w:sz w:val="21"/>
                      <w:szCs w:val="21"/>
                      <w:u w:val="single"/>
                    </w:rPr>
                  </w:pPr>
                </w:p>
              </w:tc>
              <w:tc>
                <w:tcPr>
                  <w:tcW w:w="541" w:type="pct"/>
                  <w:vMerge w:val="continue"/>
                  <w:vAlign w:val="center"/>
                </w:tcPr>
                <w:p w14:paraId="511E2642">
                  <w:pPr>
                    <w:jc w:val="center"/>
                    <w:rPr>
                      <w:rFonts w:cs="Times New Roman"/>
                      <w:b/>
                      <w:i/>
                      <w:kern w:val="0"/>
                      <w:sz w:val="21"/>
                      <w:szCs w:val="21"/>
                      <w:u w:val="single"/>
                    </w:rPr>
                  </w:pPr>
                </w:p>
              </w:tc>
              <w:tc>
                <w:tcPr>
                  <w:tcW w:w="790" w:type="pct"/>
                  <w:vMerge w:val="continue"/>
                  <w:vAlign w:val="center"/>
                </w:tcPr>
                <w:p w14:paraId="0CAE9962">
                  <w:pPr>
                    <w:jc w:val="center"/>
                    <w:rPr>
                      <w:rFonts w:cs="Times New Roman"/>
                      <w:b/>
                      <w:i/>
                      <w:kern w:val="0"/>
                      <w:sz w:val="21"/>
                      <w:szCs w:val="21"/>
                      <w:u w:val="single"/>
                    </w:rPr>
                  </w:pPr>
                </w:p>
              </w:tc>
            </w:tr>
            <w:tr w14:paraId="44822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14:paraId="05D17F2F">
                  <w:pPr>
                    <w:jc w:val="center"/>
                    <w:rPr>
                      <w:rFonts w:cs="Times New Roman"/>
                      <w:bCs/>
                      <w:i/>
                      <w:kern w:val="0"/>
                      <w:sz w:val="21"/>
                      <w:szCs w:val="21"/>
                      <w:u w:val="single"/>
                    </w:rPr>
                  </w:pPr>
                  <w:r>
                    <w:rPr>
                      <w:rFonts w:hint="eastAsia" w:cs="Times New Roman"/>
                      <w:bCs/>
                      <w:i/>
                      <w:kern w:val="0"/>
                      <w:sz w:val="21"/>
                      <w:szCs w:val="21"/>
                      <w:u w:val="single"/>
                    </w:rPr>
                    <w:t>东侧</w:t>
                  </w:r>
                </w:p>
              </w:tc>
              <w:tc>
                <w:tcPr>
                  <w:tcW w:w="652" w:type="pct"/>
                  <w:vMerge w:val="restart"/>
                  <w:vAlign w:val="center"/>
                </w:tcPr>
                <w:p w14:paraId="5108F362">
                  <w:pPr>
                    <w:jc w:val="center"/>
                    <w:rPr>
                      <w:rFonts w:cs="Times New Roman"/>
                      <w:bCs/>
                      <w:i/>
                      <w:kern w:val="0"/>
                      <w:sz w:val="21"/>
                      <w:szCs w:val="21"/>
                      <w:u w:val="single"/>
                    </w:rPr>
                  </w:pPr>
                  <w:r>
                    <w:rPr>
                      <w:rFonts w:hint="eastAsia" w:cs="Times New Roman"/>
                      <w:bCs/>
                      <w:i/>
                      <w:kern w:val="0"/>
                      <w:sz w:val="21"/>
                      <w:szCs w:val="21"/>
                      <w:u w:val="single"/>
                    </w:rPr>
                    <w:t>昼间</w:t>
                  </w:r>
                </w:p>
              </w:tc>
              <w:tc>
                <w:tcPr>
                  <w:tcW w:w="741" w:type="pct"/>
                </w:tcPr>
                <w:p w14:paraId="5F6DD11D">
                  <w:pPr>
                    <w:jc w:val="center"/>
                    <w:rPr>
                      <w:rFonts w:cs="Times New Roman"/>
                      <w:bCs/>
                      <w:i/>
                      <w:kern w:val="0"/>
                      <w:sz w:val="21"/>
                      <w:szCs w:val="21"/>
                      <w:u w:val="single"/>
                    </w:rPr>
                  </w:pPr>
                  <w:r>
                    <w:rPr>
                      <w:rFonts w:cs="Times New Roman"/>
                      <w:bCs/>
                      <w:i/>
                      <w:kern w:val="0"/>
                      <w:sz w:val="21"/>
                      <w:szCs w:val="21"/>
                      <w:u w:val="single"/>
                    </w:rPr>
                    <w:t>66.35</w:t>
                  </w:r>
                </w:p>
              </w:tc>
              <w:tc>
                <w:tcPr>
                  <w:tcW w:w="743" w:type="pct"/>
                </w:tcPr>
                <w:p w14:paraId="12FC2F90">
                  <w:pPr>
                    <w:jc w:val="center"/>
                    <w:rPr>
                      <w:rFonts w:cs="Times New Roman"/>
                      <w:bCs/>
                      <w:i/>
                      <w:kern w:val="0"/>
                      <w:sz w:val="21"/>
                      <w:szCs w:val="21"/>
                      <w:u w:val="single"/>
                    </w:rPr>
                  </w:pPr>
                  <w:r>
                    <w:rPr>
                      <w:rFonts w:cs="Times New Roman"/>
                      <w:bCs/>
                      <w:i/>
                      <w:kern w:val="0"/>
                      <w:sz w:val="21"/>
                      <w:szCs w:val="21"/>
                      <w:u w:val="single"/>
                    </w:rPr>
                    <w:t>33.92</w:t>
                  </w:r>
                </w:p>
              </w:tc>
              <w:tc>
                <w:tcPr>
                  <w:tcW w:w="881" w:type="pct"/>
                  <w:vAlign w:val="center"/>
                </w:tcPr>
                <w:p w14:paraId="6FB95B9C">
                  <w:pPr>
                    <w:jc w:val="center"/>
                    <w:rPr>
                      <w:rFonts w:cs="Times New Roman"/>
                      <w:bCs/>
                      <w:i/>
                      <w:kern w:val="0"/>
                      <w:sz w:val="21"/>
                      <w:szCs w:val="21"/>
                      <w:u w:val="single"/>
                    </w:rPr>
                  </w:pPr>
                  <w:r>
                    <w:rPr>
                      <w:rFonts w:hint="eastAsia" w:cs="Times New Roman"/>
                      <w:bCs/>
                      <w:i/>
                      <w:kern w:val="0"/>
                      <w:sz w:val="21"/>
                      <w:szCs w:val="21"/>
                      <w:u w:val="single"/>
                    </w:rPr>
                    <w:t>53.69</w:t>
                  </w:r>
                </w:p>
              </w:tc>
              <w:tc>
                <w:tcPr>
                  <w:tcW w:w="541" w:type="pct"/>
                  <w:vAlign w:val="center"/>
                </w:tcPr>
                <w:p w14:paraId="34FC67A2">
                  <w:pPr>
                    <w:jc w:val="center"/>
                    <w:rPr>
                      <w:rFonts w:cs="Times New Roman"/>
                      <w:bCs/>
                      <w:i/>
                      <w:kern w:val="0"/>
                      <w:sz w:val="21"/>
                      <w:szCs w:val="21"/>
                      <w:u w:val="single"/>
                    </w:rPr>
                  </w:pPr>
                  <w:r>
                    <w:rPr>
                      <w:rFonts w:hint="eastAsia" w:cs="Times New Roman"/>
                      <w:bCs/>
                      <w:i/>
                      <w:kern w:val="0"/>
                      <w:sz w:val="21"/>
                      <w:szCs w:val="21"/>
                      <w:u w:val="single"/>
                    </w:rPr>
                    <w:t>55</w:t>
                  </w:r>
                </w:p>
              </w:tc>
              <w:tc>
                <w:tcPr>
                  <w:tcW w:w="790" w:type="pct"/>
                  <w:vAlign w:val="center"/>
                </w:tcPr>
                <w:p w14:paraId="52208459">
                  <w:pPr>
                    <w:jc w:val="center"/>
                    <w:rPr>
                      <w:rFonts w:cs="Times New Roman"/>
                      <w:bCs/>
                      <w:i/>
                      <w:kern w:val="0"/>
                      <w:sz w:val="21"/>
                      <w:szCs w:val="21"/>
                      <w:u w:val="single"/>
                    </w:rPr>
                  </w:pPr>
                  <w:r>
                    <w:rPr>
                      <w:rFonts w:hint="eastAsia" w:cs="Times New Roman"/>
                      <w:bCs/>
                      <w:i/>
                      <w:kern w:val="0"/>
                      <w:sz w:val="21"/>
                      <w:szCs w:val="21"/>
                      <w:u w:val="single"/>
                    </w:rPr>
                    <w:t>是</w:t>
                  </w:r>
                </w:p>
              </w:tc>
            </w:tr>
            <w:tr w14:paraId="7D70C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14:paraId="4F9E5E90">
                  <w:pPr>
                    <w:jc w:val="center"/>
                    <w:rPr>
                      <w:rFonts w:cs="Times New Roman"/>
                      <w:bCs/>
                      <w:i/>
                      <w:kern w:val="0"/>
                      <w:sz w:val="21"/>
                      <w:szCs w:val="21"/>
                      <w:u w:val="single"/>
                    </w:rPr>
                  </w:pPr>
                  <w:r>
                    <w:rPr>
                      <w:rFonts w:hint="eastAsia" w:cs="Times New Roman"/>
                      <w:bCs/>
                      <w:i/>
                      <w:kern w:val="0"/>
                      <w:sz w:val="21"/>
                      <w:szCs w:val="21"/>
                      <w:u w:val="single"/>
                    </w:rPr>
                    <w:t>南侧</w:t>
                  </w:r>
                </w:p>
              </w:tc>
              <w:tc>
                <w:tcPr>
                  <w:tcW w:w="652" w:type="pct"/>
                  <w:vMerge w:val="continue"/>
                  <w:vAlign w:val="center"/>
                </w:tcPr>
                <w:p w14:paraId="099E8A31">
                  <w:pPr>
                    <w:jc w:val="center"/>
                    <w:rPr>
                      <w:rFonts w:cs="Times New Roman"/>
                      <w:bCs/>
                      <w:i/>
                      <w:kern w:val="0"/>
                      <w:sz w:val="21"/>
                      <w:szCs w:val="21"/>
                      <w:u w:val="single"/>
                    </w:rPr>
                  </w:pPr>
                </w:p>
              </w:tc>
              <w:tc>
                <w:tcPr>
                  <w:tcW w:w="741" w:type="pct"/>
                </w:tcPr>
                <w:p w14:paraId="22281F0B">
                  <w:pPr>
                    <w:jc w:val="center"/>
                    <w:rPr>
                      <w:rFonts w:cs="Times New Roman"/>
                      <w:bCs/>
                      <w:i/>
                      <w:kern w:val="0"/>
                      <w:sz w:val="21"/>
                      <w:szCs w:val="21"/>
                      <w:u w:val="single"/>
                    </w:rPr>
                  </w:pPr>
                  <w:r>
                    <w:rPr>
                      <w:rFonts w:cs="Times New Roman"/>
                      <w:bCs/>
                      <w:i/>
                      <w:kern w:val="0"/>
                      <w:sz w:val="21"/>
                      <w:szCs w:val="21"/>
                      <w:u w:val="single"/>
                    </w:rPr>
                    <w:t>-84.78</w:t>
                  </w:r>
                </w:p>
              </w:tc>
              <w:tc>
                <w:tcPr>
                  <w:tcW w:w="743" w:type="pct"/>
                </w:tcPr>
                <w:p w14:paraId="783BA709">
                  <w:pPr>
                    <w:jc w:val="center"/>
                    <w:rPr>
                      <w:rFonts w:cs="Times New Roman"/>
                      <w:bCs/>
                      <w:i/>
                      <w:kern w:val="0"/>
                      <w:sz w:val="21"/>
                      <w:szCs w:val="21"/>
                      <w:u w:val="single"/>
                    </w:rPr>
                  </w:pPr>
                  <w:r>
                    <w:rPr>
                      <w:rFonts w:cs="Times New Roman"/>
                      <w:bCs/>
                      <w:i/>
                      <w:kern w:val="0"/>
                      <w:sz w:val="21"/>
                      <w:szCs w:val="21"/>
                      <w:u w:val="single"/>
                    </w:rPr>
                    <w:t>-149.51</w:t>
                  </w:r>
                </w:p>
              </w:tc>
              <w:tc>
                <w:tcPr>
                  <w:tcW w:w="881" w:type="pct"/>
                  <w:vAlign w:val="center"/>
                </w:tcPr>
                <w:p w14:paraId="2383ED65">
                  <w:pPr>
                    <w:jc w:val="center"/>
                    <w:rPr>
                      <w:rFonts w:cs="Times New Roman"/>
                      <w:bCs/>
                      <w:i/>
                      <w:kern w:val="0"/>
                      <w:sz w:val="21"/>
                      <w:szCs w:val="21"/>
                      <w:u w:val="single"/>
                    </w:rPr>
                  </w:pPr>
                  <w:r>
                    <w:rPr>
                      <w:rFonts w:hint="eastAsia" w:cs="Times New Roman"/>
                      <w:bCs/>
                      <w:i/>
                      <w:kern w:val="0"/>
                      <w:sz w:val="21"/>
                      <w:szCs w:val="21"/>
                      <w:u w:val="single"/>
                    </w:rPr>
                    <w:t>39.15</w:t>
                  </w:r>
                </w:p>
              </w:tc>
              <w:tc>
                <w:tcPr>
                  <w:tcW w:w="541" w:type="pct"/>
                  <w:vAlign w:val="center"/>
                </w:tcPr>
                <w:p w14:paraId="17370F8A">
                  <w:pPr>
                    <w:jc w:val="center"/>
                    <w:rPr>
                      <w:rFonts w:cs="Times New Roman"/>
                      <w:bCs/>
                      <w:i/>
                      <w:kern w:val="0"/>
                      <w:sz w:val="21"/>
                      <w:szCs w:val="21"/>
                      <w:u w:val="single"/>
                    </w:rPr>
                  </w:pPr>
                  <w:r>
                    <w:rPr>
                      <w:rFonts w:hint="eastAsia" w:cs="Times New Roman"/>
                      <w:bCs/>
                      <w:i/>
                      <w:kern w:val="0"/>
                      <w:sz w:val="21"/>
                      <w:szCs w:val="21"/>
                      <w:u w:val="single"/>
                    </w:rPr>
                    <w:t>55</w:t>
                  </w:r>
                </w:p>
              </w:tc>
              <w:tc>
                <w:tcPr>
                  <w:tcW w:w="790" w:type="pct"/>
                  <w:vAlign w:val="center"/>
                </w:tcPr>
                <w:p w14:paraId="365BDE6D">
                  <w:pPr>
                    <w:jc w:val="center"/>
                    <w:rPr>
                      <w:rFonts w:cs="Times New Roman"/>
                      <w:bCs/>
                      <w:i/>
                      <w:kern w:val="0"/>
                      <w:sz w:val="21"/>
                      <w:szCs w:val="21"/>
                      <w:u w:val="single"/>
                    </w:rPr>
                  </w:pPr>
                  <w:r>
                    <w:rPr>
                      <w:rFonts w:hint="eastAsia" w:cs="Times New Roman"/>
                      <w:bCs/>
                      <w:i/>
                      <w:kern w:val="0"/>
                      <w:sz w:val="21"/>
                      <w:szCs w:val="21"/>
                      <w:u w:val="single"/>
                    </w:rPr>
                    <w:t>是</w:t>
                  </w:r>
                </w:p>
              </w:tc>
            </w:tr>
            <w:tr w14:paraId="6C5F6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14:paraId="6A51D708">
                  <w:pPr>
                    <w:jc w:val="center"/>
                    <w:rPr>
                      <w:rFonts w:cs="Times New Roman"/>
                      <w:bCs/>
                      <w:i/>
                      <w:kern w:val="0"/>
                      <w:sz w:val="21"/>
                      <w:szCs w:val="21"/>
                      <w:u w:val="single"/>
                    </w:rPr>
                  </w:pPr>
                  <w:r>
                    <w:rPr>
                      <w:rFonts w:hint="eastAsia" w:cs="Times New Roman"/>
                      <w:bCs/>
                      <w:i/>
                      <w:kern w:val="0"/>
                      <w:sz w:val="21"/>
                      <w:szCs w:val="21"/>
                      <w:u w:val="single"/>
                    </w:rPr>
                    <w:t>西侧</w:t>
                  </w:r>
                </w:p>
              </w:tc>
              <w:tc>
                <w:tcPr>
                  <w:tcW w:w="652" w:type="pct"/>
                  <w:vMerge w:val="continue"/>
                  <w:vAlign w:val="center"/>
                </w:tcPr>
                <w:p w14:paraId="60B34D35">
                  <w:pPr>
                    <w:jc w:val="center"/>
                    <w:rPr>
                      <w:rFonts w:cs="Times New Roman"/>
                      <w:bCs/>
                      <w:i/>
                      <w:kern w:val="0"/>
                      <w:sz w:val="21"/>
                      <w:szCs w:val="21"/>
                      <w:u w:val="single"/>
                    </w:rPr>
                  </w:pPr>
                </w:p>
              </w:tc>
              <w:tc>
                <w:tcPr>
                  <w:tcW w:w="741" w:type="pct"/>
                </w:tcPr>
                <w:p w14:paraId="59A5DB65">
                  <w:pPr>
                    <w:jc w:val="center"/>
                    <w:rPr>
                      <w:rFonts w:cs="Times New Roman"/>
                      <w:bCs/>
                      <w:i/>
                      <w:kern w:val="0"/>
                      <w:sz w:val="21"/>
                      <w:szCs w:val="21"/>
                      <w:u w:val="single"/>
                    </w:rPr>
                  </w:pPr>
                  <w:r>
                    <w:rPr>
                      <w:rFonts w:cs="Times New Roman"/>
                      <w:bCs/>
                      <w:i/>
                      <w:kern w:val="0"/>
                      <w:sz w:val="21"/>
                      <w:szCs w:val="21"/>
                      <w:u w:val="single"/>
                    </w:rPr>
                    <w:t>-19.09</w:t>
                  </w:r>
                </w:p>
              </w:tc>
              <w:tc>
                <w:tcPr>
                  <w:tcW w:w="743" w:type="pct"/>
                </w:tcPr>
                <w:p w14:paraId="4ADE962B">
                  <w:pPr>
                    <w:jc w:val="center"/>
                    <w:rPr>
                      <w:rFonts w:cs="Times New Roman"/>
                      <w:bCs/>
                      <w:i/>
                      <w:kern w:val="0"/>
                      <w:sz w:val="21"/>
                      <w:szCs w:val="21"/>
                      <w:u w:val="single"/>
                    </w:rPr>
                  </w:pPr>
                  <w:r>
                    <w:rPr>
                      <w:rFonts w:cs="Times New Roman"/>
                      <w:bCs/>
                      <w:i/>
                      <w:kern w:val="0"/>
                      <w:sz w:val="21"/>
                      <w:szCs w:val="21"/>
                      <w:u w:val="single"/>
                    </w:rPr>
                    <w:t>96.96</w:t>
                  </w:r>
                </w:p>
              </w:tc>
              <w:tc>
                <w:tcPr>
                  <w:tcW w:w="881" w:type="pct"/>
                  <w:vAlign w:val="center"/>
                </w:tcPr>
                <w:p w14:paraId="5833DFB6">
                  <w:pPr>
                    <w:jc w:val="center"/>
                    <w:rPr>
                      <w:rFonts w:cs="Times New Roman"/>
                      <w:bCs/>
                      <w:i/>
                      <w:kern w:val="0"/>
                      <w:sz w:val="21"/>
                      <w:szCs w:val="21"/>
                      <w:u w:val="single"/>
                    </w:rPr>
                  </w:pPr>
                  <w:r>
                    <w:rPr>
                      <w:rFonts w:hint="eastAsia" w:cs="Times New Roman"/>
                      <w:bCs/>
                      <w:i/>
                      <w:kern w:val="0"/>
                      <w:sz w:val="21"/>
                      <w:szCs w:val="21"/>
                      <w:u w:val="single"/>
                    </w:rPr>
                    <w:t>48.21</w:t>
                  </w:r>
                </w:p>
              </w:tc>
              <w:tc>
                <w:tcPr>
                  <w:tcW w:w="541" w:type="pct"/>
                  <w:vAlign w:val="center"/>
                </w:tcPr>
                <w:p w14:paraId="591A3F21">
                  <w:pPr>
                    <w:jc w:val="center"/>
                    <w:rPr>
                      <w:rFonts w:cs="Times New Roman"/>
                      <w:bCs/>
                      <w:i/>
                      <w:kern w:val="0"/>
                      <w:sz w:val="21"/>
                      <w:szCs w:val="21"/>
                      <w:u w:val="single"/>
                    </w:rPr>
                  </w:pPr>
                  <w:r>
                    <w:rPr>
                      <w:rFonts w:hint="eastAsia" w:cs="Times New Roman"/>
                      <w:bCs/>
                      <w:i/>
                      <w:kern w:val="0"/>
                      <w:sz w:val="21"/>
                      <w:szCs w:val="21"/>
                      <w:u w:val="single"/>
                    </w:rPr>
                    <w:t>55</w:t>
                  </w:r>
                </w:p>
              </w:tc>
              <w:tc>
                <w:tcPr>
                  <w:tcW w:w="790" w:type="pct"/>
                  <w:vAlign w:val="center"/>
                </w:tcPr>
                <w:p w14:paraId="5EF4B20C">
                  <w:pPr>
                    <w:jc w:val="center"/>
                    <w:rPr>
                      <w:rFonts w:cs="Times New Roman"/>
                      <w:bCs/>
                      <w:i/>
                      <w:kern w:val="0"/>
                      <w:sz w:val="21"/>
                      <w:szCs w:val="21"/>
                      <w:u w:val="single"/>
                    </w:rPr>
                  </w:pPr>
                  <w:r>
                    <w:rPr>
                      <w:rFonts w:hint="eastAsia" w:cs="Times New Roman"/>
                      <w:bCs/>
                      <w:i/>
                      <w:kern w:val="0"/>
                      <w:sz w:val="21"/>
                      <w:szCs w:val="21"/>
                      <w:u w:val="single"/>
                    </w:rPr>
                    <w:t>是</w:t>
                  </w:r>
                </w:p>
              </w:tc>
            </w:tr>
            <w:tr w14:paraId="3CAE9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2" w:type="pct"/>
                  <w:vAlign w:val="center"/>
                </w:tcPr>
                <w:p w14:paraId="23041EA1">
                  <w:pPr>
                    <w:jc w:val="center"/>
                    <w:rPr>
                      <w:rFonts w:cs="Times New Roman"/>
                      <w:bCs/>
                      <w:i/>
                      <w:kern w:val="0"/>
                      <w:sz w:val="21"/>
                      <w:szCs w:val="21"/>
                      <w:u w:val="single"/>
                    </w:rPr>
                  </w:pPr>
                  <w:r>
                    <w:rPr>
                      <w:rFonts w:hint="eastAsia" w:cs="Times New Roman"/>
                      <w:bCs/>
                      <w:i/>
                      <w:kern w:val="0"/>
                      <w:sz w:val="21"/>
                      <w:szCs w:val="21"/>
                      <w:u w:val="single"/>
                    </w:rPr>
                    <w:t>北侧</w:t>
                  </w:r>
                </w:p>
              </w:tc>
              <w:tc>
                <w:tcPr>
                  <w:tcW w:w="652" w:type="pct"/>
                  <w:vMerge w:val="continue"/>
                  <w:vAlign w:val="center"/>
                </w:tcPr>
                <w:p w14:paraId="7017BE75">
                  <w:pPr>
                    <w:jc w:val="center"/>
                    <w:rPr>
                      <w:rFonts w:cs="Times New Roman"/>
                      <w:bCs/>
                      <w:i/>
                      <w:kern w:val="0"/>
                      <w:sz w:val="21"/>
                      <w:szCs w:val="21"/>
                      <w:u w:val="single"/>
                    </w:rPr>
                  </w:pPr>
                </w:p>
              </w:tc>
              <w:tc>
                <w:tcPr>
                  <w:tcW w:w="741" w:type="pct"/>
                </w:tcPr>
                <w:p w14:paraId="59F282A4">
                  <w:pPr>
                    <w:jc w:val="center"/>
                    <w:rPr>
                      <w:rFonts w:cs="Times New Roman"/>
                      <w:bCs/>
                      <w:i/>
                      <w:kern w:val="0"/>
                      <w:sz w:val="21"/>
                      <w:szCs w:val="21"/>
                      <w:u w:val="single"/>
                    </w:rPr>
                  </w:pPr>
                  <w:r>
                    <w:rPr>
                      <w:rFonts w:cs="Times New Roman"/>
                      <w:bCs/>
                      <w:i/>
                      <w:kern w:val="0"/>
                      <w:sz w:val="21"/>
                      <w:szCs w:val="21"/>
                      <w:u w:val="single"/>
                    </w:rPr>
                    <w:t>120.53</w:t>
                  </w:r>
                </w:p>
              </w:tc>
              <w:tc>
                <w:tcPr>
                  <w:tcW w:w="743" w:type="pct"/>
                </w:tcPr>
                <w:p w14:paraId="478ABC66">
                  <w:pPr>
                    <w:jc w:val="center"/>
                    <w:rPr>
                      <w:rFonts w:cs="Times New Roman"/>
                      <w:bCs/>
                      <w:i/>
                      <w:kern w:val="0"/>
                      <w:sz w:val="21"/>
                      <w:szCs w:val="21"/>
                      <w:u w:val="single"/>
                    </w:rPr>
                  </w:pPr>
                  <w:r>
                    <w:rPr>
                      <w:rFonts w:cs="Times New Roman"/>
                      <w:bCs/>
                      <w:i/>
                      <w:kern w:val="0"/>
                      <w:sz w:val="21"/>
                      <w:szCs w:val="21"/>
                      <w:u w:val="single"/>
                    </w:rPr>
                    <w:t>187.27</w:t>
                  </w:r>
                </w:p>
              </w:tc>
              <w:tc>
                <w:tcPr>
                  <w:tcW w:w="881" w:type="pct"/>
                  <w:vAlign w:val="center"/>
                </w:tcPr>
                <w:p w14:paraId="306A6155">
                  <w:pPr>
                    <w:jc w:val="center"/>
                    <w:rPr>
                      <w:rFonts w:cs="Times New Roman"/>
                      <w:bCs/>
                      <w:i/>
                      <w:kern w:val="0"/>
                      <w:sz w:val="21"/>
                      <w:szCs w:val="21"/>
                      <w:u w:val="single"/>
                    </w:rPr>
                  </w:pPr>
                  <w:r>
                    <w:rPr>
                      <w:rFonts w:hint="eastAsia" w:cs="Times New Roman"/>
                      <w:bCs/>
                      <w:i/>
                      <w:kern w:val="0"/>
                      <w:sz w:val="21"/>
                      <w:szCs w:val="21"/>
                      <w:u w:val="single"/>
                    </w:rPr>
                    <w:t>39.95</w:t>
                  </w:r>
                </w:p>
              </w:tc>
              <w:tc>
                <w:tcPr>
                  <w:tcW w:w="541" w:type="pct"/>
                  <w:vAlign w:val="center"/>
                </w:tcPr>
                <w:p w14:paraId="7C24D045">
                  <w:pPr>
                    <w:jc w:val="center"/>
                    <w:rPr>
                      <w:rFonts w:cs="Times New Roman"/>
                      <w:bCs/>
                      <w:i/>
                      <w:kern w:val="0"/>
                      <w:sz w:val="21"/>
                      <w:szCs w:val="21"/>
                      <w:u w:val="single"/>
                    </w:rPr>
                  </w:pPr>
                  <w:r>
                    <w:rPr>
                      <w:rFonts w:hint="eastAsia" w:cs="Times New Roman"/>
                      <w:bCs/>
                      <w:i/>
                      <w:kern w:val="0"/>
                      <w:sz w:val="21"/>
                      <w:szCs w:val="21"/>
                      <w:u w:val="single"/>
                    </w:rPr>
                    <w:t>55</w:t>
                  </w:r>
                </w:p>
              </w:tc>
              <w:tc>
                <w:tcPr>
                  <w:tcW w:w="790" w:type="pct"/>
                  <w:vAlign w:val="center"/>
                </w:tcPr>
                <w:p w14:paraId="2B56D177">
                  <w:pPr>
                    <w:jc w:val="center"/>
                    <w:rPr>
                      <w:rFonts w:cs="Times New Roman"/>
                      <w:bCs/>
                      <w:i/>
                      <w:kern w:val="0"/>
                      <w:sz w:val="21"/>
                      <w:szCs w:val="21"/>
                      <w:u w:val="single"/>
                    </w:rPr>
                  </w:pPr>
                  <w:r>
                    <w:rPr>
                      <w:rFonts w:hint="eastAsia" w:cs="Times New Roman"/>
                      <w:bCs/>
                      <w:i/>
                      <w:kern w:val="0"/>
                      <w:sz w:val="21"/>
                      <w:szCs w:val="21"/>
                      <w:u w:val="single"/>
                    </w:rPr>
                    <w:t>是</w:t>
                  </w:r>
                </w:p>
              </w:tc>
            </w:tr>
          </w:tbl>
          <w:p w14:paraId="652AE49A">
            <w:pPr>
              <w:spacing w:line="360" w:lineRule="auto"/>
            </w:pPr>
            <w:r>
              <w:rPr>
                <w:rFonts w:hint="eastAsia"/>
              </w:rPr>
              <w:drawing>
                <wp:inline distT="0" distB="0" distL="0" distR="0">
                  <wp:extent cx="4815840" cy="5588635"/>
                  <wp:effectExtent l="0" t="0" r="3810" b="0"/>
                  <wp:docPr id="1958407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07196"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20555" cy="5593515"/>
                          </a:xfrm>
                          <a:prstGeom prst="rect">
                            <a:avLst/>
                          </a:prstGeom>
                          <a:noFill/>
                          <a:ln>
                            <a:noFill/>
                          </a:ln>
                        </pic:spPr>
                      </pic:pic>
                    </a:graphicData>
                  </a:graphic>
                </wp:inline>
              </w:drawing>
            </w:r>
          </w:p>
          <w:p w14:paraId="05945D96">
            <w:pPr>
              <w:spacing w:line="360" w:lineRule="auto"/>
              <w:jc w:val="center"/>
              <w:rPr>
                <w:b/>
                <w:bCs/>
              </w:rPr>
            </w:pPr>
            <w:r>
              <w:rPr>
                <w:rFonts w:hint="eastAsia"/>
                <w:b/>
                <w:bCs/>
              </w:rPr>
              <w:t>图13     本工程运营期噪声预测结果等声级线图</w:t>
            </w:r>
          </w:p>
          <w:p w14:paraId="17BF0EB7">
            <w:pPr>
              <w:spacing w:line="360" w:lineRule="auto"/>
              <w:ind w:firstLine="480" w:firstLineChars="200"/>
            </w:pPr>
            <w:r>
              <w:rPr>
                <w:rFonts w:hint="eastAsia"/>
              </w:rPr>
              <w:t>可见，本项目运营期各工作设备噪声能够满足达标排放，不会对区域声环境产生明显的影响。</w:t>
            </w:r>
          </w:p>
          <w:p w14:paraId="20698560">
            <w:pPr>
              <w:spacing w:line="360" w:lineRule="auto"/>
              <w:ind w:firstLine="480" w:firstLineChars="200"/>
            </w:pPr>
            <w:r>
              <w:rPr>
                <w:rFonts w:hint="eastAsia"/>
              </w:rPr>
              <w:t>4、运营期固体废物影响分析</w:t>
            </w:r>
          </w:p>
          <w:p w14:paraId="679B8157">
            <w:pPr>
              <w:spacing w:line="360" w:lineRule="auto"/>
              <w:ind w:firstLine="480" w:firstLineChars="200"/>
            </w:pPr>
            <w:r>
              <w:rPr>
                <w:rFonts w:hint="eastAsia"/>
              </w:rPr>
              <w:t>本项目运营期产生的固体废物主要包括：装卸废物、航标维修固废、船舶含油污水分离废油、生活垃圾及食堂隔油固废。</w:t>
            </w:r>
          </w:p>
          <w:p w14:paraId="359F578E">
            <w:pPr>
              <w:spacing w:line="360" w:lineRule="auto"/>
              <w:ind w:firstLine="480" w:firstLineChars="200"/>
            </w:pPr>
            <w:r>
              <w:rPr>
                <w:rFonts w:hint="eastAsia"/>
              </w:rPr>
              <w:t>（1）装卸废物</w:t>
            </w:r>
          </w:p>
          <w:p w14:paraId="32D17879">
            <w:pPr>
              <w:spacing w:line="360" w:lineRule="auto"/>
              <w:ind w:firstLine="480" w:firstLineChars="200"/>
            </w:pPr>
            <w:r>
              <w:rPr>
                <w:rFonts w:hint="eastAsia"/>
              </w:rPr>
              <w:t>本项目运营期对航道疏浚过程中产生的疏浚物进行临时堆存，因此将产生少量的装卸废物，固废代码为：</w:t>
            </w:r>
            <w:r>
              <w:t>900-010-S17</w:t>
            </w:r>
            <w:r>
              <w:rPr>
                <w:rFonts w:hint="eastAsia"/>
              </w:rPr>
              <w:t>。参照《港口建设项目环境保护设计规范》（JTS 149-1-2007）的推荐公式计算：</w:t>
            </w:r>
          </w:p>
          <w:p w14:paraId="6ED0B876">
            <w:pPr>
              <w:pStyle w:val="53"/>
              <w:ind w:firstLine="2880" w:firstLineChars="1200"/>
            </w:pPr>
            <w:r>
              <w:t>G=W×K</w:t>
            </w:r>
          </w:p>
          <w:p w14:paraId="58418C2A">
            <w:pPr>
              <w:pStyle w:val="53"/>
              <w:ind w:firstLine="480"/>
            </w:pPr>
            <w:r>
              <w:t>式中：G——卸货作业产生的固体废物量；</w:t>
            </w:r>
          </w:p>
          <w:p w14:paraId="65AB067D">
            <w:pPr>
              <w:pStyle w:val="53"/>
              <w:ind w:firstLine="1200" w:firstLineChars="500"/>
            </w:pPr>
            <w:r>
              <w:t>W——卸下的货物量；</w:t>
            </w:r>
          </w:p>
          <w:p w14:paraId="49964FBD">
            <w:pPr>
              <w:spacing w:line="360" w:lineRule="auto"/>
              <w:ind w:firstLine="1200" w:firstLineChars="500"/>
            </w:pPr>
            <w:r>
              <w:t>K——货物废物发生率，干散货可取1/10000。</w:t>
            </w:r>
          </w:p>
          <w:p w14:paraId="4444D692">
            <w:pPr>
              <w:spacing w:line="360" w:lineRule="auto"/>
              <w:ind w:firstLine="480" w:firstLineChars="200"/>
            </w:pPr>
            <w:r>
              <w:rPr>
                <w:rFonts w:hint="eastAsia"/>
              </w:rPr>
              <w:t>根据本工程初步设计，预计运营期疏浚最大砂石量约5000m³/a，按照密度1.8g/cm</w:t>
            </w:r>
            <w:r>
              <w:rPr>
                <w:rFonts w:hint="eastAsia"/>
                <w:vertAlign w:val="superscript"/>
              </w:rPr>
              <w:t>3</w:t>
            </w:r>
            <w:r>
              <w:rPr>
                <w:rFonts w:hint="eastAsia"/>
              </w:rPr>
              <w:t>计算，预计运营期疏浚最大砂石量为9000t/a，按照本项目疏浚次数为1次/a，则本项目装卸废物产生量约0.9t/a。</w:t>
            </w:r>
          </w:p>
          <w:p w14:paraId="35079AB0">
            <w:pPr>
              <w:spacing w:line="360" w:lineRule="auto"/>
              <w:ind w:firstLine="480" w:firstLineChars="200"/>
            </w:pPr>
            <w:r>
              <w:rPr>
                <w:rFonts w:hint="eastAsia"/>
              </w:rPr>
              <w:t>装卸固废产生后，集中收集连同疏浚砂石一并外运出码头综合利用，不会对外环境产生二次污染。</w:t>
            </w:r>
          </w:p>
          <w:p w14:paraId="733A6382">
            <w:pPr>
              <w:spacing w:line="360" w:lineRule="auto"/>
              <w:ind w:firstLine="480" w:firstLineChars="200"/>
            </w:pPr>
            <w:r>
              <w:rPr>
                <w:rFonts w:hint="eastAsia"/>
              </w:rPr>
              <w:t>（2）航标维修固废</w:t>
            </w:r>
          </w:p>
          <w:p w14:paraId="202DE92C">
            <w:pPr>
              <w:spacing w:line="360" w:lineRule="auto"/>
              <w:ind w:firstLine="480" w:firstLineChars="200"/>
            </w:pPr>
            <w:r>
              <w:rPr>
                <w:rFonts w:hint="eastAsia"/>
              </w:rPr>
              <w:t>本项目航标维修过程中将产生少量的固体废物，主要包括清理下来的附着物、少量切割下来的金属材料等，固废代码为：</w:t>
            </w:r>
            <w:r>
              <w:t>900-099-S59</w:t>
            </w:r>
            <w:r>
              <w:rPr>
                <w:rFonts w:hint="eastAsia"/>
              </w:rPr>
              <w:t>，其产生量预计约0.05t/a，统一收集后外售与资源回收企业。</w:t>
            </w:r>
          </w:p>
          <w:p w14:paraId="21E074BE">
            <w:pPr>
              <w:spacing w:line="360" w:lineRule="auto"/>
              <w:ind w:firstLine="480" w:firstLineChars="200"/>
            </w:pPr>
            <w:r>
              <w:rPr>
                <w:rFonts w:hint="eastAsia"/>
              </w:rPr>
              <w:t>（3）生活垃圾</w:t>
            </w:r>
          </w:p>
          <w:p w14:paraId="6DF42210">
            <w:pPr>
              <w:spacing w:line="360" w:lineRule="auto"/>
              <w:ind w:firstLine="480" w:firstLineChars="200"/>
            </w:pPr>
            <w:r>
              <w:rPr>
                <w:rFonts w:hint="eastAsia"/>
              </w:rPr>
              <w:t>本项目运营期产生的生活垃圾主要包括：码头工作人员生活垃圾以及工作船舶人员生活垃圾。</w:t>
            </w:r>
          </w:p>
          <w:p w14:paraId="5978E75A">
            <w:pPr>
              <w:spacing w:line="360" w:lineRule="auto"/>
              <w:ind w:firstLine="480" w:firstLineChars="200"/>
            </w:pPr>
            <w:r>
              <w:rPr>
                <w:rFonts w:hint="eastAsia"/>
              </w:rPr>
              <w:t>本项目运营期码头劳动定员共14人，每人每天生活垃圾产生量按照0.5kg计，本项目劳动定员生活垃圾的产生量约1.155t/a，固废代码：</w:t>
            </w:r>
            <w:r>
              <w:t>900-099-S64</w:t>
            </w:r>
            <w:r>
              <w:rPr>
                <w:rFonts w:hint="eastAsia"/>
              </w:rPr>
              <w:t>，其采用垃圾箱收集，并交由环卫部门统一进行处理。</w:t>
            </w:r>
            <w:r>
              <w:rPr>
                <w:rFonts w:hint="eastAsia"/>
                <w:b/>
                <w:bCs/>
                <w:u w:val="single"/>
              </w:rPr>
              <w:t>另外，本项目食堂隔油池将产生少量隔油固废，约0.03t/a，</w:t>
            </w:r>
            <w:r>
              <w:rPr>
                <w:rFonts w:hint="eastAsia"/>
              </w:rPr>
              <w:t>固废代码：</w:t>
            </w:r>
            <w:r>
              <w:t>900-002-S61</w:t>
            </w:r>
            <w:r>
              <w:rPr>
                <w:rFonts w:hint="eastAsia"/>
              </w:rPr>
              <w:t>，其产生后集中收集，送有资质的单位进行统一处理。</w:t>
            </w:r>
          </w:p>
          <w:p w14:paraId="74A5F793">
            <w:pPr>
              <w:spacing w:line="360" w:lineRule="auto"/>
              <w:ind w:firstLine="480" w:firstLineChars="200"/>
            </w:pPr>
            <w:r>
              <w:rPr>
                <w:rFonts w:hint="eastAsia"/>
              </w:rPr>
              <w:t>本项目停靠的船舶均为工作船舶，因此人员生活垃圾产生量极少，不做定量计算。</w:t>
            </w:r>
          </w:p>
          <w:p w14:paraId="62605BEE">
            <w:pPr>
              <w:spacing w:line="360" w:lineRule="auto"/>
              <w:ind w:firstLine="480" w:firstLineChars="200"/>
            </w:pPr>
            <w:r>
              <w:rPr>
                <w:rFonts w:hint="eastAsia"/>
              </w:rPr>
              <w:t>本项目运营期产生的生活垃圾经垃圾箱集中收集后，统一交环卫部门进行处理，不会对外环境产生二次污染。</w:t>
            </w:r>
          </w:p>
          <w:p w14:paraId="614112D4">
            <w:pPr>
              <w:spacing w:line="360" w:lineRule="auto"/>
              <w:ind w:firstLine="480" w:firstLineChars="200"/>
            </w:pPr>
            <w:r>
              <w:rPr>
                <w:rFonts w:hint="eastAsia"/>
              </w:rPr>
              <w:t>（4）船舶含油污水分离废油</w:t>
            </w:r>
          </w:p>
          <w:p w14:paraId="0B65B07F">
            <w:pPr>
              <w:spacing w:line="360" w:lineRule="auto"/>
              <w:ind w:firstLine="482" w:firstLineChars="200"/>
              <w:rPr>
                <w:b/>
                <w:bCs/>
                <w:u w:val="single"/>
              </w:rPr>
            </w:pPr>
            <w:r>
              <w:rPr>
                <w:rFonts w:hint="eastAsia"/>
                <w:b/>
                <w:bCs/>
                <w:u w:val="single"/>
              </w:rPr>
              <w:t>来往本项目的船舶内经油水分离器处理后产生的废油属于危险废物，危废类别为：</w:t>
            </w:r>
            <w:r>
              <w:rPr>
                <w:b/>
                <w:bCs/>
                <w:u w:val="single"/>
              </w:rPr>
              <w:t>HW08</w:t>
            </w:r>
            <w:r>
              <w:rPr>
                <w:rFonts w:hint="eastAsia"/>
                <w:b/>
                <w:bCs/>
                <w:u w:val="single"/>
              </w:rPr>
              <w:t xml:space="preserve"> 废矿物油与含矿物油废物，废物代码为：</w:t>
            </w:r>
            <w:r>
              <w:rPr>
                <w:b/>
                <w:bCs/>
                <w:u w:val="single"/>
              </w:rPr>
              <w:t>900-210-08</w:t>
            </w:r>
            <w:r>
              <w:rPr>
                <w:rFonts w:hint="eastAsia"/>
                <w:b/>
                <w:bCs/>
                <w:u w:val="single"/>
              </w:rPr>
              <w:t>，此部分废油于船内产生，按照各船只最大工作量预计废油产生量约27.9kg/a。靠岸后定期清出并暂存在码头内设置的危废暂存仓内，最终交有资质单位进行统一处理。</w:t>
            </w:r>
          </w:p>
          <w:p w14:paraId="78B8D984">
            <w:pPr>
              <w:spacing w:line="360" w:lineRule="auto"/>
              <w:ind w:firstLine="480" w:firstLineChars="200"/>
            </w:pPr>
            <w:r>
              <w:rPr>
                <w:rFonts w:hint="eastAsia"/>
              </w:rPr>
              <w:t>综上可见，本项目产生的各项固体废物均能够得到合理、有效的处理与处置，不会对外环境产生二次污染。</w:t>
            </w:r>
          </w:p>
          <w:p w14:paraId="3384458F">
            <w:pPr>
              <w:spacing w:line="360" w:lineRule="auto"/>
              <w:ind w:firstLine="480" w:firstLineChars="200"/>
            </w:pPr>
            <w:r>
              <w:rPr>
                <w:rFonts w:hint="eastAsia"/>
              </w:rPr>
              <w:t>5、运营期生态环境影响分析</w:t>
            </w:r>
          </w:p>
          <w:p w14:paraId="0D43C37C">
            <w:pPr>
              <w:spacing w:line="360" w:lineRule="auto"/>
              <w:ind w:firstLine="480" w:firstLineChars="200"/>
            </w:pPr>
            <w:r>
              <w:rPr>
                <w:rFonts w:hint="eastAsia"/>
              </w:rPr>
              <w:t>（1）含油污水对水生生物的影响分析</w:t>
            </w:r>
          </w:p>
          <w:p w14:paraId="1884780F">
            <w:pPr>
              <w:spacing w:line="360" w:lineRule="auto"/>
              <w:ind w:firstLine="480" w:firstLineChars="200"/>
            </w:pPr>
            <w:r>
              <w:rPr>
                <w:rFonts w:hint="eastAsia"/>
              </w:rPr>
              <w:t>含油污水主要为船舶含油污水，如果含油污水不加处理直接排入鸭绿江，将会对该水域一定范围内的水生生物产生较大影响。</w:t>
            </w:r>
          </w:p>
          <w:p w14:paraId="15D8280A">
            <w:pPr>
              <w:spacing w:line="360" w:lineRule="auto"/>
              <w:ind w:firstLine="480" w:firstLineChars="200"/>
            </w:pPr>
            <w:r>
              <w:rPr>
                <w:rFonts w:hint="eastAsia"/>
              </w:rPr>
              <w:t>本项目停靠船舶的油污水由船舶自带油水分离器处理后，于船舱内暂存，靠岸后定期由吸污车抽出并连同废油一并委托有组织单位进行统一处理，项目不直接向鸭绿江排水，不会影响鸭绿江水质及水生生态系统。</w:t>
            </w:r>
          </w:p>
          <w:p w14:paraId="06C99B55">
            <w:pPr>
              <w:spacing w:line="360" w:lineRule="auto"/>
              <w:ind w:firstLine="480" w:firstLineChars="200"/>
            </w:pPr>
            <w:r>
              <w:rPr>
                <w:rFonts w:hint="eastAsia"/>
              </w:rPr>
              <w:t>因此，本项目工程废水不会对工程所在水域水质产生影响，也不会对周围水体的水生生物产生影响。</w:t>
            </w:r>
          </w:p>
          <w:p w14:paraId="0A3EDCE8">
            <w:pPr>
              <w:spacing w:line="360" w:lineRule="auto"/>
              <w:ind w:firstLine="480" w:firstLineChars="200"/>
            </w:pPr>
            <w:r>
              <w:rPr>
                <w:rFonts w:hint="eastAsia"/>
              </w:rPr>
              <w:t>（2）噪声对水生生物的影响</w:t>
            </w:r>
          </w:p>
          <w:p w14:paraId="7C687B0F">
            <w:pPr>
              <w:spacing w:line="360" w:lineRule="auto"/>
              <w:ind w:firstLine="480" w:firstLineChars="200"/>
            </w:pPr>
            <w:r>
              <w:rPr>
                <w:rFonts w:hint="eastAsia"/>
              </w:rPr>
              <w:t>①装卸噪声对水生生物的影响</w:t>
            </w:r>
          </w:p>
          <w:p w14:paraId="20824803">
            <w:pPr>
              <w:spacing w:line="360" w:lineRule="auto"/>
              <w:ind w:firstLine="480" w:firstLineChars="200"/>
            </w:pPr>
            <w:r>
              <w:rPr>
                <w:rFonts w:hint="eastAsia"/>
              </w:rPr>
              <w:t>有资料表明，噪声能使鱼类生长发育受影响。当外界环境的突发性声音发出时，能使一贯宁静的生物有机体受到突然的声波冲击，使精神感到紧张，而精神紧张时，会使体内额外的类固醇释放到血液中去，从而使血液中的胆固醇加多，致使正常的生理机能发生改变而影响身体健康，减低其体质对外界不良影响的抵抗能力，轻者影响到生长发育，重者可致死亡。如当人为的110dB噪声即可压住鱼群发出的各种声音信号，并且人为的噪声在水中比在陆地上传播更快，其声波虽然在传播途中逐渐衰减，但这种外来音波也能激起水波的异常，使宁静的鱼类产生一时的精神紧张，从而使其身体的生长发育受到影响。在持续噪音刺激下，一些种类的个体会出现行为紊乱，从而妨碍其正常索饵和洄游。本工程营运期码头装卸等机械噪声，降噪后噪声源强70~95dB(A)，不超过可压住鱼群发出的各种声音信号的110dB，且本项目为工作码头，物料装卸不属于常态工作内容，每年开展物料装卸的次数及时长均较短，故本工程运行期噪声对该河段鱼类的影响不大。</w:t>
            </w:r>
          </w:p>
          <w:p w14:paraId="2D13D730">
            <w:pPr>
              <w:spacing w:line="360" w:lineRule="auto"/>
              <w:ind w:firstLine="482" w:firstLineChars="200"/>
              <w:rPr>
                <w:b/>
                <w:bCs/>
                <w:u w:val="single"/>
              </w:rPr>
            </w:pPr>
            <w:r>
              <w:rPr>
                <w:rFonts w:hint="eastAsia"/>
                <w:b/>
                <w:bCs/>
                <w:u w:val="single"/>
              </w:rPr>
              <w:t>②船舶噪声对水生生物的影响</w:t>
            </w:r>
          </w:p>
          <w:p w14:paraId="32EFE1AC">
            <w:pPr>
              <w:spacing w:line="360" w:lineRule="auto"/>
              <w:ind w:firstLine="482" w:firstLineChars="200"/>
              <w:jc w:val="left"/>
            </w:pPr>
            <w:r>
              <w:rPr>
                <w:rFonts w:hint="eastAsia"/>
                <w:b/>
                <w:szCs w:val="21"/>
                <w:u w:val="single"/>
              </w:rPr>
              <w:t>本项目建成后，码头来往</w:t>
            </w:r>
            <w:r>
              <w:rPr>
                <w:rFonts w:hint="eastAsia"/>
                <w:b/>
                <w:u w:val="single"/>
              </w:rPr>
              <w:t>船舶产生的噪</w:t>
            </w:r>
            <w:r>
              <w:rPr>
                <w:rFonts w:hint="eastAsia"/>
                <w:b/>
                <w:szCs w:val="21"/>
                <w:u w:val="single"/>
              </w:rPr>
              <w:t>声对码头区域的水生动物会产生驱赶、干扰等作用，鉴于船舶抵达本项目码头水域后随即将关闭动力设施，或发动动力设施后随即离开码头水域，且结合船舶运行频次，此种船舶运行噪声持续的时间短，频次低，故</w:t>
            </w:r>
            <w:r>
              <w:rPr>
                <w:rFonts w:hint="eastAsia"/>
                <w:b/>
                <w:u w:val="single"/>
              </w:rPr>
              <w:t>对码头水域范围内鱼类的影响不大，不会明显破坏码头水域的水生生态环境。</w:t>
            </w:r>
          </w:p>
          <w:p w14:paraId="51DC61B5">
            <w:pPr>
              <w:spacing w:line="360" w:lineRule="auto"/>
              <w:ind w:firstLine="480" w:firstLineChars="200"/>
            </w:pPr>
            <w:r>
              <w:rPr>
                <w:rFonts w:hint="eastAsia"/>
              </w:rPr>
              <w:t>（3）码头阻隔影响分析</w:t>
            </w:r>
          </w:p>
          <w:p w14:paraId="7F180100">
            <w:pPr>
              <w:spacing w:line="360" w:lineRule="auto"/>
              <w:ind w:firstLine="480" w:firstLineChars="200"/>
            </w:pPr>
            <w:r>
              <w:rPr>
                <w:rFonts w:hint="eastAsia"/>
              </w:rPr>
              <w:t>①对鱼类的影响</w:t>
            </w:r>
          </w:p>
          <w:p w14:paraId="3F895F4C">
            <w:pPr>
              <w:spacing w:line="360" w:lineRule="auto"/>
              <w:ind w:firstLine="480" w:firstLineChars="200"/>
            </w:pPr>
            <w:r>
              <w:rPr>
                <w:rFonts w:hint="eastAsia"/>
              </w:rPr>
              <w:t>本项目码头采用顺岸式港池布置，不占用主槽的水域通道，对鱼类生存产生的影响较小。</w:t>
            </w:r>
          </w:p>
          <w:p w14:paraId="7E1836EC">
            <w:pPr>
              <w:spacing w:line="360" w:lineRule="auto"/>
              <w:ind w:firstLine="480" w:firstLineChars="200"/>
            </w:pPr>
            <w:r>
              <w:rPr>
                <w:rFonts w:hint="eastAsia"/>
              </w:rPr>
              <w:t>②对浮游及底栖生物的影响</w:t>
            </w:r>
          </w:p>
          <w:p w14:paraId="3ACDAF64">
            <w:pPr>
              <w:spacing w:line="360" w:lineRule="auto"/>
              <w:ind w:firstLine="480" w:firstLineChars="200"/>
            </w:pPr>
            <w:r>
              <w:rPr>
                <w:rFonts w:hint="eastAsia"/>
              </w:rPr>
              <w:t>船舶航行会对周围水体产生扰动，这些扰动会对河流水生生物的生物量、种类及栖息环境产生一定影响。由于船舶是在水体上层航行，主要影响也集中在上层水域，水生生物除浮游生物在水体表层活动强度较大外，其它生物多在中层及底层活动，且水生生物的浮（游）动性较强，会自动规避船舶带来的扰动，</w:t>
            </w:r>
            <w:r>
              <w:rPr>
                <w:rFonts w:hint="eastAsia"/>
                <w:b/>
                <w:bCs/>
                <w:u w:val="single"/>
              </w:rPr>
              <w:t>同时根据建设单位船舶运行计划，本项目运营期船舶运行频次较低（21次/a），运行时长较短（42d/a），故其运行过程中对水生浮游生物的影响亦有限。</w:t>
            </w:r>
            <w:r>
              <w:rPr>
                <w:rFonts w:hint="eastAsia"/>
              </w:rPr>
              <w:t>因此，船舶航行不会改变水生生物的栖息环境，也不会使生物种类、数量明显减少。</w:t>
            </w:r>
          </w:p>
          <w:p w14:paraId="72267CC4">
            <w:pPr>
              <w:spacing w:line="360" w:lineRule="auto"/>
              <w:ind w:firstLine="482" w:firstLineChars="200"/>
              <w:rPr>
                <w:b/>
                <w:bCs/>
                <w:u w:val="single"/>
              </w:rPr>
            </w:pPr>
            <w:r>
              <w:rPr>
                <w:rFonts w:hint="eastAsia"/>
                <w:b/>
                <w:bCs/>
                <w:u w:val="single"/>
              </w:rPr>
              <w:t>（5）水文情势变化对水生生物影响分析</w:t>
            </w:r>
          </w:p>
          <w:p w14:paraId="3B105AA1">
            <w:pPr>
              <w:spacing w:line="360" w:lineRule="auto"/>
              <w:ind w:firstLine="482" w:firstLineChars="200"/>
              <w:rPr>
                <w:b/>
                <w:bCs/>
                <w:u w:val="single"/>
              </w:rPr>
            </w:pPr>
            <w:r>
              <w:rPr>
                <w:rFonts w:hint="eastAsia"/>
                <w:b/>
                <w:bCs/>
                <w:u w:val="single"/>
              </w:rPr>
              <w:t>水文情势的重大改变，引起水位、流速、水温等水力学因子变化，会直接影响鱼类和无脊椎动物的生存和繁殖，也会增加生物入侵的风险。水文情势重大改变会导致栖息地数量、质量和时空分布的变化，还会直接影响河漫滩植物的构成和盖度。可见在生境各项要素中，水文情势是关键要素。</w:t>
            </w:r>
          </w:p>
          <w:p w14:paraId="52B78AE6">
            <w:pPr>
              <w:spacing w:line="360" w:lineRule="auto"/>
              <w:ind w:firstLine="482" w:firstLineChars="200"/>
              <w:rPr>
                <w:b/>
                <w:bCs/>
                <w:u w:val="single"/>
              </w:rPr>
            </w:pPr>
            <w:r>
              <w:rPr>
                <w:rFonts w:hint="eastAsia"/>
                <w:b/>
                <w:bCs/>
                <w:u w:val="single"/>
              </w:rPr>
              <w:t>由于本项目的建设，于畅流期将导致码头工程范围内部分断面流速降低，通常情况下流速的下降将导致适应激流生活鱼类的生境受到一定的影响，但鉴于此种变化情况仅限于码头局部范围内，因此不会对鸭绿江整体鱼类生境造成影响。本项目建成后鸭绿江码头段水位虽有所降低，但变化幅度有限，不会对河流整体水深产生明显影响，故不会导致各层水生生物的种群、数量发生明显变化。</w:t>
            </w:r>
          </w:p>
          <w:p w14:paraId="39EE6272">
            <w:pPr>
              <w:spacing w:line="360" w:lineRule="auto"/>
              <w:ind w:firstLine="480" w:firstLineChars="200"/>
            </w:pPr>
            <w:r>
              <w:rPr>
                <w:rFonts w:hint="eastAsia"/>
              </w:rPr>
              <w:t>（6）对陆生生态的影响</w:t>
            </w:r>
          </w:p>
          <w:p w14:paraId="505B876C">
            <w:pPr>
              <w:spacing w:line="360" w:lineRule="auto"/>
              <w:ind w:firstLine="480" w:firstLineChars="200"/>
            </w:pPr>
            <w:r>
              <w:rPr>
                <w:rFonts w:hint="eastAsia"/>
              </w:rPr>
              <w:t>本项目运营作业产生的噪声、扬尘污染等影响因素，会对动物的生存环境造成污染。其中，噪声的影响更为突出，会影响动物的交配和产卵。</w:t>
            </w:r>
          </w:p>
          <w:p w14:paraId="7F656F3D">
            <w:pPr>
              <w:spacing w:line="360" w:lineRule="auto"/>
              <w:ind w:firstLine="480" w:firstLineChars="200"/>
            </w:pPr>
            <w:r>
              <w:rPr>
                <w:rFonts w:hint="eastAsia"/>
              </w:rPr>
              <w:t>一般动物在选择生境和建立巢穴时，通常会远离喧闹区域，本项目临近G331，交通活动较为频繁，周边动物早已迁移，本项目投运后区域陆生生境基本维持现状。</w:t>
            </w:r>
          </w:p>
          <w:p w14:paraId="2AAED35A">
            <w:pPr>
              <w:spacing w:line="360" w:lineRule="auto"/>
              <w:ind w:firstLine="480" w:firstLineChars="200"/>
            </w:pPr>
            <w:r>
              <w:rPr>
                <w:rFonts w:hint="eastAsia"/>
              </w:rPr>
              <w:t>（7）对景观生态的影响</w:t>
            </w:r>
          </w:p>
          <w:p w14:paraId="66142077">
            <w:pPr>
              <w:spacing w:line="360" w:lineRule="auto"/>
              <w:ind w:firstLine="480" w:firstLineChars="200"/>
            </w:pPr>
            <w:r>
              <w:rPr>
                <w:rFonts w:hint="eastAsia"/>
              </w:rPr>
              <w:t>本项目占用滩地，本项目建成后，由于占地面积较小，故建成后对区域内水域景观比例及优势度影响贡献甚微，亦不会影响区域其他景观类型的比例及优势度，基本不会对区域景观格局产生明显的影响。</w:t>
            </w:r>
          </w:p>
          <w:p w14:paraId="74ECE9C6">
            <w:pPr>
              <w:spacing w:line="360" w:lineRule="auto"/>
              <w:ind w:firstLine="480" w:firstLineChars="200"/>
            </w:pPr>
            <w:r>
              <w:rPr>
                <w:rFonts w:hint="eastAsia"/>
              </w:rPr>
              <w:t>6、环境风险分析</w:t>
            </w:r>
          </w:p>
          <w:p w14:paraId="35E93CC8">
            <w:pPr>
              <w:spacing w:line="360" w:lineRule="auto"/>
              <w:ind w:firstLine="480" w:firstLineChars="200"/>
            </w:pPr>
            <w:r>
              <w:rPr>
                <w:rFonts w:hint="eastAsia"/>
              </w:rPr>
              <w:t>本项目为码头建设项目，属于生态类建设项目，营运期码头船舶运行可能存在少量燃料，带来一定风险。结合国内外风险事故案例统计结果，本项目最大可信事故为船舶溢油事故。</w:t>
            </w:r>
          </w:p>
          <w:p w14:paraId="2060184F">
            <w:pPr>
              <w:spacing w:line="360" w:lineRule="auto"/>
              <w:ind w:firstLine="480" w:firstLineChars="200"/>
            </w:pPr>
            <w:r>
              <w:rPr>
                <w:rFonts w:hint="eastAsia"/>
              </w:rPr>
              <w:t>据调查，本码头不设油料存储仓库，依托区域附近的加油站，通过油罐车运输到码头为船舶提供油补给。船舶燃油均采用油桶密封储存等安全措施，万一发生沉船、船舶碰撞等事故，其燃油发生泄漏的可能性较小。</w:t>
            </w:r>
          </w:p>
          <w:p w14:paraId="641F4252">
            <w:pPr>
              <w:spacing w:line="360" w:lineRule="auto"/>
              <w:ind w:firstLine="480" w:firstLineChars="200"/>
            </w:pPr>
            <w:r>
              <w:rPr>
                <w:rFonts w:hint="eastAsia"/>
              </w:rPr>
              <w:t>一旦发生油料泄露事故，泄漏油类一进入受纳水体便迅速扩散，在水面扩展成为光滑的油膜，它隔绝了大气与水体的气体交换，减少了水体的复氧作用，同时，油类的生物分解和其自身氧化作用又消耗水体中的溶解氧，使水体缺氧并可能导致生物体死亡。另外，油膜还能降低表层水体中的阳光辐射量，阻碍浮游植物的光合作用，甚至引起死亡，同时也使以浮游植物为主要食物来源的浮游动物大量减少或死亡。油类化学毒性还会破坏细胞膜的正常结构，干扰生物体的酶系。</w:t>
            </w:r>
          </w:p>
          <w:p w14:paraId="7A39DCEF">
            <w:pPr>
              <w:spacing w:line="360" w:lineRule="auto"/>
              <w:ind w:firstLine="482" w:firstLineChars="200"/>
              <w:rPr>
                <w:b/>
                <w:bCs/>
                <w:u w:val="single"/>
              </w:rPr>
            </w:pPr>
            <w:r>
              <w:rPr>
                <w:rFonts w:hint="eastAsia"/>
                <w:b/>
                <w:bCs/>
                <w:u w:val="single"/>
              </w:rPr>
              <w:t>根据近年来对几种不同的鱼类仔鱼的毒性试验结果表明，石油类对鲤鱼仔鱼96hLC</w:t>
            </w:r>
            <w:r>
              <w:rPr>
                <w:rFonts w:hint="eastAsia"/>
                <w:b/>
                <w:bCs/>
                <w:u w:val="single"/>
                <w:vertAlign w:val="subscript"/>
              </w:rPr>
              <w:t>50</w:t>
            </w:r>
            <w:r>
              <w:rPr>
                <w:rFonts w:hint="eastAsia"/>
                <w:b/>
                <w:bCs/>
                <w:u w:val="single"/>
              </w:rPr>
              <w:t>值为0.5~3.0mg/L，因此污染带瞬时高浓度排放（即事故性排放）可导致急性中毒死鱼事故。</w:t>
            </w:r>
          </w:p>
          <w:p w14:paraId="286AD811">
            <w:pPr>
              <w:spacing w:line="360" w:lineRule="auto"/>
              <w:ind w:firstLine="482" w:firstLineChars="200"/>
              <w:rPr>
                <w:b/>
                <w:bCs/>
                <w:u w:val="single"/>
              </w:rPr>
            </w:pPr>
            <w:r>
              <w:rPr>
                <w:rFonts w:hint="eastAsia"/>
                <w:b/>
                <w:bCs/>
                <w:u w:val="single"/>
              </w:rPr>
              <w:t>石油类在鱼体中积累和残留可引起鱼类慢性中毒而带来长效应的污染影响，这种影响不仅可引起鱼类资源的变动，甚至会引起鱼类种质变异。鱼类一旦与油分子接触就会在短时间内发生油臭，从而影响其食用价值。以20号燃料油为例，石油类浓度0.01mg/L时，7天之内就能对大部分的鱼、虾产生油味，30天内会使绝大多数鱼类产生异味。</w:t>
            </w:r>
          </w:p>
          <w:p w14:paraId="35F24FFE">
            <w:pPr>
              <w:spacing w:line="360" w:lineRule="auto"/>
              <w:ind w:firstLine="482" w:firstLineChars="200"/>
              <w:rPr>
                <w:b/>
                <w:bCs/>
                <w:u w:val="single"/>
              </w:rPr>
            </w:pPr>
            <w:r>
              <w:rPr>
                <w:rFonts w:hint="eastAsia"/>
                <w:b/>
                <w:bCs/>
                <w:u w:val="single"/>
              </w:rPr>
              <w:t>石油对浮游植物的破坏作用程度取决于石油的类型、浓度及浮游植物的种类。根据国内外许多毒性实验结果表明，作为鱼、虾类饵料基础的浮游植物，对各类油类的耐受能力都很低。一般浮游植物石油急性中毒致死浓度为0.1~10.0mg/L，一般为1.0~3.6mg/L，对于更敏感的种类，油浓度低于0.1mg/L时，也会妨碍细胞的分裂和生长的速率。</w:t>
            </w:r>
          </w:p>
          <w:p w14:paraId="48B8CFCE">
            <w:pPr>
              <w:spacing w:line="360" w:lineRule="auto"/>
              <w:ind w:firstLine="482" w:firstLineChars="200"/>
              <w:rPr>
                <w:b/>
                <w:bCs/>
                <w:u w:val="single"/>
              </w:rPr>
            </w:pPr>
            <w:r>
              <w:rPr>
                <w:rFonts w:hint="eastAsia"/>
                <w:b/>
                <w:bCs/>
                <w:u w:val="single"/>
              </w:rPr>
              <w:t>浮游动物石油急性中毒致死浓度范围一般为0.1~15mg/L，而且通过不同浓度的石油类环境对桡足类幼体的影响实验表明，永久性（终生性）浮游动物幼体的敏感性大于阶段性（临时性）的底栖生物幼体，而它们各自的幼体的敏感性又大于成体。</w:t>
            </w:r>
          </w:p>
          <w:p w14:paraId="2C638C7F">
            <w:pPr>
              <w:spacing w:line="360" w:lineRule="auto"/>
              <w:ind w:firstLine="482" w:firstLineChars="200"/>
              <w:rPr>
                <w:b/>
                <w:bCs/>
                <w:u w:val="single"/>
              </w:rPr>
            </w:pPr>
            <w:r>
              <w:rPr>
                <w:rFonts w:hint="eastAsia"/>
                <w:b/>
                <w:bCs/>
                <w:u w:val="single"/>
              </w:rPr>
              <w:t>从来往船舶的运行方案来看，各船舶的运行频次较低，在本项目处均有序停放，因此发生由于碰撞而导致油料泄露事故的概率较小，在加强码头处航行调度管理、配备应急物资，定期巡护检查的情况，能够对油品泄露情况及时发现、及时处理，所在河段环境风险可控。</w:t>
            </w:r>
          </w:p>
          <w:p w14:paraId="0C15FF28">
            <w:pPr>
              <w:spacing w:line="360" w:lineRule="auto"/>
              <w:ind w:firstLine="480" w:firstLineChars="200"/>
            </w:pPr>
            <w:r>
              <w:rPr>
                <w:rFonts w:hint="eastAsia"/>
              </w:rPr>
              <w:t>一但发生油品泄露和溢油事故，要及时采取措施，避免溢油对生态环境带来影响，对溢油事故必须严加防范，杜绝事故发生。</w:t>
            </w:r>
          </w:p>
        </w:tc>
      </w:tr>
      <w:tr w14:paraId="44BA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22DBEFD9">
            <w:pPr>
              <w:spacing w:line="360" w:lineRule="auto"/>
              <w:jc w:val="center"/>
            </w:pPr>
            <w:r>
              <w:rPr>
                <w:rFonts w:hint="eastAsia"/>
              </w:rPr>
              <w:t>选址选线环境合理性分析</w:t>
            </w:r>
          </w:p>
        </w:tc>
        <w:tc>
          <w:tcPr>
            <w:tcW w:w="7843" w:type="dxa"/>
            <w:vAlign w:val="center"/>
          </w:tcPr>
          <w:p w14:paraId="4DEDD545">
            <w:pPr>
              <w:spacing w:line="360" w:lineRule="auto"/>
              <w:ind w:firstLine="480" w:firstLineChars="200"/>
              <w:jc w:val="left"/>
            </w:pPr>
            <w:r>
              <w:rPr>
                <w:rFonts w:hint="eastAsia"/>
              </w:rPr>
              <w:t>本项目与所在区域主体功能区规划、水环境功能区划、生态功能区划等相协调，项目选址、施工布置不占用自然保护区、风景名胜区、世界文化和自然遗产地、饮用水水源保护区以及其他生态保护红线等环境敏感区中法律法规禁止占用的区域。与居民集中区等环境敏感区的距离科学合理。项目建设不涉及对鱼类等水生生物的洄游通道及“三场”等重要生境、物种多样性及资源量产生不利影响。</w:t>
            </w:r>
          </w:p>
          <w:p w14:paraId="4B2C3842">
            <w:pPr>
              <w:spacing w:line="360" w:lineRule="auto"/>
              <w:ind w:firstLine="482" w:firstLineChars="200"/>
              <w:jc w:val="left"/>
              <w:rPr>
                <w:b/>
                <w:bCs/>
                <w:u w:val="single"/>
              </w:rPr>
            </w:pPr>
            <w:r>
              <w:rPr>
                <w:rFonts w:hint="eastAsia"/>
                <w:b/>
                <w:bCs/>
                <w:u w:val="single"/>
              </w:rPr>
              <w:t>根据本项目防洪评价结论，本项目通过陆域回填与北侧护岸、西侧道路相连接，按照堤防压实度设计标准进行填筑，施工期间对护岸无破坏，工程建设对堤防及岸坡稳定基本无影响，且河道冲淤变化控制在局部范围内，对河势演变影响较小。项目建设对水利规划的实施、河势稳定、防汛抢险及第三方合法水事权益等基本无影响。</w:t>
            </w:r>
          </w:p>
          <w:p w14:paraId="1E688554">
            <w:pPr>
              <w:spacing w:line="360" w:lineRule="auto"/>
              <w:ind w:firstLine="480" w:firstLineChars="200"/>
              <w:jc w:val="left"/>
            </w:pPr>
            <w:r>
              <w:rPr>
                <w:rFonts w:hint="eastAsia"/>
              </w:rPr>
              <w:t>目前，吉林省暂未有批复的港口岸线规划，拟建码头位于现状滩地处，岸线为非控制岸线。参考2019 年12 月通过吉林省交通运输厅验收的《吉林省港口布局研究》，拟建航道码头位于拟规划的大栗子岸线，该岸线规划用途为支持保障系统码头岸线。</w:t>
            </w:r>
          </w:p>
          <w:p w14:paraId="0F705638">
            <w:pPr>
              <w:spacing w:line="360" w:lineRule="auto"/>
              <w:ind w:firstLine="480" w:firstLineChars="200"/>
              <w:jc w:val="left"/>
            </w:pPr>
            <w:r>
              <w:rPr>
                <w:rFonts w:hint="eastAsia"/>
              </w:rPr>
              <w:t>结合本工程《建设项目用地预审与选址意见书》（详见附件）、《吉林省交通运输厅关于鸭绿江临江航道码头拟使用岸线范围的意见》（详见附件）及《水利部松辽水利委员会关于鸭绿江临江航道码头建设工程洪水影响评价类审批准予水行政许可的决定》（涉密），本工程码头前沿线位置根据用地红线划定，拟建码头所处岸线为非控制岸线，码头位于拟规划的支持保障系统岸线内，码头功能与拟规划的功能相符，工程建设与港口岸线相符合。</w:t>
            </w:r>
          </w:p>
          <w:p w14:paraId="30402F16">
            <w:pPr>
              <w:spacing w:line="360" w:lineRule="auto"/>
              <w:ind w:firstLine="480" w:firstLineChars="200"/>
              <w:jc w:val="left"/>
            </w:pPr>
            <w:r>
              <w:rPr>
                <w:rFonts w:hint="eastAsia"/>
              </w:rPr>
              <w:t>综上，本项目选址合理。</w:t>
            </w:r>
          </w:p>
          <w:p w14:paraId="2B55586A">
            <w:pPr>
              <w:spacing w:line="360" w:lineRule="auto"/>
              <w:ind w:firstLine="480" w:firstLineChars="200"/>
              <w:jc w:val="left"/>
            </w:pPr>
          </w:p>
          <w:p w14:paraId="550A86A3">
            <w:pPr>
              <w:spacing w:line="360" w:lineRule="auto"/>
              <w:ind w:firstLine="480" w:firstLineChars="200"/>
              <w:jc w:val="left"/>
            </w:pPr>
          </w:p>
          <w:p w14:paraId="3F4C9535">
            <w:pPr>
              <w:spacing w:line="360" w:lineRule="auto"/>
              <w:ind w:firstLine="480" w:firstLineChars="200"/>
              <w:jc w:val="left"/>
            </w:pPr>
          </w:p>
          <w:p w14:paraId="6A8D2B13">
            <w:pPr>
              <w:spacing w:line="360" w:lineRule="auto"/>
              <w:ind w:firstLine="480" w:firstLineChars="200"/>
              <w:jc w:val="left"/>
            </w:pPr>
          </w:p>
        </w:tc>
      </w:tr>
    </w:tbl>
    <w:p w14:paraId="30405B39">
      <w:pPr>
        <w:spacing w:line="360" w:lineRule="auto"/>
        <w:ind w:firstLine="480" w:firstLineChars="200"/>
      </w:pPr>
    </w:p>
    <w:p w14:paraId="4FB08A6D">
      <w:pPr>
        <w:pStyle w:val="2"/>
        <w:jc w:val="center"/>
      </w:pPr>
      <w:r>
        <w:rPr>
          <w:rFonts w:hint="eastAsia"/>
        </w:rPr>
        <w:t>五、主要生态环境保护措施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18B9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2BB5F26">
            <w:pPr>
              <w:spacing w:line="360" w:lineRule="auto"/>
            </w:pPr>
            <w:r>
              <w:rPr>
                <w:rFonts w:hint="eastAsia"/>
              </w:rPr>
              <w:t>施工期生态环境保护措施</w:t>
            </w:r>
          </w:p>
        </w:tc>
        <w:tc>
          <w:tcPr>
            <w:tcW w:w="7592" w:type="dxa"/>
          </w:tcPr>
          <w:p w14:paraId="2EA87AE0">
            <w:pPr>
              <w:spacing w:line="360" w:lineRule="auto"/>
              <w:ind w:firstLine="480" w:firstLineChars="200"/>
            </w:pPr>
            <w:r>
              <w:rPr>
                <w:rFonts w:hint="eastAsia"/>
              </w:rPr>
              <w:t>一、施工期环境空气保护措施</w:t>
            </w:r>
          </w:p>
          <w:p w14:paraId="6BB2387E">
            <w:pPr>
              <w:spacing w:line="360" w:lineRule="auto"/>
              <w:ind w:firstLine="480" w:firstLineChars="200"/>
            </w:pPr>
            <w:r>
              <w:rPr>
                <w:rFonts w:hint="eastAsia"/>
              </w:rPr>
              <w:t>为避免施工扬尘对区域大气环境造成的不利影响，本评价要求项目施工过程中，强化施工扬尘防治措施、加强施工现场管理，本次评价提出的施工期大气污染防治措施主要包括：</w:t>
            </w:r>
          </w:p>
          <w:p w14:paraId="2F2E29B8">
            <w:pPr>
              <w:spacing w:line="360" w:lineRule="auto"/>
              <w:ind w:firstLine="480" w:firstLineChars="200"/>
            </w:pPr>
            <w:r>
              <w:rPr>
                <w:rFonts w:hint="eastAsia"/>
              </w:rPr>
              <w:t>（1）施工前先修筑场界围墙或简易围屏，</w:t>
            </w:r>
            <w:r>
              <w:rPr>
                <w:rFonts w:hint="eastAsia"/>
                <w:b/>
                <w:bCs/>
                <w:u w:val="single"/>
              </w:rPr>
              <w:t>如用瓦楞板或聚丙烯布等在施工区四周建设围挡（尺寸1.5m×2.1m）</w:t>
            </w:r>
            <w:r>
              <w:rPr>
                <w:rFonts w:hint="eastAsia"/>
              </w:rPr>
              <w:t>，减少扬尘的逸散。</w:t>
            </w:r>
          </w:p>
          <w:p w14:paraId="190339B5">
            <w:pPr>
              <w:spacing w:line="360" w:lineRule="auto"/>
              <w:ind w:firstLine="480" w:firstLineChars="200"/>
            </w:pPr>
            <w:r>
              <w:rPr>
                <w:rFonts w:hint="eastAsia"/>
              </w:rPr>
              <w:t>（2）码头建设过程中使用的大量建筑材料，在装卸、堆放等过程中将会产生大量的粉尘外逸，施工单位必须加强施工区的规划管理。建筑材料的堆场定点定位，置于较为空旷的位置，减少物料起尘对人群的影响。同时要采取相应的防尘、抑尘措施，如在大风天气，对散料堆场采用加盖蓬布防尘。</w:t>
            </w:r>
          </w:p>
          <w:p w14:paraId="2BC9A1A2">
            <w:pPr>
              <w:spacing w:line="360" w:lineRule="auto"/>
              <w:ind w:firstLine="480" w:firstLineChars="200"/>
            </w:pPr>
            <w:r>
              <w:rPr>
                <w:rFonts w:hint="eastAsia"/>
              </w:rPr>
              <w:t>（3）</w:t>
            </w:r>
            <w:r>
              <w:rPr>
                <w:rFonts w:hint="eastAsia"/>
                <w:b/>
                <w:bCs/>
                <w:u w:val="single"/>
              </w:rPr>
              <w:t>施工材料临时堆存的选址应设置在开阔空旷的地方，对易起尘的临时堆土、运输过程中的土石方等采用密闭式防尘布（网）进行遮盖，保证其下风向300m以内没有居民区、医院和学校等敏感点</w:t>
            </w:r>
            <w:r>
              <w:rPr>
                <w:rFonts w:hint="eastAsia"/>
              </w:rPr>
              <w:t>。</w:t>
            </w:r>
          </w:p>
          <w:p w14:paraId="714A8543">
            <w:pPr>
              <w:spacing w:line="360" w:lineRule="auto"/>
              <w:ind w:firstLine="480" w:firstLineChars="200"/>
            </w:pPr>
            <w:r>
              <w:rPr>
                <w:rFonts w:hint="eastAsia"/>
              </w:rPr>
              <w:t>（4）运输材料的道路、施工现场，采取必要的洒水措施，防止扬尘；洒水时间主要在无雨的天气，建议每天洒水两次。</w:t>
            </w:r>
          </w:p>
          <w:p w14:paraId="52E74B22">
            <w:pPr>
              <w:spacing w:line="360" w:lineRule="auto"/>
              <w:ind w:firstLine="480" w:firstLineChars="200"/>
            </w:pPr>
            <w:r>
              <w:rPr>
                <w:rFonts w:hint="eastAsia"/>
              </w:rPr>
              <w:t>（5）</w:t>
            </w:r>
            <w:r>
              <w:rPr>
                <w:rFonts w:hint="eastAsia"/>
                <w:b/>
                <w:bCs/>
                <w:u w:val="single"/>
              </w:rPr>
              <w:t>施工车辆应减速慢行，且装载不宜过满，保证运输过程中不散落，运输砂土、碎石等易起尘的物料要加盖蓬布、控制车速，卸车时应尽量减小落差，减少扬尘。对陆域施工现场及运输道路应定期清扫洒水，保持车辆出入口路面清洁、润湿；从本项目地理位置来看，运输路线主要依托G331及其他公路，尽量避免在繁华区、交通集中区和居民住宅等敏感区行驶；对环境要求高的路段，应根据实际情况选择在夜间运输，以减少粉尘对环境的影响。</w:t>
            </w:r>
          </w:p>
          <w:p w14:paraId="0E3A317E">
            <w:pPr>
              <w:spacing w:line="360" w:lineRule="auto"/>
              <w:ind w:firstLine="480" w:firstLineChars="200"/>
            </w:pPr>
            <w:r>
              <w:rPr>
                <w:rFonts w:hint="eastAsia"/>
              </w:rPr>
              <w:t>（6）加强对施工机械、车辆的维修保养，禁止以柴油为燃料的施工机械超负荷工作，减少尾气排放。</w:t>
            </w:r>
          </w:p>
          <w:p w14:paraId="698975F4">
            <w:pPr>
              <w:spacing w:line="360" w:lineRule="auto"/>
              <w:ind w:firstLine="480" w:firstLineChars="200"/>
            </w:pPr>
            <w:r>
              <w:rPr>
                <w:rFonts w:hint="eastAsia"/>
              </w:rPr>
              <w:t>（7）疏导好场内交通，减少机械、车辆的怠速行驶时间，以减少污染物的排放。同时使用合格的燃料油。施工过程中，各类建筑垃圾应及时清理。</w:t>
            </w:r>
          </w:p>
          <w:p w14:paraId="63B86F5D">
            <w:pPr>
              <w:spacing w:line="360" w:lineRule="auto"/>
              <w:ind w:firstLine="480" w:firstLineChars="200"/>
            </w:pPr>
            <w:r>
              <w:rPr>
                <w:rFonts w:hint="eastAsia"/>
              </w:rPr>
              <w:t>二、施工期地表水污染防治措施</w:t>
            </w:r>
          </w:p>
          <w:p w14:paraId="27EAA62D">
            <w:pPr>
              <w:spacing w:line="360" w:lineRule="auto"/>
              <w:ind w:firstLine="480" w:firstLineChars="200"/>
            </w:pPr>
            <w:r>
              <w:rPr>
                <w:rFonts w:hint="eastAsia"/>
              </w:rPr>
              <w:t>工程施工期废水主要有施工废水和施工人员生活污水，为防止废水对鸭绿江水环境造成污染，提出以下污染防治措施：</w:t>
            </w:r>
          </w:p>
          <w:p w14:paraId="6FF5D7B9">
            <w:pPr>
              <w:spacing w:line="360" w:lineRule="auto"/>
              <w:ind w:firstLine="480" w:firstLineChars="200"/>
            </w:pPr>
            <w:r>
              <w:rPr>
                <w:rFonts w:hint="eastAsia"/>
              </w:rPr>
              <w:t>（1）</w:t>
            </w:r>
            <w:r>
              <w:rPr>
                <w:rFonts w:hint="eastAsia"/>
                <w:b/>
                <w:bCs/>
                <w:u w:val="single"/>
              </w:rPr>
              <w:t>科学选择施工期，结合本项目所在河流水文条件，水域作业选择非汛期进行。本项目影响河段范围内主要鱼类为鲤科及鳅科中小型鱼类，未见东北七鳃鳗、鸭绿江茴鱼等国家重点保护鱼类，亦无重要鱼类的产卵场、索饵场，上述鱼类产卵期及育肥期多在（4月～6月），故建议在上述时期降低施工强度。</w:t>
            </w:r>
            <w:r>
              <w:rPr>
                <w:rFonts w:hint="eastAsia"/>
              </w:rPr>
              <w:t>加强水上施工管理，控制施工船舶数量，尽量缩短水域施工时间。加强施工船舶作业管理，禁止施工废水、固废入江，尽量减少对水生生物的影响。</w:t>
            </w:r>
          </w:p>
          <w:p w14:paraId="4561CA12">
            <w:pPr>
              <w:spacing w:line="360" w:lineRule="auto"/>
              <w:ind w:firstLine="480" w:firstLineChars="200"/>
            </w:pPr>
            <w:r>
              <w:rPr>
                <w:rFonts w:hint="eastAsia"/>
              </w:rPr>
              <w:t>（2）</w:t>
            </w:r>
            <w:r>
              <w:rPr>
                <w:rFonts w:hint="eastAsia"/>
                <w:b/>
                <w:bCs/>
                <w:u w:val="single"/>
              </w:rPr>
              <w:t>优化施工管理和施工工艺，尽量减小水域施工范围。本项目疏浚工程施工作业时结合实际情况，选用适当疏浚效率的挖泥设施，最大限度地控制水下施工作业对河流底质的搅动范围、时长和强度，减少悬浮泥沙的发生量。建设单位应采取相应的安全保障措施，划定专门的施工水域，设置施工期专设航标，并加强现场管理。</w:t>
            </w:r>
          </w:p>
          <w:p w14:paraId="5391E3BD">
            <w:pPr>
              <w:spacing w:line="360" w:lineRule="auto"/>
              <w:ind w:firstLine="480" w:firstLineChars="200"/>
            </w:pPr>
            <w:r>
              <w:rPr>
                <w:rFonts w:hint="eastAsia"/>
              </w:rPr>
              <w:t>（3）根据有关规定，船舶舱底油污水需经船舶自带的油水分离器处理后，石油类排放标准为不大于15mg/L，集中回收处理；没有安装油水分离器的小型船舶，其舱底油污水应暂存于船舶自备的容器中，并送油污水接收船或岸上的油污水接收单位接收处理。工程施工期间禁止施工船舶在码头水域排放船舶舱底油污水。船舶施工人员生活污水经船内收集后，及时进行清运，不得排放至地表水体。</w:t>
            </w:r>
          </w:p>
          <w:p w14:paraId="1EDAA347">
            <w:pPr>
              <w:spacing w:line="360" w:lineRule="auto"/>
              <w:ind w:firstLine="480" w:firstLineChars="200"/>
            </w:pPr>
            <w:r>
              <w:rPr>
                <w:rFonts w:hint="eastAsia"/>
              </w:rPr>
              <w:t>（4）对码头施工人员进行严格的管理，严禁乱撒乱抛废弃物，禁止向水域抛弃垃圾，禁止向水域排放施工废水。建筑垃圾要集中堆放并运送至指定地点，最大限度地减少对工程段湖区水质造成的污染。码头施工应安排在非汛期进行，以避免影响河道行洪及造成洪水冲刷以及对水生生物的影响。</w:t>
            </w:r>
          </w:p>
          <w:p w14:paraId="44B6978F">
            <w:pPr>
              <w:spacing w:line="360" w:lineRule="auto"/>
              <w:ind w:firstLine="480" w:firstLineChars="200"/>
            </w:pPr>
            <w:r>
              <w:rPr>
                <w:rFonts w:hint="eastAsia"/>
              </w:rPr>
              <w:t>（5）合理规划施工场地的临时供、排水设施，采取有效措施消除“跑、冒、滴、漏”现象。施工现场道路应保持通畅，排水系统处于良好的运行状态，使施工现场不产生积水。施工运输过程中散落的水泥、石子等建筑材料，应及时清理；建筑材料堆放点和挖方临时堆放处应设置挡土墙，防止雨水冲刷使固体废物进入水体产生污染。</w:t>
            </w:r>
          </w:p>
          <w:p w14:paraId="2BE12EB4">
            <w:pPr>
              <w:spacing w:line="360" w:lineRule="auto"/>
              <w:ind w:firstLine="480" w:firstLineChars="200"/>
            </w:pPr>
            <w:r>
              <w:rPr>
                <w:rFonts w:hint="eastAsia"/>
              </w:rPr>
              <w:t>（6）施工人员生活污水依托移动式防渗旱厕，减少生活污水排放带来的污染影响。</w:t>
            </w:r>
          </w:p>
          <w:p w14:paraId="5446BF48">
            <w:pPr>
              <w:spacing w:line="360" w:lineRule="auto"/>
              <w:ind w:firstLine="480" w:firstLineChars="200"/>
            </w:pPr>
            <w:r>
              <w:rPr>
                <w:rFonts w:hint="eastAsia"/>
              </w:rPr>
              <w:t>（7）陆域施工废水主要来自混凝土养护和施工机械冲洗等，该类废水特点是悬浮物浓度高，有机物含量相对较低。此类废水处理主要是去除废水中的泥砂及悬浮物。</w:t>
            </w:r>
          </w:p>
          <w:p w14:paraId="34979660">
            <w:pPr>
              <w:spacing w:line="360" w:lineRule="auto"/>
              <w:ind w:firstLine="480" w:firstLineChars="200"/>
            </w:pPr>
            <w:r>
              <w:rPr>
                <w:rFonts w:hint="eastAsia"/>
              </w:rPr>
              <w:t>针对该类废水特点，采用以沉淀法为主的处理工艺。</w:t>
            </w:r>
            <w:r>
              <w:rPr>
                <w:rFonts w:hint="eastAsia"/>
                <w:b/>
                <w:bCs/>
                <w:u w:val="single"/>
              </w:rPr>
              <w:t>本项目在施工现场设置沉淀池一座（5m³），施工过程中产生的混凝土养护及施工机械冲洗等含泥砂施工废水经收集并排入沉淀池中，</w:t>
            </w:r>
            <w:r>
              <w:rPr>
                <w:rFonts w:hint="eastAsia"/>
              </w:rPr>
              <w:t>可去除大部分粒径较大的颗粒，SS去除率可达到85%左右，若部分泥沙含量较高的生产废水进入反应池时SS浓度仍然很高，可加入混凝剂进行混凝沉淀，SS去除率可达到90%以上，沉淀后的废水用于施工现场抑尘洒水或自然蒸发、土壤吸收予以消化。</w:t>
            </w:r>
          </w:p>
          <w:p w14:paraId="01B672BE">
            <w:pPr>
              <w:spacing w:line="360" w:lineRule="auto"/>
              <w:ind w:firstLine="480" w:firstLineChars="200"/>
            </w:pPr>
            <w:r>
              <w:rPr>
                <w:rFonts w:hint="eastAsia"/>
              </w:rPr>
              <w:t>三、施工期声环境污染防治措施</w:t>
            </w:r>
          </w:p>
          <w:p w14:paraId="27A5D7CA">
            <w:pPr>
              <w:spacing w:line="360" w:lineRule="auto"/>
              <w:ind w:firstLine="480" w:firstLineChars="200"/>
            </w:pPr>
            <w:r>
              <w:rPr>
                <w:rFonts w:hint="eastAsia"/>
              </w:rPr>
              <w:t>根据项目施工的工艺及工期安排，结合施工期噪声预测结果，本次评价提出施工期噪声防治措施如下：</w:t>
            </w:r>
          </w:p>
          <w:p w14:paraId="20542219">
            <w:pPr>
              <w:spacing w:line="360" w:lineRule="auto"/>
              <w:ind w:firstLine="480" w:firstLineChars="200"/>
            </w:pPr>
            <w:r>
              <w:rPr>
                <w:rFonts w:hint="eastAsia"/>
              </w:rPr>
              <w:t>（1）为减轻施工噪声对区域声环境的影响，施工期应严格执行《建筑施工场界环境噪声排放标准》（GB 12523-2025）有关规定，加强管理，控制同时作业的高噪声设备的数量。改进施工工艺和方法，尽量选取低噪声、低振动的施工机械和运输车辆，加强机械、车辆的日常维修保养，使其保持良好状态，避免超过正常噪声运转。对高噪声设备，应在其附近加设可移动的简单围障，以降低其噪音影响。</w:t>
            </w:r>
          </w:p>
          <w:p w14:paraId="56ACD805">
            <w:pPr>
              <w:spacing w:line="360" w:lineRule="auto"/>
              <w:ind w:firstLine="480" w:firstLineChars="200"/>
            </w:pPr>
            <w:r>
              <w:rPr>
                <w:rFonts w:hint="eastAsia"/>
              </w:rPr>
              <w:t>（2）施工机械噪声往往具有突发、无规则、不连续和高强度等特点，对于此类情况，一般可采取合理安排施工机械操作时间的方法加以缓解，对各种施工机械作业时间加以适当调整。合理安排高噪声施工作业的时间，施工时在夜间（22:00—06:00）应禁止施工，尽可能减少对周围环境的影响。特殊情况需连续施工的，报当地生态环境主管部门批准后方可在指定日期内施工。</w:t>
            </w:r>
          </w:p>
          <w:p w14:paraId="3FE827D6">
            <w:pPr>
              <w:spacing w:line="360" w:lineRule="auto"/>
              <w:ind w:firstLine="480" w:firstLineChars="200"/>
            </w:pPr>
            <w:r>
              <w:rPr>
                <w:rFonts w:hint="eastAsia"/>
              </w:rPr>
              <w:t>（3）对于施工期间的材料运输、敲击、人的喊叫等施工声源，要求施工队通过文明施工、加强有效管理加以缓解。施工期高噪声设备尽量远离区域敏感点布置。</w:t>
            </w:r>
          </w:p>
          <w:p w14:paraId="484D056C">
            <w:pPr>
              <w:spacing w:line="360" w:lineRule="auto"/>
              <w:ind w:firstLine="480" w:firstLineChars="200"/>
            </w:pPr>
            <w:r>
              <w:rPr>
                <w:rFonts w:hint="eastAsia"/>
              </w:rPr>
              <w:t>（4）考虑到项目施工期间工地来往车辆行驶可能会对沿途声环境造成一定的影响，本次评价建议工程施工材料运输应安排在白天进行，禁止夜间扰民。运输车辆进入现场应减速，并减少鸣笛。</w:t>
            </w:r>
          </w:p>
          <w:p w14:paraId="78ECEA27">
            <w:pPr>
              <w:spacing w:line="360" w:lineRule="auto"/>
              <w:ind w:firstLine="480" w:firstLineChars="200"/>
            </w:pPr>
            <w:r>
              <w:rPr>
                <w:rFonts w:hint="eastAsia"/>
              </w:rPr>
              <w:t>四、施工期固体废物污染防治措施</w:t>
            </w:r>
          </w:p>
          <w:p w14:paraId="4520A29C">
            <w:pPr>
              <w:spacing w:line="360" w:lineRule="auto"/>
              <w:ind w:firstLine="480" w:firstLineChars="200"/>
            </w:pPr>
            <w:r>
              <w:rPr>
                <w:rFonts w:hint="eastAsia"/>
              </w:rPr>
              <w:t>本次评价提出以下施工期固体废物污染防治措施：</w:t>
            </w:r>
          </w:p>
          <w:p w14:paraId="37498FE7">
            <w:pPr>
              <w:spacing w:line="360" w:lineRule="auto"/>
              <w:ind w:firstLine="480" w:firstLineChars="200"/>
            </w:pPr>
            <w:r>
              <w:rPr>
                <w:rFonts w:hint="eastAsia"/>
              </w:rPr>
              <w:t>（1）</w:t>
            </w:r>
            <w:r>
              <w:rPr>
                <w:rFonts w:hint="eastAsia"/>
                <w:b/>
                <w:bCs/>
                <w:u w:val="single"/>
              </w:rPr>
              <w:t>对施工人员开展宣传教育，使施工人员生活垃圾做到全部有效收集和贮存，施工期施工场地内设置防渗防雨的垃圾集中堆放场地，由当地市政环卫车辆定期运送至城市垃圾处理场处理。</w:t>
            </w:r>
          </w:p>
          <w:p w14:paraId="1C22522F">
            <w:pPr>
              <w:spacing w:line="360" w:lineRule="auto"/>
              <w:ind w:firstLine="480" w:firstLineChars="200"/>
            </w:pPr>
            <w:r>
              <w:rPr>
                <w:rFonts w:hint="eastAsia"/>
              </w:rPr>
              <w:t>（2）车辆运输散体物料和废弃物时，应密闭、覆盖，不得沿途漏撒，运载土方的车辆必须按指定路段行驶。</w:t>
            </w:r>
          </w:p>
          <w:p w14:paraId="2F0C1268">
            <w:pPr>
              <w:spacing w:line="360" w:lineRule="auto"/>
              <w:ind w:firstLine="480" w:firstLineChars="200"/>
            </w:pPr>
            <w:r>
              <w:rPr>
                <w:rFonts w:hint="eastAsia"/>
              </w:rPr>
              <w:t>（3）加强建筑垃圾的管理，施工单位不得随意抛弃建筑材料、旧料和其它杂物。施工中产生的土石方在场内平衡消纳，就地用于陆域填方和绿化、道路等生态景观建设，必须外运的建筑废料集中收集后送指定的建筑垃圾处置场处置。</w:t>
            </w:r>
          </w:p>
          <w:p w14:paraId="330DADA1">
            <w:pPr>
              <w:spacing w:line="360" w:lineRule="auto"/>
              <w:ind w:firstLine="480" w:firstLineChars="200"/>
            </w:pPr>
            <w:r>
              <w:rPr>
                <w:rFonts w:hint="eastAsia"/>
              </w:rPr>
              <w:t>（4）施工船舶含油污水油水分离处理产生的废油，在施工船舶靠岸后交有资质的单位转运、处理。</w:t>
            </w:r>
          </w:p>
          <w:p w14:paraId="73A326D9">
            <w:pPr>
              <w:spacing w:line="360" w:lineRule="auto"/>
              <w:ind w:firstLine="480" w:firstLineChars="200"/>
            </w:pPr>
            <w:r>
              <w:rPr>
                <w:rFonts w:hint="eastAsia"/>
              </w:rPr>
              <w:t>五、施工期生态环境保护措施</w:t>
            </w:r>
          </w:p>
          <w:p w14:paraId="5C61FA27">
            <w:pPr>
              <w:spacing w:line="360" w:lineRule="auto"/>
              <w:ind w:firstLine="480" w:firstLineChars="200"/>
            </w:pPr>
            <w:r>
              <w:rPr>
                <w:rFonts w:hint="eastAsia"/>
              </w:rPr>
              <w:t>1、陆域生态保护措施</w:t>
            </w:r>
          </w:p>
          <w:p w14:paraId="35C6A474">
            <w:pPr>
              <w:spacing w:line="360" w:lineRule="auto"/>
              <w:ind w:firstLine="480" w:firstLineChars="200"/>
            </w:pPr>
            <w:r>
              <w:rPr>
                <w:rFonts w:hint="eastAsia"/>
              </w:rPr>
              <w:t>（1）做好土石方挖填平衡工作，注意时序的衔接，争取挖填方一次到位，尽量减少临时堆放及土石搬运带来的水土流失。</w:t>
            </w:r>
          </w:p>
          <w:p w14:paraId="209FBA67">
            <w:pPr>
              <w:spacing w:line="360" w:lineRule="auto"/>
              <w:ind w:firstLine="480" w:firstLineChars="200"/>
            </w:pPr>
            <w:r>
              <w:rPr>
                <w:rFonts w:hint="eastAsia"/>
              </w:rPr>
              <w:t>（2）对临时土石方堆放点应有遮盖物。</w:t>
            </w:r>
          </w:p>
          <w:p w14:paraId="2ABEC71A">
            <w:pPr>
              <w:spacing w:line="360" w:lineRule="auto"/>
              <w:ind w:firstLine="480" w:firstLineChars="200"/>
            </w:pPr>
            <w:r>
              <w:rPr>
                <w:rFonts w:hint="eastAsia"/>
              </w:rPr>
              <w:t>（3）根据项目的施工进度及时对地面进行硬化处理和绿化工作；</w:t>
            </w:r>
          </w:p>
          <w:p w14:paraId="73E9076F">
            <w:pPr>
              <w:spacing w:line="360" w:lineRule="auto"/>
              <w:ind w:firstLine="480" w:firstLineChars="200"/>
            </w:pPr>
            <w:r>
              <w:rPr>
                <w:rFonts w:hint="eastAsia"/>
              </w:rPr>
              <w:t>（4）土方搬运堆填过程应避开雨季施工。</w:t>
            </w:r>
          </w:p>
          <w:p w14:paraId="68BF8C9D">
            <w:pPr>
              <w:spacing w:line="360" w:lineRule="auto"/>
              <w:ind w:firstLine="480" w:firstLineChars="200"/>
            </w:pPr>
            <w:r>
              <w:rPr>
                <w:rFonts w:hint="eastAsia"/>
              </w:rPr>
              <w:t>2、水域生态保护措施</w:t>
            </w:r>
          </w:p>
          <w:p w14:paraId="17824E09">
            <w:pPr>
              <w:spacing w:line="360" w:lineRule="auto"/>
              <w:ind w:firstLine="480" w:firstLineChars="200"/>
            </w:pPr>
            <w:r>
              <w:rPr>
                <w:rFonts w:hint="eastAsia"/>
              </w:rPr>
              <w:t>（1）加强生态环境保护的宣传和管理力度</w:t>
            </w:r>
          </w:p>
          <w:p w14:paraId="7CF8716E">
            <w:pPr>
              <w:spacing w:line="360" w:lineRule="auto"/>
              <w:ind w:firstLine="480" w:firstLineChars="200"/>
            </w:pPr>
            <w:r>
              <w:rPr>
                <w:rFonts w:hint="eastAsia"/>
              </w:rPr>
              <w:t>工程建设管理部门应充分认识到保护水生保护动物的重要性，加大对《中华人民共和国野生动物保护法》、《中华人民共和国渔业法》等法律法规的学习和宣传力度，加强对施工单位、施工人员的宣传教育工作，严禁施工人员利用水上作业之便非法捕捞。</w:t>
            </w:r>
          </w:p>
          <w:p w14:paraId="622471B5">
            <w:pPr>
              <w:spacing w:line="360" w:lineRule="auto"/>
              <w:ind w:firstLine="480" w:firstLineChars="200"/>
            </w:pPr>
            <w:r>
              <w:rPr>
                <w:rFonts w:hint="eastAsia"/>
              </w:rPr>
              <w:t>建设和施工单位应加大对《野生动物保护法》、《渔业法》等法律法规的宣传力度。建设单位与施工单位所签定的承包合同中应有环境保护方面的条款，并附有环保要求的具体内容。</w:t>
            </w:r>
          </w:p>
          <w:p w14:paraId="2B2B2A8F">
            <w:pPr>
              <w:spacing w:line="360" w:lineRule="auto"/>
              <w:ind w:firstLine="480" w:firstLineChars="200"/>
            </w:pPr>
            <w:r>
              <w:rPr>
                <w:rFonts w:hint="eastAsia"/>
              </w:rPr>
              <w:t>（2）科学选择施工期，结合本项目所在河流水文条件，水域作业选择非汛期进行，建议在鱼类产卵繁殖期及鱼苗摄食育肥期（4月～6月）降低施工强度，最大限度减少对水生生物的影响。</w:t>
            </w:r>
          </w:p>
          <w:p w14:paraId="320C88D1">
            <w:pPr>
              <w:spacing w:line="360" w:lineRule="auto"/>
              <w:ind w:firstLine="480" w:firstLineChars="200"/>
            </w:pPr>
            <w:r>
              <w:rPr>
                <w:rFonts w:hint="eastAsia"/>
              </w:rPr>
              <w:t>（3）</w:t>
            </w:r>
            <w:r>
              <w:rPr>
                <w:rFonts w:hint="eastAsia"/>
                <w:b/>
                <w:bCs/>
                <w:u w:val="single"/>
              </w:rPr>
              <w:t>为降低施工船舶对底栖生物等水生生物造成的伤害程度，施工单位应优化施工工艺方案，选用适当疏浚效率的挖泥设施，严格控制施工范围和减少污染物排放，抓紧施工进度，尽量缩短水上作业时间。</w:t>
            </w:r>
            <w:r>
              <w:rPr>
                <w:rFonts w:hint="eastAsia"/>
              </w:rPr>
              <w:t>加强施工区域通航管理工作，避免施工船舶溢油事故。把工程建设对水质及水生生物影响降到最低限度。</w:t>
            </w:r>
          </w:p>
          <w:p w14:paraId="25E97DBD">
            <w:pPr>
              <w:spacing w:line="360" w:lineRule="auto"/>
              <w:ind w:firstLine="480" w:firstLineChars="200"/>
            </w:pPr>
            <w:r>
              <w:rPr>
                <w:rFonts w:hint="eastAsia"/>
              </w:rPr>
              <w:t>（4）施工期间，应严禁施工人员随意将各类废弃物，如生活垃圾等，禁止直接抛入水体之中，尤其禁止向水体抛弃有毒有害物质；施工结束后，所有建筑垃圾不得弃于航道中。同时，生态补偿也需考虑。</w:t>
            </w:r>
          </w:p>
          <w:p w14:paraId="080F72DA">
            <w:pPr>
              <w:spacing w:line="360" w:lineRule="auto"/>
              <w:ind w:firstLine="480" w:firstLineChars="200"/>
            </w:pPr>
            <w:r>
              <w:rPr>
                <w:rFonts w:hint="eastAsia"/>
              </w:rPr>
              <w:t>（5）船舶含油污水若不经处理任意排放，将会对该水域生物产生较大的影响。如使水域水体的透光率下降，降低浮游植物的光合作用，影响水域的初级生产力，引起生态平衡的失调等，而且由于船舶流动性较强，污染范围会较大，因此必须按照本工程在环保措施章节中提出的要求，对船舶油污水进行收集处理，避免对生态环境产生的影响。</w:t>
            </w:r>
          </w:p>
          <w:p w14:paraId="1546783B">
            <w:pPr>
              <w:spacing w:line="360" w:lineRule="auto"/>
              <w:ind w:firstLine="482" w:firstLineChars="200"/>
              <w:rPr>
                <w:b/>
                <w:bCs/>
                <w:u w:val="single"/>
              </w:rPr>
            </w:pPr>
            <w:r>
              <w:rPr>
                <w:rFonts w:hint="eastAsia"/>
                <w:b/>
                <w:bCs/>
                <w:u w:val="single"/>
              </w:rPr>
              <w:t>3、水土保持措施</w:t>
            </w:r>
          </w:p>
          <w:p w14:paraId="4E4DE643">
            <w:pPr>
              <w:spacing w:line="360" w:lineRule="auto"/>
              <w:ind w:firstLine="482" w:firstLineChars="200"/>
              <w:rPr>
                <w:b/>
                <w:bCs/>
                <w:u w:val="single"/>
              </w:rPr>
            </w:pPr>
            <w:r>
              <w:rPr>
                <w:rFonts w:hint="eastAsia"/>
                <w:b/>
                <w:bCs/>
                <w:u w:val="single"/>
              </w:rPr>
              <w:t>根据本项目水土保持方案，本项目施工期拟采取的水土保持措施如下：</w:t>
            </w:r>
          </w:p>
          <w:p w14:paraId="587725F8">
            <w:pPr>
              <w:spacing w:line="360" w:lineRule="auto"/>
              <w:ind w:firstLine="482" w:firstLineChars="200"/>
              <w:rPr>
                <w:b/>
                <w:bCs/>
                <w:u w:val="single"/>
              </w:rPr>
            </w:pPr>
            <w:r>
              <w:rPr>
                <w:rFonts w:hint="eastAsia"/>
                <w:b/>
                <w:bCs/>
                <w:u w:val="single"/>
              </w:rPr>
              <w:t>（1）工程措施</w:t>
            </w:r>
          </w:p>
          <w:p w14:paraId="6DF8838B">
            <w:pPr>
              <w:spacing w:line="360" w:lineRule="auto"/>
              <w:ind w:firstLine="482" w:firstLineChars="200"/>
              <w:rPr>
                <w:b/>
                <w:bCs/>
                <w:u w:val="single"/>
              </w:rPr>
            </w:pPr>
            <w:r>
              <w:rPr>
                <w:rFonts w:hint="eastAsia"/>
                <w:b/>
                <w:bCs/>
                <w:u w:val="single"/>
              </w:rPr>
              <w:t>①雨水管线</w:t>
            </w:r>
          </w:p>
          <w:p w14:paraId="57654589">
            <w:pPr>
              <w:spacing w:line="360" w:lineRule="auto"/>
              <w:ind w:firstLine="482" w:firstLineChars="200"/>
              <w:rPr>
                <w:b/>
                <w:bCs/>
                <w:u w:val="single"/>
              </w:rPr>
            </w:pPr>
            <w:r>
              <w:rPr>
                <w:rFonts w:hint="eastAsia"/>
                <w:b/>
                <w:bCs/>
                <w:u w:val="single"/>
              </w:rPr>
              <w:t>主体工程设计雨水管线沿道路铺设，管径为DN300—DN1000，雨水管线长513.8m。管网开挖采用机械开挖，结合人工，机械吊装下管方式，沟槽开挖结束后，将地面上已经组装完毕的管道，通过机械吊装的方式铺设至挖好的沟槽中，并立即回填覆盖，回填过程中要严格防止地表水的进入，回填结束后，进行压实。</w:t>
            </w:r>
          </w:p>
          <w:p w14:paraId="7C9634A5">
            <w:pPr>
              <w:spacing w:line="360" w:lineRule="auto"/>
              <w:ind w:firstLine="482" w:firstLineChars="200"/>
              <w:rPr>
                <w:b/>
                <w:bCs/>
                <w:u w:val="single"/>
              </w:rPr>
            </w:pPr>
            <w:r>
              <w:rPr>
                <w:rFonts w:hint="eastAsia"/>
                <w:b/>
                <w:bCs/>
                <w:u w:val="single"/>
              </w:rPr>
              <w:t>②雨水口</w:t>
            </w:r>
          </w:p>
          <w:p w14:paraId="296E9BE6">
            <w:pPr>
              <w:spacing w:line="360" w:lineRule="auto"/>
              <w:ind w:firstLine="482" w:firstLineChars="200"/>
              <w:rPr>
                <w:b/>
                <w:bCs/>
                <w:u w:val="single"/>
              </w:rPr>
            </w:pPr>
            <w:r>
              <w:rPr>
                <w:rFonts w:hint="eastAsia"/>
                <w:b/>
                <w:bCs/>
                <w:u w:val="single"/>
              </w:rPr>
              <w:t>主体设计雨水口采用预制混凝土结构，配套设置雨水口21个。按设计尺寸开挖基坑，浇筑C15混凝土垫层，厚度10cm，表面找平，将预制井体准确放置在垫层上，调整水平度和标高。雨水口支管坡度≥1%，采用承插式接口时，接口处涂抹密封膏；钢管接口焊接牢固，做好仿佛处理。施工时保证位置标高准确、基础牢固、与排水管网衔接顺畅，同时做好防渗漏和防堵塞处理，确保雨水开始收集排放。</w:t>
            </w:r>
          </w:p>
          <w:p w14:paraId="135F8712">
            <w:pPr>
              <w:spacing w:line="360" w:lineRule="auto"/>
              <w:ind w:firstLine="482" w:firstLineChars="200"/>
              <w:rPr>
                <w:b/>
                <w:bCs/>
                <w:u w:val="single"/>
              </w:rPr>
            </w:pPr>
            <w:r>
              <w:rPr>
                <w:rFonts w:hint="eastAsia"/>
                <w:b/>
                <w:bCs/>
                <w:u w:val="single"/>
              </w:rPr>
              <w:t>③排水钢管</w:t>
            </w:r>
          </w:p>
          <w:p w14:paraId="118F195F">
            <w:pPr>
              <w:spacing w:line="360" w:lineRule="auto"/>
              <w:ind w:firstLine="482" w:firstLineChars="200"/>
              <w:rPr>
                <w:b/>
                <w:bCs/>
                <w:u w:val="single"/>
              </w:rPr>
            </w:pPr>
            <w:r>
              <w:rPr>
                <w:rFonts w:hint="eastAsia"/>
                <w:b/>
                <w:bCs/>
                <w:u w:val="single"/>
              </w:rPr>
              <w:t>围墙修建时，穿墙预埋d70排水钢管271mm，用于排除围墙内侧积水。</w:t>
            </w:r>
          </w:p>
          <w:p w14:paraId="137746B8">
            <w:pPr>
              <w:spacing w:line="360" w:lineRule="auto"/>
              <w:ind w:firstLine="482" w:firstLineChars="200"/>
              <w:rPr>
                <w:b/>
                <w:bCs/>
                <w:u w:val="single"/>
              </w:rPr>
            </w:pPr>
            <w:r>
              <w:rPr>
                <w:rFonts w:hint="eastAsia"/>
                <w:b/>
                <w:bCs/>
                <w:u w:val="single"/>
              </w:rPr>
              <w:t>（2）植物措施</w:t>
            </w:r>
          </w:p>
          <w:p w14:paraId="61E0B6F1">
            <w:pPr>
              <w:spacing w:line="360" w:lineRule="auto"/>
              <w:ind w:firstLine="482" w:firstLineChars="200"/>
              <w:rPr>
                <w:b/>
                <w:bCs/>
                <w:u w:val="single"/>
              </w:rPr>
            </w:pPr>
            <w:r>
              <w:rPr>
                <w:rFonts w:hint="eastAsia"/>
                <w:b/>
                <w:bCs/>
                <w:u w:val="single"/>
              </w:rPr>
              <w:t>①草皮铺种</w:t>
            </w:r>
          </w:p>
          <w:p w14:paraId="04D71AF0">
            <w:pPr>
              <w:spacing w:line="360" w:lineRule="auto"/>
              <w:ind w:firstLine="482" w:firstLineChars="200"/>
              <w:rPr>
                <w:b/>
                <w:bCs/>
                <w:u w:val="single"/>
              </w:rPr>
            </w:pPr>
            <w:r>
              <w:rPr>
                <w:rFonts w:hint="eastAsia"/>
                <w:b/>
                <w:bCs/>
                <w:u w:val="single"/>
              </w:rPr>
              <w:t>主体设计沿场区围墙、船艇冬季存放区和材料临时存放区周边布置绿化，绿化铺设草坪，绿化面积约4454㎡，草种选择高羊茅、早熟禾、黑麦草混种。</w:t>
            </w:r>
          </w:p>
          <w:p w14:paraId="4B31256E">
            <w:pPr>
              <w:spacing w:line="360" w:lineRule="auto"/>
              <w:ind w:firstLine="482" w:firstLineChars="200"/>
              <w:rPr>
                <w:b/>
                <w:bCs/>
                <w:u w:val="single"/>
              </w:rPr>
            </w:pPr>
            <w:r>
              <w:rPr>
                <w:rFonts w:hint="eastAsia"/>
                <w:b/>
                <w:bCs/>
                <w:u w:val="single"/>
              </w:rPr>
              <w:t>②全面整地</w:t>
            </w:r>
          </w:p>
          <w:p w14:paraId="080EBD8E">
            <w:pPr>
              <w:spacing w:line="360" w:lineRule="auto"/>
              <w:ind w:firstLine="482" w:firstLineChars="200"/>
              <w:rPr>
                <w:b/>
                <w:bCs/>
                <w:u w:val="single"/>
              </w:rPr>
            </w:pPr>
            <w:r>
              <w:rPr>
                <w:rFonts w:hint="eastAsia"/>
                <w:b/>
                <w:bCs/>
                <w:u w:val="single"/>
              </w:rPr>
              <w:t>全面整地时，首先清除土壤内的杂物并进行平整，整地时可同时施入有机肥，要注意增施氮肥，酌施钾肥，整地施肥时耕松土层，确保土壤的均匀性和通透性，全面整地面积0.45hm</w:t>
            </w:r>
            <w:r>
              <w:rPr>
                <w:rFonts w:hint="eastAsia"/>
                <w:b/>
                <w:bCs/>
                <w:u w:val="single"/>
                <w:vertAlign w:val="superscript"/>
              </w:rPr>
              <w:t>2</w:t>
            </w:r>
            <w:r>
              <w:rPr>
                <w:rFonts w:hint="eastAsia"/>
                <w:b/>
                <w:bCs/>
                <w:u w:val="single"/>
              </w:rPr>
              <w:t>。</w:t>
            </w:r>
          </w:p>
          <w:p w14:paraId="23D831F0">
            <w:pPr>
              <w:spacing w:line="360" w:lineRule="auto"/>
              <w:ind w:firstLine="482" w:firstLineChars="200"/>
              <w:rPr>
                <w:b/>
                <w:bCs/>
                <w:u w:val="single"/>
              </w:rPr>
            </w:pPr>
            <w:r>
              <w:rPr>
                <w:rFonts w:hint="eastAsia"/>
                <w:b/>
                <w:bCs/>
                <w:u w:val="single"/>
              </w:rPr>
              <w:t>（3）临时措施</w:t>
            </w:r>
          </w:p>
          <w:p w14:paraId="16FAF0BB">
            <w:pPr>
              <w:spacing w:line="360" w:lineRule="auto"/>
              <w:ind w:firstLine="482" w:firstLineChars="200"/>
              <w:rPr>
                <w:b/>
                <w:bCs/>
                <w:u w:val="single"/>
              </w:rPr>
            </w:pPr>
            <w:r>
              <w:rPr>
                <w:rFonts w:hint="eastAsia"/>
                <w:b/>
                <w:bCs/>
                <w:u w:val="single"/>
              </w:rPr>
              <w:t>①密目网苫盖</w:t>
            </w:r>
          </w:p>
          <w:p w14:paraId="14C65BBB">
            <w:pPr>
              <w:spacing w:line="360" w:lineRule="auto"/>
              <w:ind w:firstLine="482" w:firstLineChars="200"/>
            </w:pPr>
            <w:r>
              <w:rPr>
                <w:rFonts w:hint="eastAsia"/>
                <w:b/>
                <w:bCs/>
                <w:u w:val="single"/>
              </w:rPr>
              <w:t>对管线开挖临时堆土拟采用密目网临时苫盖，苫盖面积约8920㎡，搭接处及四周块石压脚。</w:t>
            </w:r>
          </w:p>
        </w:tc>
      </w:tr>
      <w:tr w14:paraId="0BE1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F1BB433">
            <w:pPr>
              <w:spacing w:line="360" w:lineRule="auto"/>
            </w:pPr>
            <w:r>
              <w:rPr>
                <w:rFonts w:hint="eastAsia"/>
              </w:rPr>
              <w:t>运营期生态环境保护措施</w:t>
            </w:r>
          </w:p>
        </w:tc>
        <w:tc>
          <w:tcPr>
            <w:tcW w:w="7592" w:type="dxa"/>
          </w:tcPr>
          <w:p w14:paraId="1A4B71BF">
            <w:pPr>
              <w:spacing w:line="360" w:lineRule="auto"/>
              <w:ind w:firstLine="480" w:firstLineChars="200"/>
            </w:pPr>
            <w:r>
              <w:rPr>
                <w:rFonts w:hint="eastAsia"/>
              </w:rPr>
              <w:t>一、运营期地表水污染防治措施</w:t>
            </w:r>
          </w:p>
          <w:p w14:paraId="4407FBCF">
            <w:pPr>
              <w:spacing w:line="360" w:lineRule="auto"/>
              <w:ind w:firstLine="480" w:firstLineChars="200"/>
            </w:pPr>
            <w:r>
              <w:rPr>
                <w:rFonts w:hint="eastAsia"/>
              </w:rPr>
              <w:t>本项目运营期废水主要为工作人员生活污水、船舶含油污水以及船舶冲洗水。</w:t>
            </w:r>
          </w:p>
          <w:p w14:paraId="48CB396E">
            <w:pPr>
              <w:spacing w:line="360" w:lineRule="auto"/>
              <w:ind w:firstLine="480" w:firstLineChars="200"/>
            </w:pPr>
            <w:r>
              <w:rPr>
                <w:rFonts w:hint="eastAsia"/>
              </w:rPr>
              <w:t>1、船舶油污水</w:t>
            </w:r>
          </w:p>
          <w:p w14:paraId="29A525D7">
            <w:pPr>
              <w:spacing w:line="360" w:lineRule="auto"/>
              <w:ind w:firstLine="482" w:firstLineChars="200"/>
              <w:rPr>
                <w:b/>
                <w:bCs/>
                <w:u w:val="single"/>
              </w:rPr>
            </w:pPr>
            <w:r>
              <w:rPr>
                <w:b/>
                <w:bCs/>
                <w:u w:val="single"/>
              </w:rPr>
              <w:t>根据</w:t>
            </w:r>
            <w:r>
              <w:rPr>
                <w:rFonts w:hint="eastAsia"/>
                <w:b/>
                <w:bCs/>
                <w:u w:val="single"/>
              </w:rPr>
              <w:t>《交通运输部关于修改</w:t>
            </w:r>
            <w:r>
              <w:rPr>
                <w:b/>
                <w:bCs/>
                <w:u w:val="single"/>
              </w:rPr>
              <w:t>《中华人民共和国防治船舶污染内河水域环境管理规定》</w:t>
            </w:r>
            <w:r>
              <w:rPr>
                <w:rFonts w:hint="eastAsia"/>
                <w:b/>
                <w:bCs/>
                <w:u w:val="single"/>
              </w:rPr>
              <w:t>的决定》（2022年9月26日）及《船舶水污染物排放控制标准》（GB 3552-2018）中的要求</w:t>
            </w:r>
            <w:r>
              <w:rPr>
                <w:b/>
                <w:bCs/>
                <w:u w:val="single"/>
              </w:rPr>
              <w:t>，</w:t>
            </w:r>
            <w:r>
              <w:rPr>
                <w:rFonts w:hint="eastAsia"/>
                <w:b/>
                <w:bCs/>
                <w:u w:val="single"/>
              </w:rPr>
              <w:t>本项目除快艇以外的各个来往</w:t>
            </w:r>
            <w:r>
              <w:rPr>
                <w:b/>
                <w:bCs/>
                <w:u w:val="single"/>
              </w:rPr>
              <w:t>船舶本身</w:t>
            </w:r>
            <w:r>
              <w:rPr>
                <w:rFonts w:hint="eastAsia"/>
                <w:b/>
                <w:bCs/>
                <w:u w:val="single"/>
              </w:rPr>
              <w:t>均</w:t>
            </w:r>
            <w:r>
              <w:rPr>
                <w:b/>
                <w:bCs/>
                <w:u w:val="single"/>
              </w:rPr>
              <w:t>配有处理机舱油污水的船用油水分离器，经处理后含油量应小于15mg/L</w:t>
            </w:r>
            <w:r>
              <w:rPr>
                <w:rFonts w:hint="eastAsia"/>
                <w:b/>
                <w:bCs/>
                <w:u w:val="single"/>
              </w:rPr>
              <w:t>，快艇产生的含油污水在船内暂存，各船舶在靠岸后，定期由移动式吸污车集中抽出，并委托长春市瀚拓工业有限公司进行统一处理，不得在码头所在江段排放，本项目不设置收集、贮存、转运设施。因故不能自行处理时，其舱底油污水应暂存于船舶自备的容器中，并送油污水接收船或岸上的油污水接收单位接收处理。禁止来往船舶在码头水域排放船舶舱底油污水，船舶如需排放污水，应由相关部门认定的污染物接收船有偿接收处理。本项目来往船舶含油污水的处理处置措施满足国家相关法律法规及标准的要求。</w:t>
            </w:r>
          </w:p>
          <w:p w14:paraId="4B0232FB">
            <w:pPr>
              <w:spacing w:line="360" w:lineRule="auto"/>
              <w:ind w:firstLine="480" w:firstLineChars="200"/>
            </w:pPr>
            <w:r>
              <w:rPr>
                <w:rFonts w:hint="eastAsia"/>
              </w:rPr>
              <w:t>长春市瀚拓工业有限公司具有危险废物经营许可，经营内容包括：“收集、贮存、处置HW09油/水、烃/水混合物或废乳化液非特定行业中900-005-09、900-006-09、900-007-09；HW34废酸非特定行业中900-300-34、900-301-34、900-302-34、900-306-34、900-307-34、900-349-34;HW35废碱基础化学原料制造行业中251-015-35、261-059-35，非特定行业中900-352-35、900-399-35，年经营规模5000吨。”根据《关于建立完善船舶水污染物转移处置联合监管制度的指导意见》，本项目含油污水虽不属于危废，但其与该公司经营内容中的油/水混合物性质一致，且本项目的产生量远小于该企业的处理能力，因此，完全可以依托该企业针对本项目含油废水进行处理。</w:t>
            </w:r>
          </w:p>
          <w:p w14:paraId="7C5CD45A">
            <w:pPr>
              <w:spacing w:line="360" w:lineRule="auto"/>
              <w:ind w:firstLine="480" w:firstLineChars="200"/>
            </w:pPr>
            <w:r>
              <w:rPr>
                <w:rFonts w:hint="eastAsia"/>
              </w:rPr>
              <w:t>建设单位应做好来往船舶的环保监管工作，严禁向鸭绿江水域排放各类污水、倾倒各类固体废物；对没有配备防污设施的船舶按规定进行处理，同时采取相应的补救措施，如提供活动厕所或污水接收容器等；通过宣传教育，提高船员的节水意识，可显著减少船舶生活污水的排放量；加强船舶靠港装卸、补给期间冲洗设备的定期检查，杜绝“跑、冒、滴、漏”现象，也有利于污水量的最少化。</w:t>
            </w:r>
          </w:p>
          <w:p w14:paraId="11C01408">
            <w:pPr>
              <w:spacing w:line="360" w:lineRule="auto"/>
              <w:ind w:firstLine="482" w:firstLineChars="200"/>
              <w:rPr>
                <w:b/>
                <w:bCs/>
                <w:u w:val="single"/>
              </w:rPr>
            </w:pPr>
            <w:r>
              <w:rPr>
                <w:rFonts w:hint="eastAsia"/>
                <w:b/>
                <w:bCs/>
                <w:u w:val="single"/>
              </w:rPr>
              <w:t>2、船舶冲洗废水</w:t>
            </w:r>
          </w:p>
          <w:p w14:paraId="64ED6A32">
            <w:pPr>
              <w:spacing w:line="360" w:lineRule="auto"/>
              <w:ind w:firstLine="482" w:firstLineChars="200"/>
              <w:rPr>
                <w:b/>
                <w:bCs/>
                <w:u w:val="single"/>
              </w:rPr>
            </w:pPr>
            <w:r>
              <w:rPr>
                <w:rFonts w:hint="eastAsia"/>
                <w:b/>
                <w:bCs/>
                <w:u w:val="single"/>
              </w:rPr>
              <w:t>本项目船舶每年冬季上岸暂存时进行一次冲洗，产生的冲洗废水量约1.2m³/d，将其收集并暂存于冲洗废水收集池内（2m³），定期清运至临江市污水处理厂进行处理。</w:t>
            </w:r>
          </w:p>
          <w:p w14:paraId="3D5EA506">
            <w:pPr>
              <w:spacing w:line="360" w:lineRule="auto"/>
              <w:ind w:firstLine="480" w:firstLineChars="200"/>
            </w:pPr>
            <w:r>
              <w:rPr>
                <w:rFonts w:hint="eastAsia"/>
              </w:rPr>
              <w:t>3、生活污水</w:t>
            </w:r>
          </w:p>
          <w:p w14:paraId="1A4F01D2">
            <w:pPr>
              <w:spacing w:line="360" w:lineRule="auto"/>
              <w:ind w:firstLine="480" w:firstLineChars="200"/>
            </w:pPr>
            <w:r>
              <w:rPr>
                <w:rFonts w:hint="eastAsia"/>
              </w:rPr>
              <w:t>本项目运营期码头工作区员工的生活污水排入防渗污水暂存池（60m</w:t>
            </w:r>
            <w:r>
              <w:rPr>
                <w:rFonts w:hint="eastAsia"/>
                <w:vertAlign w:val="superscript"/>
              </w:rPr>
              <w:t>3</w:t>
            </w:r>
            <w:r>
              <w:rPr>
                <w:rFonts w:hint="eastAsia"/>
              </w:rPr>
              <w:t>），定期进行清理并运送至临江市污水处理厂，另外本项目食堂产生少量含油废水，其经隔油处理后，一并排入污水暂存池。</w:t>
            </w:r>
          </w:p>
          <w:p w14:paraId="2F8DC467">
            <w:pPr>
              <w:spacing w:line="360" w:lineRule="auto"/>
              <w:ind w:firstLine="482" w:firstLineChars="200"/>
            </w:pPr>
            <w:r>
              <w:rPr>
                <w:rFonts w:hint="eastAsia"/>
                <w:b/>
                <w:bCs/>
                <w:u w:val="single"/>
              </w:rPr>
              <w:t>本项目运营期运行船舶内产生的生活污水于船舶内暂存，靠岸后采用吸污设备抽出，并于防渗污水收集池（60m</w:t>
            </w:r>
            <w:r>
              <w:rPr>
                <w:rFonts w:hint="eastAsia"/>
                <w:b/>
                <w:bCs/>
                <w:u w:val="single"/>
                <w:vertAlign w:val="superscript"/>
              </w:rPr>
              <w:t>3</w:t>
            </w:r>
            <w:r>
              <w:rPr>
                <w:rFonts w:hint="eastAsia"/>
                <w:b/>
                <w:bCs/>
                <w:u w:val="single"/>
              </w:rPr>
              <w:t>）内暂存，与码头工作人员生活污水一并委托临江市污水处理厂进行处理。</w:t>
            </w:r>
          </w:p>
          <w:p w14:paraId="2536ACC6">
            <w:pPr>
              <w:spacing w:line="360" w:lineRule="auto"/>
              <w:ind w:firstLine="480" w:firstLineChars="200"/>
            </w:pPr>
            <w:r>
              <w:rPr>
                <w:rFonts w:hint="eastAsia"/>
              </w:rPr>
              <w:t>因此本项目运营期产生的各类生活污水均能得到有效的收集、处理及处置，不会对周边环境造成影响。</w:t>
            </w:r>
          </w:p>
          <w:p w14:paraId="2E166459">
            <w:pPr>
              <w:spacing w:line="360" w:lineRule="auto"/>
              <w:ind w:firstLine="480" w:firstLineChars="200"/>
            </w:pPr>
            <w:r>
              <w:rPr>
                <w:rFonts w:hint="eastAsia"/>
              </w:rPr>
              <w:t>二、运营期环境空气污染防治措施</w:t>
            </w:r>
          </w:p>
          <w:p w14:paraId="29D4A105">
            <w:pPr>
              <w:spacing w:line="360" w:lineRule="auto"/>
              <w:ind w:firstLine="480" w:firstLineChars="200"/>
            </w:pPr>
            <w:r>
              <w:rPr>
                <w:rFonts w:hint="eastAsia"/>
              </w:rPr>
              <w:t>本项目运营期废气主要包括：码头来往船舶燃油废气、航标维修废气、疏浚物堆放扬尘以及食堂油烟。</w:t>
            </w:r>
          </w:p>
          <w:p w14:paraId="7FF8E48C">
            <w:pPr>
              <w:spacing w:line="360" w:lineRule="auto"/>
              <w:ind w:firstLine="480" w:firstLineChars="200"/>
            </w:pPr>
            <w:r>
              <w:rPr>
                <w:rFonts w:hint="eastAsia"/>
              </w:rPr>
              <w:t>1、船舶尾气污染防治措施</w:t>
            </w:r>
          </w:p>
          <w:p w14:paraId="4696C5B3">
            <w:pPr>
              <w:spacing w:line="360" w:lineRule="auto"/>
              <w:ind w:firstLine="480" w:firstLineChars="200"/>
            </w:pPr>
            <w:r>
              <w:rPr>
                <w:rFonts w:hint="eastAsia"/>
              </w:rPr>
              <w:t>（1）选用含硫量低的柴油为燃料，本工程控制柴油的含硫量&lt;0.5%。</w:t>
            </w:r>
          </w:p>
          <w:p w14:paraId="3CAA8DD7">
            <w:pPr>
              <w:spacing w:line="360" w:lineRule="auto"/>
              <w:ind w:firstLine="480" w:firstLineChars="200"/>
            </w:pPr>
            <w:r>
              <w:rPr>
                <w:rFonts w:hint="eastAsia"/>
              </w:rPr>
              <w:t>2、航标维修废气</w:t>
            </w:r>
          </w:p>
          <w:p w14:paraId="60849B01">
            <w:pPr>
              <w:spacing w:line="360" w:lineRule="auto"/>
              <w:ind w:firstLine="480" w:firstLineChars="200"/>
            </w:pPr>
            <w:r>
              <w:rPr>
                <w:rFonts w:hint="eastAsia"/>
              </w:rPr>
              <w:t>航标维修废气主要包括焊接烟尘、切割废气。</w:t>
            </w:r>
          </w:p>
          <w:p w14:paraId="345101E9">
            <w:pPr>
              <w:spacing w:line="360" w:lineRule="auto"/>
              <w:ind w:firstLine="480" w:firstLineChars="200"/>
            </w:pPr>
            <w:r>
              <w:rPr>
                <w:rFonts w:hint="eastAsia"/>
              </w:rPr>
              <w:t>本项目运营期应尽量选用低毒、环保型焊接材料，以降低焊接烟尘的产生量，保障无组织排放的维修废气污染物（颗粒物）排放情况满足《大气污染物综合排放标准》（GB 16297-1996）中厂界处无组织排放控制限值的要求。</w:t>
            </w:r>
          </w:p>
          <w:p w14:paraId="03A593A7">
            <w:pPr>
              <w:spacing w:line="360" w:lineRule="auto"/>
              <w:ind w:firstLine="480" w:firstLineChars="200"/>
            </w:pPr>
            <w:r>
              <w:rPr>
                <w:rFonts w:hint="eastAsia"/>
              </w:rPr>
              <w:t>3、疏浚物堆放扬尘</w:t>
            </w:r>
          </w:p>
          <w:p w14:paraId="3A369193">
            <w:pPr>
              <w:spacing w:line="360" w:lineRule="auto"/>
              <w:ind w:firstLine="480" w:firstLineChars="200"/>
            </w:pPr>
            <w:r>
              <w:rPr>
                <w:rFonts w:hint="eastAsia"/>
              </w:rPr>
              <w:t>为了最大限度的降低疏浚物在本项目临时存放区内暂存时的扬尘产生量，本次评价建议采取疏浚物采取苫盖、围挡等方式进一步降低其在暂存过程中的扬尘产生情况。同时建设单位在疏浚物上岸后，应尽快完成疏浚物拍卖流程，缩短其在码头内的暂存时长，最大限度的降低对环境空气的影响。</w:t>
            </w:r>
          </w:p>
          <w:p w14:paraId="645A0B30">
            <w:pPr>
              <w:spacing w:line="360" w:lineRule="auto"/>
              <w:ind w:firstLine="480" w:firstLineChars="200"/>
            </w:pPr>
            <w:r>
              <w:rPr>
                <w:rFonts w:hint="eastAsia"/>
              </w:rPr>
              <w:t>4、食堂油烟</w:t>
            </w:r>
          </w:p>
          <w:p w14:paraId="64EFD62B">
            <w:pPr>
              <w:spacing w:line="360" w:lineRule="auto"/>
              <w:ind w:firstLine="480" w:firstLineChars="200"/>
            </w:pPr>
            <w:r>
              <w:rPr>
                <w:rFonts w:hint="eastAsia"/>
              </w:rPr>
              <w:t>本项目食堂安装高效油烟净化装置，结合本项目食堂安装灶头的规模，其处理效率不得低于60%，经其处理后的食堂油烟能够满足《饮食业油烟排放标准（试行）》（GB 18483-2001）中的排放限值要求，经高于屋顶的排放口排放。</w:t>
            </w:r>
          </w:p>
          <w:p w14:paraId="26D53B3C">
            <w:pPr>
              <w:spacing w:line="360" w:lineRule="auto"/>
              <w:ind w:firstLine="480" w:firstLineChars="200"/>
            </w:pPr>
            <w:r>
              <w:rPr>
                <w:rFonts w:hint="eastAsia"/>
              </w:rPr>
              <w:t>三、运营期噪声污染防治措施</w:t>
            </w:r>
          </w:p>
          <w:p w14:paraId="1C3B4C72">
            <w:pPr>
              <w:spacing w:line="360" w:lineRule="auto"/>
              <w:ind w:firstLine="480" w:firstLineChars="200"/>
            </w:pPr>
            <w:r>
              <w:rPr>
                <w:rFonts w:hint="eastAsia"/>
              </w:rPr>
              <w:t>本项目运营期针对物料装卸等作业环节，应选用低噪声设备，从源头降低噪声源强，同时加强各生产设施的日常维护，使其保持良好的运行状态，降低产噪强度。</w:t>
            </w:r>
          </w:p>
          <w:p w14:paraId="5E1C1F8B">
            <w:pPr>
              <w:spacing w:line="360" w:lineRule="auto"/>
              <w:ind w:firstLine="480" w:firstLineChars="200"/>
            </w:pPr>
            <w:r>
              <w:rPr>
                <w:rFonts w:hint="eastAsia"/>
              </w:rPr>
              <w:t>在采取上述措施后，能够将运营期噪声控制在较低水平，不会对区域声环境产生明显的影响。</w:t>
            </w:r>
          </w:p>
          <w:p w14:paraId="3D65E580">
            <w:pPr>
              <w:spacing w:line="360" w:lineRule="auto"/>
              <w:ind w:firstLine="480" w:firstLineChars="200"/>
            </w:pPr>
            <w:r>
              <w:rPr>
                <w:rFonts w:hint="eastAsia"/>
              </w:rPr>
              <w:t>四、运营期固体废物污染防治措施</w:t>
            </w:r>
          </w:p>
          <w:p w14:paraId="2A2B18C1">
            <w:pPr>
              <w:spacing w:line="360" w:lineRule="auto"/>
              <w:ind w:firstLine="480" w:firstLineChars="200"/>
            </w:pPr>
            <w:r>
              <w:rPr>
                <w:rFonts w:hint="eastAsia"/>
              </w:rPr>
              <w:t>本项目运营期产生的固体废物主要包括：装卸固废、航标维修固废、船舶含油污水分离废油及生活垃圾。</w:t>
            </w:r>
          </w:p>
          <w:p w14:paraId="0F72D56F">
            <w:pPr>
              <w:spacing w:line="360" w:lineRule="auto"/>
              <w:ind w:firstLine="480" w:firstLineChars="200"/>
            </w:pPr>
            <w:r>
              <w:rPr>
                <w:rFonts w:hint="eastAsia"/>
              </w:rPr>
              <w:t>本项目装卸固废产生后，集中收集连同疏浚砂石一并外运出码头综合利用，不会对外环境产生二次污染；航标维修固废产生后统一收集并外售与资源回收企业；生活垃圾采用垃圾箱收集，并交由环卫部门统一进行处理；另外，本项目食堂隔油池将产生少量隔油固废，其产生后集中收集，送有资质的单位进行统一处理。</w:t>
            </w:r>
          </w:p>
          <w:p w14:paraId="5A922A15">
            <w:pPr>
              <w:spacing w:line="360" w:lineRule="auto"/>
              <w:ind w:firstLine="482" w:firstLineChars="200"/>
              <w:rPr>
                <w:b/>
                <w:bCs/>
                <w:u w:val="single"/>
              </w:rPr>
            </w:pPr>
            <w:r>
              <w:rPr>
                <w:rFonts w:hint="eastAsia"/>
                <w:b/>
                <w:bCs/>
                <w:u w:val="single"/>
              </w:rPr>
              <w:t>来往本项目船舶内经油水分离处理后产生的废油产生后于船内收集，靠岸后定期清出，于码头内设置的危废暂存仓内暂存，并最终委托有资质单位进行处理。</w:t>
            </w:r>
          </w:p>
          <w:p w14:paraId="585DF78C">
            <w:pPr>
              <w:spacing w:line="360" w:lineRule="auto"/>
              <w:ind w:firstLine="482" w:firstLineChars="200"/>
            </w:pPr>
            <w:r>
              <w:rPr>
                <w:rFonts w:hint="eastAsia"/>
                <w:b/>
                <w:bCs/>
                <w:u w:val="single"/>
              </w:rPr>
              <w:t>根据《危险废物贮存污染控制标准》（GB 18597-2023）、《危险废物管理计划和管理台账制定技术导则》（HJ 1259-2022），结合本项目危废产生量，码头内设置的危废暂存仓应属于贮存点，其建设、管理均应按照《危险废物贮存污染控制标准》（GB 18597-2023）中贮存点的要求执行。</w:t>
            </w:r>
          </w:p>
          <w:p w14:paraId="4ED10904">
            <w:pPr>
              <w:spacing w:line="360" w:lineRule="auto"/>
              <w:ind w:firstLine="480" w:firstLineChars="200"/>
            </w:pPr>
            <w:r>
              <w:rPr>
                <w:rFonts w:hint="eastAsia"/>
              </w:rPr>
              <w:t>本项目运营期在采取上述措施后，能够对产生的各项固体废物进行合理、有效的处理与处置，不会对外环境产生二次污染。</w:t>
            </w:r>
          </w:p>
          <w:p w14:paraId="592E39CC">
            <w:pPr>
              <w:spacing w:line="360" w:lineRule="auto"/>
              <w:ind w:firstLine="480" w:firstLineChars="200"/>
            </w:pPr>
            <w:r>
              <w:rPr>
                <w:rFonts w:hint="eastAsia"/>
              </w:rPr>
              <w:t>五、运营期风险防治措施</w:t>
            </w:r>
          </w:p>
          <w:p w14:paraId="3CE50C1F">
            <w:pPr>
              <w:spacing w:line="360" w:lineRule="auto"/>
              <w:ind w:firstLine="480" w:firstLineChars="200"/>
            </w:pPr>
            <w:r>
              <w:rPr>
                <w:rFonts w:hint="eastAsia"/>
              </w:rPr>
              <w:t>本次评价针对运营期可能出现的风险事故情况，提出如下风险防范措施：</w:t>
            </w:r>
          </w:p>
          <w:p w14:paraId="11D77285">
            <w:pPr>
              <w:spacing w:line="360" w:lineRule="auto"/>
              <w:ind w:firstLine="482" w:firstLineChars="200"/>
              <w:rPr>
                <w:b/>
                <w:bCs/>
                <w:u w:val="single"/>
              </w:rPr>
            </w:pPr>
            <w:r>
              <w:rPr>
                <w:rFonts w:hint="eastAsia"/>
                <w:b/>
                <w:bCs/>
                <w:u w:val="single"/>
              </w:rPr>
              <w:t>1、提高码头区域管理水平及操作人员技术熟练程度。选用先进的机械设备，并加强维护，避免出现漏油的情况；</w:t>
            </w:r>
          </w:p>
          <w:p w14:paraId="11511CA7">
            <w:pPr>
              <w:spacing w:line="360" w:lineRule="auto"/>
              <w:ind w:firstLine="480" w:firstLineChars="200"/>
            </w:pPr>
            <w:r>
              <w:rPr>
                <w:rFonts w:hint="eastAsia"/>
              </w:rPr>
              <w:t>2、码头部门应加强监管，避免发生船舶碰撞事故；</w:t>
            </w:r>
          </w:p>
          <w:p w14:paraId="6FC4FF51">
            <w:pPr>
              <w:spacing w:line="360" w:lineRule="auto"/>
              <w:ind w:firstLine="482" w:firstLineChars="200"/>
              <w:rPr>
                <w:b/>
                <w:bCs/>
                <w:u w:val="single"/>
              </w:rPr>
            </w:pPr>
            <w:r>
              <w:rPr>
                <w:rFonts w:hint="eastAsia"/>
                <w:b/>
                <w:bCs/>
                <w:u w:val="single"/>
              </w:rPr>
              <w:t>3、制定严格的船舶靠泊管理制度，加强码头工作人员及船舶驾驶人员的培训，码头调度人员应熟练和了解船舶的速度要求及相应的操作规范，从管理上最大限度地减少船舶碰撞事故的发生；</w:t>
            </w:r>
          </w:p>
          <w:p w14:paraId="7383BFA8">
            <w:pPr>
              <w:spacing w:line="360" w:lineRule="auto"/>
              <w:ind w:firstLine="480" w:firstLineChars="200"/>
            </w:pPr>
            <w:r>
              <w:rPr>
                <w:rFonts w:hint="eastAsia"/>
              </w:rPr>
              <w:t>4、码头区域船舶一律听从指挥，做到规范靠离和有序停泊；</w:t>
            </w:r>
          </w:p>
          <w:p w14:paraId="205C8C57">
            <w:pPr>
              <w:spacing w:line="360" w:lineRule="auto"/>
              <w:ind w:firstLine="482" w:firstLineChars="200"/>
              <w:rPr>
                <w:b/>
                <w:bCs/>
                <w:u w:val="single"/>
              </w:rPr>
            </w:pPr>
            <w:r>
              <w:rPr>
                <w:rFonts w:hint="eastAsia"/>
                <w:b/>
                <w:bCs/>
                <w:u w:val="single"/>
              </w:rPr>
              <w:t>5、制定风险应急预案，与地方人民政府及相关部门、有关单位建立应急联动机制，并定期开展应急演练；</w:t>
            </w:r>
          </w:p>
          <w:p w14:paraId="0C1FC0AD">
            <w:pPr>
              <w:spacing w:line="360" w:lineRule="auto"/>
              <w:ind w:firstLine="482" w:firstLineChars="200"/>
              <w:rPr>
                <w:b/>
                <w:bCs/>
                <w:u w:val="single"/>
              </w:rPr>
            </w:pPr>
            <w:r>
              <w:rPr>
                <w:rFonts w:hint="eastAsia"/>
                <w:b/>
                <w:bCs/>
                <w:u w:val="single"/>
              </w:rPr>
              <w:t>6、码头须配备一定的应急设备，同时，建立应急救援队伍。当发生重大溢油事故时，本区内的应急队伍和设备不能满足应急反应需要时，应迅速请求上级部门支援。运营期码头需配备的应急设备如下表所示：</w:t>
            </w:r>
          </w:p>
          <w:p w14:paraId="592AC83E">
            <w:pPr>
              <w:spacing w:line="360" w:lineRule="auto"/>
              <w:ind w:firstLine="480" w:firstLineChars="200"/>
            </w:pPr>
          </w:p>
          <w:p w14:paraId="3886AF6A">
            <w:pPr>
              <w:spacing w:line="360" w:lineRule="auto"/>
              <w:jc w:val="center"/>
              <w:rPr>
                <w:b/>
                <w:bCs/>
                <w:u w:val="single"/>
              </w:rPr>
            </w:pPr>
            <w:r>
              <w:rPr>
                <w:rFonts w:hint="eastAsia"/>
                <w:b/>
                <w:bCs/>
                <w:u w:val="single"/>
              </w:rPr>
              <w:t>表58      本项目应急物资一览表</w:t>
            </w:r>
          </w:p>
          <w:tbl>
            <w:tblPr>
              <w:tblStyle w:val="5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2375"/>
              <w:gridCol w:w="1842"/>
              <w:gridCol w:w="1842"/>
            </w:tblGrid>
            <w:tr w14:paraId="1795F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22044B14">
                  <w:pPr>
                    <w:jc w:val="center"/>
                    <w:rPr>
                      <w:rFonts w:cs="Times New Roman"/>
                      <w:b/>
                      <w:bCs/>
                      <w:i/>
                      <w:iCs/>
                      <w:kern w:val="0"/>
                      <w:sz w:val="21"/>
                      <w:szCs w:val="21"/>
                      <w:u w:val="single"/>
                    </w:rPr>
                  </w:pPr>
                  <w:r>
                    <w:rPr>
                      <w:rFonts w:hint="eastAsia" w:cs="Times New Roman"/>
                      <w:b/>
                      <w:bCs/>
                      <w:i/>
                      <w:iCs/>
                      <w:kern w:val="0"/>
                      <w:sz w:val="21"/>
                      <w:szCs w:val="21"/>
                      <w:u w:val="single"/>
                    </w:rPr>
                    <w:t>序号</w:t>
                  </w:r>
                </w:p>
              </w:tc>
              <w:tc>
                <w:tcPr>
                  <w:tcW w:w="2375" w:type="dxa"/>
                  <w:vAlign w:val="center"/>
                </w:tcPr>
                <w:p w14:paraId="19C10261">
                  <w:pPr>
                    <w:jc w:val="center"/>
                    <w:rPr>
                      <w:rFonts w:cs="Times New Roman"/>
                      <w:b/>
                      <w:bCs/>
                      <w:i/>
                      <w:iCs/>
                      <w:kern w:val="0"/>
                      <w:sz w:val="21"/>
                      <w:szCs w:val="21"/>
                      <w:u w:val="single"/>
                    </w:rPr>
                  </w:pPr>
                  <w:r>
                    <w:rPr>
                      <w:rFonts w:hint="eastAsia" w:cs="Times New Roman"/>
                      <w:b/>
                      <w:bCs/>
                      <w:i/>
                      <w:iCs/>
                      <w:kern w:val="0"/>
                      <w:sz w:val="21"/>
                      <w:szCs w:val="21"/>
                      <w:u w:val="single"/>
                    </w:rPr>
                    <w:t>物资名称</w:t>
                  </w:r>
                </w:p>
              </w:tc>
              <w:tc>
                <w:tcPr>
                  <w:tcW w:w="1842" w:type="dxa"/>
                  <w:vAlign w:val="center"/>
                </w:tcPr>
                <w:p w14:paraId="1C84FAFD">
                  <w:pPr>
                    <w:jc w:val="center"/>
                    <w:rPr>
                      <w:rFonts w:cs="Times New Roman"/>
                      <w:b/>
                      <w:bCs/>
                      <w:i/>
                      <w:iCs/>
                      <w:kern w:val="0"/>
                      <w:sz w:val="21"/>
                      <w:szCs w:val="21"/>
                      <w:u w:val="single"/>
                    </w:rPr>
                  </w:pPr>
                  <w:r>
                    <w:rPr>
                      <w:rFonts w:hint="eastAsia" w:cs="Times New Roman"/>
                      <w:b/>
                      <w:bCs/>
                      <w:i/>
                      <w:iCs/>
                      <w:kern w:val="0"/>
                      <w:sz w:val="21"/>
                      <w:szCs w:val="21"/>
                      <w:u w:val="single"/>
                    </w:rPr>
                    <w:t>单位</w:t>
                  </w:r>
                </w:p>
              </w:tc>
              <w:tc>
                <w:tcPr>
                  <w:tcW w:w="1842" w:type="dxa"/>
                  <w:vAlign w:val="center"/>
                </w:tcPr>
                <w:p w14:paraId="349D74C8">
                  <w:pPr>
                    <w:jc w:val="center"/>
                    <w:rPr>
                      <w:rFonts w:cs="Times New Roman"/>
                      <w:b/>
                      <w:bCs/>
                      <w:i/>
                      <w:iCs/>
                      <w:kern w:val="0"/>
                      <w:sz w:val="21"/>
                      <w:szCs w:val="21"/>
                      <w:u w:val="single"/>
                    </w:rPr>
                  </w:pPr>
                  <w:r>
                    <w:rPr>
                      <w:rFonts w:hint="eastAsia" w:cs="Times New Roman"/>
                      <w:b/>
                      <w:bCs/>
                      <w:i/>
                      <w:iCs/>
                      <w:kern w:val="0"/>
                      <w:sz w:val="21"/>
                      <w:szCs w:val="21"/>
                      <w:u w:val="single"/>
                    </w:rPr>
                    <w:t>数量</w:t>
                  </w:r>
                </w:p>
              </w:tc>
            </w:tr>
            <w:tr w14:paraId="19F86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6E57E0BB">
                  <w:pPr>
                    <w:jc w:val="center"/>
                    <w:rPr>
                      <w:rFonts w:cs="Times New Roman"/>
                      <w:i/>
                      <w:iCs/>
                      <w:kern w:val="0"/>
                      <w:sz w:val="21"/>
                      <w:szCs w:val="21"/>
                      <w:u w:val="single"/>
                    </w:rPr>
                  </w:pPr>
                  <w:r>
                    <w:rPr>
                      <w:rFonts w:hint="eastAsia" w:cs="Times New Roman"/>
                      <w:i/>
                      <w:iCs/>
                      <w:kern w:val="0"/>
                      <w:sz w:val="21"/>
                      <w:szCs w:val="21"/>
                      <w:u w:val="single"/>
                    </w:rPr>
                    <w:t>1</w:t>
                  </w:r>
                </w:p>
              </w:tc>
              <w:tc>
                <w:tcPr>
                  <w:tcW w:w="2375" w:type="dxa"/>
                  <w:vAlign w:val="center"/>
                </w:tcPr>
                <w:p w14:paraId="3C554F22">
                  <w:pPr>
                    <w:jc w:val="center"/>
                    <w:rPr>
                      <w:rFonts w:cs="Times New Roman"/>
                      <w:i/>
                      <w:iCs/>
                      <w:kern w:val="0"/>
                      <w:sz w:val="21"/>
                      <w:szCs w:val="21"/>
                      <w:u w:val="single"/>
                    </w:rPr>
                  </w:pPr>
                  <w:r>
                    <w:rPr>
                      <w:rFonts w:hint="eastAsia" w:cs="Times New Roman"/>
                      <w:i/>
                      <w:iCs/>
                      <w:kern w:val="0"/>
                      <w:sz w:val="21"/>
                      <w:szCs w:val="21"/>
                      <w:u w:val="single"/>
                    </w:rPr>
                    <w:t>油拖网</w:t>
                  </w:r>
                </w:p>
              </w:tc>
              <w:tc>
                <w:tcPr>
                  <w:tcW w:w="1842" w:type="dxa"/>
                  <w:vAlign w:val="center"/>
                </w:tcPr>
                <w:p w14:paraId="2FC9A617">
                  <w:pPr>
                    <w:jc w:val="center"/>
                    <w:rPr>
                      <w:rFonts w:cs="Times New Roman"/>
                      <w:i/>
                      <w:iCs/>
                      <w:kern w:val="0"/>
                      <w:sz w:val="21"/>
                      <w:szCs w:val="21"/>
                      <w:u w:val="single"/>
                    </w:rPr>
                  </w:pPr>
                  <w:r>
                    <w:rPr>
                      <w:rFonts w:hint="eastAsia" w:cs="Times New Roman"/>
                      <w:i/>
                      <w:iCs/>
                      <w:kern w:val="0"/>
                      <w:sz w:val="21"/>
                      <w:szCs w:val="21"/>
                      <w:u w:val="single"/>
                    </w:rPr>
                    <w:t>套</w:t>
                  </w:r>
                </w:p>
              </w:tc>
              <w:tc>
                <w:tcPr>
                  <w:tcW w:w="1842" w:type="dxa"/>
                  <w:vAlign w:val="center"/>
                </w:tcPr>
                <w:p w14:paraId="65F598EB">
                  <w:pPr>
                    <w:jc w:val="center"/>
                    <w:rPr>
                      <w:rFonts w:cs="Times New Roman"/>
                      <w:i/>
                      <w:iCs/>
                      <w:kern w:val="0"/>
                      <w:sz w:val="21"/>
                      <w:szCs w:val="21"/>
                      <w:u w:val="single"/>
                    </w:rPr>
                  </w:pPr>
                  <w:r>
                    <w:rPr>
                      <w:rFonts w:hint="eastAsia" w:cs="Times New Roman"/>
                      <w:i/>
                      <w:iCs/>
                      <w:kern w:val="0"/>
                      <w:sz w:val="21"/>
                      <w:szCs w:val="21"/>
                      <w:u w:val="single"/>
                    </w:rPr>
                    <w:t>1</w:t>
                  </w:r>
                </w:p>
              </w:tc>
            </w:tr>
            <w:tr w14:paraId="75B6B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69227FFD">
                  <w:pPr>
                    <w:jc w:val="center"/>
                    <w:rPr>
                      <w:rFonts w:cs="Times New Roman"/>
                      <w:i/>
                      <w:iCs/>
                      <w:kern w:val="0"/>
                      <w:sz w:val="21"/>
                      <w:szCs w:val="21"/>
                      <w:u w:val="single"/>
                    </w:rPr>
                  </w:pPr>
                  <w:r>
                    <w:rPr>
                      <w:rFonts w:hint="eastAsia" w:cs="Times New Roman"/>
                      <w:i/>
                      <w:iCs/>
                      <w:kern w:val="0"/>
                      <w:sz w:val="21"/>
                      <w:szCs w:val="21"/>
                      <w:u w:val="single"/>
                    </w:rPr>
                    <w:t>2</w:t>
                  </w:r>
                </w:p>
              </w:tc>
              <w:tc>
                <w:tcPr>
                  <w:tcW w:w="2375" w:type="dxa"/>
                  <w:vAlign w:val="center"/>
                </w:tcPr>
                <w:p w14:paraId="6B94FB21">
                  <w:pPr>
                    <w:jc w:val="center"/>
                    <w:rPr>
                      <w:rFonts w:cs="Times New Roman"/>
                      <w:i/>
                      <w:iCs/>
                      <w:kern w:val="0"/>
                      <w:sz w:val="21"/>
                      <w:szCs w:val="21"/>
                      <w:u w:val="single"/>
                    </w:rPr>
                  </w:pPr>
                  <w:r>
                    <w:rPr>
                      <w:rFonts w:hint="eastAsia" w:cs="Times New Roman"/>
                      <w:i/>
                      <w:iCs/>
                      <w:kern w:val="0"/>
                      <w:sz w:val="21"/>
                      <w:szCs w:val="21"/>
                      <w:u w:val="single"/>
                    </w:rPr>
                    <w:t>吸油毡</w:t>
                  </w:r>
                </w:p>
              </w:tc>
              <w:tc>
                <w:tcPr>
                  <w:tcW w:w="1842" w:type="dxa"/>
                  <w:vAlign w:val="center"/>
                </w:tcPr>
                <w:p w14:paraId="4D73023F">
                  <w:pPr>
                    <w:jc w:val="center"/>
                    <w:rPr>
                      <w:rFonts w:cs="Times New Roman"/>
                      <w:i/>
                      <w:iCs/>
                      <w:kern w:val="0"/>
                      <w:sz w:val="21"/>
                      <w:szCs w:val="21"/>
                      <w:u w:val="single"/>
                    </w:rPr>
                  </w:pPr>
                  <w:r>
                    <w:rPr>
                      <w:rFonts w:hint="eastAsia" w:cs="Times New Roman"/>
                      <w:i/>
                      <w:iCs/>
                      <w:kern w:val="0"/>
                      <w:sz w:val="21"/>
                      <w:szCs w:val="21"/>
                      <w:u w:val="single"/>
                    </w:rPr>
                    <w:t>吨</w:t>
                  </w:r>
                </w:p>
              </w:tc>
              <w:tc>
                <w:tcPr>
                  <w:tcW w:w="1842" w:type="dxa"/>
                  <w:vAlign w:val="center"/>
                </w:tcPr>
                <w:p w14:paraId="5029FC09">
                  <w:pPr>
                    <w:jc w:val="center"/>
                    <w:rPr>
                      <w:rFonts w:cs="Times New Roman"/>
                      <w:i/>
                      <w:iCs/>
                      <w:kern w:val="0"/>
                      <w:sz w:val="21"/>
                      <w:szCs w:val="21"/>
                      <w:u w:val="single"/>
                    </w:rPr>
                  </w:pPr>
                  <w:r>
                    <w:rPr>
                      <w:rFonts w:hint="eastAsia" w:cs="Times New Roman"/>
                      <w:i/>
                      <w:iCs/>
                      <w:kern w:val="0"/>
                      <w:sz w:val="21"/>
                      <w:szCs w:val="21"/>
                      <w:u w:val="single"/>
                    </w:rPr>
                    <w:t>0.5</w:t>
                  </w:r>
                </w:p>
              </w:tc>
            </w:tr>
            <w:tr w14:paraId="7C924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7D2D9998">
                  <w:pPr>
                    <w:jc w:val="center"/>
                    <w:rPr>
                      <w:rFonts w:cs="Times New Roman"/>
                      <w:i/>
                      <w:iCs/>
                      <w:kern w:val="0"/>
                      <w:sz w:val="21"/>
                      <w:szCs w:val="21"/>
                      <w:u w:val="single"/>
                    </w:rPr>
                  </w:pPr>
                  <w:r>
                    <w:rPr>
                      <w:rFonts w:hint="eastAsia" w:cs="Times New Roman"/>
                      <w:i/>
                      <w:iCs/>
                      <w:kern w:val="0"/>
                      <w:sz w:val="21"/>
                      <w:szCs w:val="21"/>
                      <w:u w:val="single"/>
                    </w:rPr>
                    <w:t>3</w:t>
                  </w:r>
                </w:p>
              </w:tc>
              <w:tc>
                <w:tcPr>
                  <w:tcW w:w="2375" w:type="dxa"/>
                  <w:vAlign w:val="center"/>
                </w:tcPr>
                <w:p w14:paraId="596A4BC9">
                  <w:pPr>
                    <w:jc w:val="center"/>
                    <w:rPr>
                      <w:rFonts w:cs="Times New Roman"/>
                      <w:i/>
                      <w:iCs/>
                      <w:kern w:val="0"/>
                      <w:sz w:val="21"/>
                      <w:szCs w:val="21"/>
                      <w:u w:val="single"/>
                    </w:rPr>
                  </w:pPr>
                  <w:r>
                    <w:rPr>
                      <w:rFonts w:hint="eastAsia" w:cs="Times New Roman"/>
                      <w:i/>
                      <w:iCs/>
                      <w:kern w:val="0"/>
                      <w:sz w:val="21"/>
                      <w:szCs w:val="21"/>
                      <w:u w:val="single"/>
                    </w:rPr>
                    <w:t>围油栏（应急型）</w:t>
                  </w:r>
                </w:p>
              </w:tc>
              <w:tc>
                <w:tcPr>
                  <w:tcW w:w="1842" w:type="dxa"/>
                  <w:vAlign w:val="center"/>
                </w:tcPr>
                <w:p w14:paraId="5DEA49B1">
                  <w:pPr>
                    <w:jc w:val="center"/>
                    <w:rPr>
                      <w:rFonts w:cs="Times New Roman"/>
                      <w:i/>
                      <w:iCs/>
                      <w:kern w:val="0"/>
                      <w:sz w:val="21"/>
                      <w:szCs w:val="21"/>
                      <w:u w:val="single"/>
                    </w:rPr>
                  </w:pPr>
                  <w:r>
                    <w:rPr>
                      <w:rFonts w:hint="eastAsia" w:cs="Times New Roman"/>
                      <w:i/>
                      <w:iCs/>
                      <w:kern w:val="0"/>
                      <w:sz w:val="21"/>
                      <w:szCs w:val="21"/>
                      <w:u w:val="single"/>
                    </w:rPr>
                    <w:t>米</w:t>
                  </w:r>
                </w:p>
              </w:tc>
              <w:tc>
                <w:tcPr>
                  <w:tcW w:w="1842" w:type="dxa"/>
                  <w:vAlign w:val="center"/>
                </w:tcPr>
                <w:p w14:paraId="0019E5D2">
                  <w:pPr>
                    <w:jc w:val="center"/>
                    <w:rPr>
                      <w:rFonts w:cs="Times New Roman"/>
                      <w:i/>
                      <w:iCs/>
                      <w:kern w:val="0"/>
                      <w:sz w:val="21"/>
                      <w:szCs w:val="21"/>
                      <w:u w:val="single"/>
                    </w:rPr>
                  </w:pPr>
                  <w:r>
                    <w:rPr>
                      <w:rFonts w:hint="eastAsia" w:cs="Times New Roman"/>
                      <w:i/>
                      <w:iCs/>
                      <w:kern w:val="0"/>
                      <w:sz w:val="21"/>
                      <w:szCs w:val="21"/>
                      <w:u w:val="single"/>
                    </w:rPr>
                    <w:t>200</w:t>
                  </w:r>
                </w:p>
              </w:tc>
            </w:tr>
            <w:tr w14:paraId="26D00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12AAC329">
                  <w:pPr>
                    <w:jc w:val="center"/>
                    <w:rPr>
                      <w:rFonts w:cs="Times New Roman"/>
                      <w:i/>
                      <w:iCs/>
                      <w:kern w:val="0"/>
                      <w:sz w:val="21"/>
                      <w:szCs w:val="21"/>
                      <w:u w:val="single"/>
                    </w:rPr>
                  </w:pPr>
                  <w:r>
                    <w:rPr>
                      <w:rFonts w:hint="eastAsia" w:cs="Times New Roman"/>
                      <w:i/>
                      <w:iCs/>
                      <w:kern w:val="0"/>
                      <w:sz w:val="21"/>
                      <w:szCs w:val="21"/>
                      <w:u w:val="single"/>
                    </w:rPr>
                    <w:t>4</w:t>
                  </w:r>
                </w:p>
              </w:tc>
              <w:tc>
                <w:tcPr>
                  <w:tcW w:w="2375" w:type="dxa"/>
                  <w:vAlign w:val="center"/>
                </w:tcPr>
                <w:p w14:paraId="3C0DB4EA">
                  <w:pPr>
                    <w:jc w:val="center"/>
                    <w:rPr>
                      <w:rFonts w:cs="Times New Roman"/>
                      <w:i/>
                      <w:iCs/>
                      <w:kern w:val="0"/>
                      <w:sz w:val="21"/>
                      <w:szCs w:val="21"/>
                      <w:u w:val="single"/>
                    </w:rPr>
                  </w:pPr>
                  <w:r>
                    <w:rPr>
                      <w:rFonts w:hint="eastAsia" w:cs="Times New Roman"/>
                      <w:i/>
                      <w:iCs/>
                      <w:kern w:val="0"/>
                      <w:sz w:val="21"/>
                      <w:szCs w:val="21"/>
                      <w:u w:val="single"/>
                    </w:rPr>
                    <w:t>溢油分散喷洒装置</w:t>
                  </w:r>
                </w:p>
              </w:tc>
              <w:tc>
                <w:tcPr>
                  <w:tcW w:w="1842" w:type="dxa"/>
                  <w:vAlign w:val="center"/>
                </w:tcPr>
                <w:p w14:paraId="74E2579C">
                  <w:pPr>
                    <w:jc w:val="center"/>
                    <w:rPr>
                      <w:rFonts w:cs="Times New Roman"/>
                      <w:i/>
                      <w:iCs/>
                      <w:kern w:val="0"/>
                      <w:sz w:val="21"/>
                      <w:szCs w:val="21"/>
                      <w:u w:val="single"/>
                    </w:rPr>
                  </w:pPr>
                  <w:r>
                    <w:rPr>
                      <w:rFonts w:hint="eastAsia" w:cs="Times New Roman"/>
                      <w:i/>
                      <w:iCs/>
                      <w:kern w:val="0"/>
                      <w:sz w:val="21"/>
                      <w:szCs w:val="21"/>
                      <w:u w:val="single"/>
                    </w:rPr>
                    <w:t>套</w:t>
                  </w:r>
                </w:p>
              </w:tc>
              <w:tc>
                <w:tcPr>
                  <w:tcW w:w="1842" w:type="dxa"/>
                  <w:vAlign w:val="center"/>
                </w:tcPr>
                <w:p w14:paraId="2A47FD60">
                  <w:pPr>
                    <w:jc w:val="center"/>
                    <w:rPr>
                      <w:rFonts w:cs="Times New Roman"/>
                      <w:i/>
                      <w:iCs/>
                      <w:kern w:val="0"/>
                      <w:sz w:val="21"/>
                      <w:szCs w:val="21"/>
                      <w:u w:val="single"/>
                    </w:rPr>
                  </w:pPr>
                  <w:r>
                    <w:rPr>
                      <w:rFonts w:hint="eastAsia" w:cs="Times New Roman"/>
                      <w:i/>
                      <w:iCs/>
                      <w:kern w:val="0"/>
                      <w:sz w:val="21"/>
                      <w:szCs w:val="21"/>
                      <w:u w:val="single"/>
                    </w:rPr>
                    <w:t>1</w:t>
                  </w:r>
                </w:p>
              </w:tc>
            </w:tr>
            <w:tr w14:paraId="0AE5E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7" w:type="dxa"/>
                  <w:vAlign w:val="center"/>
                </w:tcPr>
                <w:p w14:paraId="16F0D570">
                  <w:pPr>
                    <w:jc w:val="center"/>
                    <w:rPr>
                      <w:rFonts w:cs="Times New Roman"/>
                      <w:i/>
                      <w:iCs/>
                      <w:kern w:val="0"/>
                      <w:sz w:val="21"/>
                      <w:szCs w:val="21"/>
                      <w:u w:val="single"/>
                    </w:rPr>
                  </w:pPr>
                  <w:r>
                    <w:rPr>
                      <w:rFonts w:hint="eastAsia" w:cs="Times New Roman"/>
                      <w:i/>
                      <w:iCs/>
                      <w:kern w:val="0"/>
                      <w:sz w:val="21"/>
                      <w:szCs w:val="21"/>
                      <w:u w:val="single"/>
                    </w:rPr>
                    <w:t>5</w:t>
                  </w:r>
                </w:p>
              </w:tc>
              <w:tc>
                <w:tcPr>
                  <w:tcW w:w="2375" w:type="dxa"/>
                  <w:vAlign w:val="center"/>
                </w:tcPr>
                <w:p w14:paraId="3038D4EC">
                  <w:pPr>
                    <w:jc w:val="center"/>
                    <w:rPr>
                      <w:rFonts w:cs="Times New Roman"/>
                      <w:i/>
                      <w:iCs/>
                      <w:kern w:val="0"/>
                      <w:sz w:val="21"/>
                      <w:szCs w:val="21"/>
                      <w:u w:val="single"/>
                    </w:rPr>
                  </w:pPr>
                  <w:r>
                    <w:rPr>
                      <w:rFonts w:hint="eastAsia" w:cs="Times New Roman"/>
                      <w:i/>
                      <w:iCs/>
                      <w:kern w:val="0"/>
                      <w:sz w:val="21"/>
                      <w:szCs w:val="21"/>
                      <w:u w:val="single"/>
                    </w:rPr>
                    <w:t>溢油分散剂</w:t>
                  </w:r>
                </w:p>
              </w:tc>
              <w:tc>
                <w:tcPr>
                  <w:tcW w:w="1842" w:type="dxa"/>
                  <w:vAlign w:val="center"/>
                </w:tcPr>
                <w:p w14:paraId="0F4D3429">
                  <w:pPr>
                    <w:jc w:val="center"/>
                    <w:rPr>
                      <w:rFonts w:cs="Times New Roman"/>
                      <w:i/>
                      <w:iCs/>
                      <w:kern w:val="0"/>
                      <w:sz w:val="21"/>
                      <w:szCs w:val="21"/>
                      <w:u w:val="single"/>
                    </w:rPr>
                  </w:pPr>
                  <w:r>
                    <w:rPr>
                      <w:rFonts w:hint="eastAsia" w:cs="Times New Roman"/>
                      <w:i/>
                      <w:iCs/>
                      <w:kern w:val="0"/>
                      <w:sz w:val="21"/>
                      <w:szCs w:val="21"/>
                      <w:u w:val="single"/>
                    </w:rPr>
                    <w:t>吨</w:t>
                  </w:r>
                </w:p>
              </w:tc>
              <w:tc>
                <w:tcPr>
                  <w:tcW w:w="1842" w:type="dxa"/>
                  <w:vAlign w:val="center"/>
                </w:tcPr>
                <w:p w14:paraId="1FD6B4E1">
                  <w:pPr>
                    <w:jc w:val="center"/>
                    <w:rPr>
                      <w:rFonts w:cs="Times New Roman"/>
                      <w:i/>
                      <w:iCs/>
                      <w:kern w:val="0"/>
                      <w:sz w:val="21"/>
                      <w:szCs w:val="21"/>
                      <w:u w:val="single"/>
                    </w:rPr>
                  </w:pPr>
                  <w:r>
                    <w:rPr>
                      <w:rFonts w:hint="eastAsia" w:cs="Times New Roman"/>
                      <w:i/>
                      <w:iCs/>
                      <w:kern w:val="0"/>
                      <w:sz w:val="21"/>
                      <w:szCs w:val="21"/>
                      <w:u w:val="single"/>
                    </w:rPr>
                    <w:t>0.5</w:t>
                  </w:r>
                </w:p>
              </w:tc>
            </w:tr>
          </w:tbl>
          <w:p w14:paraId="0CC55190">
            <w:pPr>
              <w:spacing w:line="360" w:lineRule="auto"/>
              <w:ind w:firstLine="480" w:firstLineChars="200"/>
            </w:pPr>
          </w:p>
          <w:p w14:paraId="64DCF64C">
            <w:pPr>
              <w:spacing w:line="360" w:lineRule="auto"/>
              <w:ind w:firstLine="480" w:firstLineChars="200"/>
            </w:pPr>
          </w:p>
        </w:tc>
      </w:tr>
      <w:tr w14:paraId="3DEE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4CD007D">
            <w:pPr>
              <w:spacing w:line="360" w:lineRule="auto"/>
            </w:pPr>
            <w:r>
              <w:rPr>
                <w:rFonts w:hint="eastAsia"/>
              </w:rPr>
              <w:t>其他</w:t>
            </w:r>
          </w:p>
        </w:tc>
        <w:tc>
          <w:tcPr>
            <w:tcW w:w="7592" w:type="dxa"/>
          </w:tcPr>
          <w:p w14:paraId="7D4CD595">
            <w:pPr>
              <w:spacing w:line="360" w:lineRule="auto"/>
              <w:ind w:firstLine="482" w:firstLineChars="200"/>
              <w:rPr>
                <w:b/>
                <w:bCs/>
                <w:u w:val="single"/>
              </w:rPr>
            </w:pPr>
            <w:r>
              <w:rPr>
                <w:rFonts w:hint="eastAsia"/>
                <w:b/>
                <w:bCs/>
                <w:u w:val="single"/>
              </w:rPr>
              <w:t>1、施工期环境监理</w:t>
            </w:r>
          </w:p>
          <w:p w14:paraId="33DD7213">
            <w:pPr>
              <w:spacing w:line="360" w:lineRule="auto"/>
              <w:ind w:firstLine="482" w:firstLineChars="200"/>
              <w:rPr>
                <w:b/>
                <w:bCs/>
                <w:u w:val="single"/>
              </w:rPr>
            </w:pPr>
            <w:r>
              <w:rPr>
                <w:rFonts w:hint="eastAsia"/>
                <w:b/>
                <w:bCs/>
                <w:u w:val="single"/>
              </w:rPr>
              <w:t>本项目建设过程中，应委托有资质的环境监理机构，依据环境影响评价文件及环境保护行政主管部门批复、环境监理合同，对项目施工建设实行的环境保护监督管理。</w:t>
            </w:r>
          </w:p>
          <w:p w14:paraId="1DE904EC">
            <w:pPr>
              <w:spacing w:line="360" w:lineRule="auto"/>
              <w:ind w:firstLine="480" w:firstLineChars="200"/>
            </w:pPr>
            <w:r>
              <w:rPr>
                <w:rFonts w:hint="eastAsia"/>
              </w:rPr>
              <w:t>2、运营期自行监测</w:t>
            </w:r>
          </w:p>
          <w:p w14:paraId="47C6DCF1">
            <w:pPr>
              <w:spacing w:line="360" w:lineRule="auto"/>
              <w:ind w:firstLine="480" w:firstLineChars="200"/>
            </w:pPr>
            <w:r>
              <w:rPr>
                <w:rFonts w:hint="eastAsia"/>
              </w:rPr>
              <w:t>结合本项目施工工艺特点，制定本项目施工期监测方案；根据《排污单位自行监测技术指南 总则》（HJ 819-2017）中明确的自行监测相关要求，制定本项目运营期自行监测方案，具体如下：</w:t>
            </w:r>
          </w:p>
          <w:p w14:paraId="1681B0BB">
            <w:pPr>
              <w:adjustRightInd w:val="0"/>
              <w:snapToGrid w:val="0"/>
              <w:spacing w:line="360" w:lineRule="auto"/>
              <w:jc w:val="center"/>
              <w:rPr>
                <w:b/>
                <w:kern w:val="0"/>
                <w:szCs w:val="21"/>
              </w:rPr>
            </w:pPr>
          </w:p>
          <w:p w14:paraId="640962E6">
            <w:pPr>
              <w:adjustRightInd w:val="0"/>
              <w:snapToGrid w:val="0"/>
              <w:spacing w:line="360" w:lineRule="auto"/>
              <w:jc w:val="center"/>
              <w:rPr>
                <w:rFonts w:cs="宋体"/>
                <w:b/>
                <w:szCs w:val="21"/>
              </w:rPr>
            </w:pPr>
            <w:r>
              <w:rPr>
                <w:rFonts w:hint="eastAsia"/>
                <w:b/>
                <w:kern w:val="0"/>
                <w:szCs w:val="21"/>
              </w:rPr>
              <w:t>表59      本项目运营期自行监测方案一览表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134"/>
              <w:gridCol w:w="1276"/>
              <w:gridCol w:w="1418"/>
              <w:gridCol w:w="2665"/>
            </w:tblGrid>
            <w:tr w14:paraId="387E4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vAlign w:val="center"/>
                </w:tcPr>
                <w:p w14:paraId="5723F056">
                  <w:pPr>
                    <w:pStyle w:val="15"/>
                    <w:adjustRightInd w:val="0"/>
                    <w:snapToGrid w:val="0"/>
                    <w:spacing w:before="0" w:beforeAutospacing="0" w:after="0" w:afterAutospacing="0"/>
                    <w:jc w:val="center"/>
                    <w:rPr>
                      <w:rFonts w:hint="eastAsia" w:cs="宋体"/>
                      <w:b/>
                      <w:bCs/>
                      <w:i/>
                      <w:iCs/>
                      <w:kern w:val="2"/>
                      <w:sz w:val="21"/>
                      <w:szCs w:val="21"/>
                      <w:u w:val="single"/>
                    </w:rPr>
                  </w:pPr>
                  <w:r>
                    <w:rPr>
                      <w:rFonts w:hint="eastAsia" w:cs="宋体"/>
                      <w:b/>
                      <w:bCs/>
                      <w:i/>
                      <w:iCs/>
                      <w:kern w:val="2"/>
                      <w:sz w:val="21"/>
                      <w:szCs w:val="21"/>
                      <w:u w:val="single"/>
                    </w:rPr>
                    <w:t>时段</w:t>
                  </w:r>
                </w:p>
              </w:tc>
              <w:tc>
                <w:tcPr>
                  <w:tcW w:w="1134" w:type="dxa"/>
                  <w:vAlign w:val="center"/>
                </w:tcPr>
                <w:p w14:paraId="18C80AD5">
                  <w:pPr>
                    <w:pStyle w:val="15"/>
                    <w:adjustRightInd w:val="0"/>
                    <w:snapToGrid w:val="0"/>
                    <w:spacing w:before="0" w:beforeAutospacing="0" w:after="0" w:afterAutospacing="0"/>
                    <w:jc w:val="center"/>
                    <w:rPr>
                      <w:rFonts w:hint="eastAsia" w:cs="宋体"/>
                      <w:b/>
                      <w:bCs/>
                      <w:i/>
                      <w:iCs/>
                      <w:kern w:val="2"/>
                      <w:sz w:val="21"/>
                      <w:szCs w:val="21"/>
                      <w:u w:val="single"/>
                    </w:rPr>
                  </w:pPr>
                  <w:r>
                    <w:rPr>
                      <w:rFonts w:hint="eastAsia" w:cs="宋体"/>
                      <w:b/>
                      <w:bCs/>
                      <w:i/>
                      <w:iCs/>
                      <w:kern w:val="2"/>
                      <w:sz w:val="21"/>
                      <w:szCs w:val="21"/>
                      <w:u w:val="single"/>
                    </w:rPr>
                    <w:t>环境要素</w:t>
                  </w:r>
                </w:p>
              </w:tc>
              <w:tc>
                <w:tcPr>
                  <w:tcW w:w="1276" w:type="dxa"/>
                  <w:vAlign w:val="center"/>
                </w:tcPr>
                <w:p w14:paraId="4D543CF5">
                  <w:pPr>
                    <w:pStyle w:val="15"/>
                    <w:adjustRightInd w:val="0"/>
                    <w:snapToGrid w:val="0"/>
                    <w:spacing w:before="0" w:beforeAutospacing="0" w:after="0" w:afterAutospacing="0"/>
                    <w:jc w:val="center"/>
                    <w:rPr>
                      <w:rFonts w:hint="eastAsia" w:cs="宋体"/>
                      <w:b/>
                      <w:bCs/>
                      <w:i/>
                      <w:iCs/>
                      <w:kern w:val="2"/>
                      <w:sz w:val="21"/>
                      <w:szCs w:val="21"/>
                      <w:u w:val="single"/>
                    </w:rPr>
                  </w:pPr>
                  <w:r>
                    <w:rPr>
                      <w:rFonts w:hint="eastAsia" w:cs="宋体"/>
                      <w:b/>
                      <w:bCs/>
                      <w:i/>
                      <w:iCs/>
                      <w:kern w:val="2"/>
                      <w:sz w:val="21"/>
                      <w:szCs w:val="21"/>
                      <w:u w:val="single"/>
                    </w:rPr>
                    <w:t>监测点位</w:t>
                  </w:r>
                </w:p>
              </w:tc>
              <w:tc>
                <w:tcPr>
                  <w:tcW w:w="1418" w:type="dxa"/>
                  <w:vAlign w:val="center"/>
                </w:tcPr>
                <w:p w14:paraId="33B369F5">
                  <w:pPr>
                    <w:pStyle w:val="15"/>
                    <w:adjustRightInd w:val="0"/>
                    <w:snapToGrid w:val="0"/>
                    <w:spacing w:before="0" w:beforeAutospacing="0" w:after="0" w:afterAutospacing="0"/>
                    <w:jc w:val="center"/>
                    <w:rPr>
                      <w:rFonts w:hint="eastAsia" w:cs="宋体"/>
                      <w:b/>
                      <w:bCs/>
                      <w:i/>
                      <w:iCs/>
                      <w:kern w:val="2"/>
                      <w:sz w:val="21"/>
                      <w:szCs w:val="21"/>
                      <w:u w:val="single"/>
                    </w:rPr>
                  </w:pPr>
                  <w:r>
                    <w:rPr>
                      <w:rFonts w:hint="eastAsia" w:cs="宋体"/>
                      <w:b/>
                      <w:bCs/>
                      <w:i/>
                      <w:iCs/>
                      <w:kern w:val="2"/>
                      <w:sz w:val="21"/>
                      <w:szCs w:val="21"/>
                      <w:u w:val="single"/>
                    </w:rPr>
                    <w:t>监测因子</w:t>
                  </w:r>
                </w:p>
              </w:tc>
              <w:tc>
                <w:tcPr>
                  <w:tcW w:w="2665" w:type="dxa"/>
                  <w:vAlign w:val="center"/>
                </w:tcPr>
                <w:p w14:paraId="04F4A583">
                  <w:pPr>
                    <w:pStyle w:val="15"/>
                    <w:adjustRightInd w:val="0"/>
                    <w:snapToGrid w:val="0"/>
                    <w:spacing w:before="0" w:beforeAutospacing="0" w:after="0" w:afterAutospacing="0"/>
                    <w:jc w:val="center"/>
                    <w:rPr>
                      <w:rFonts w:hint="eastAsia" w:cs="宋体"/>
                      <w:b/>
                      <w:bCs/>
                      <w:i/>
                      <w:iCs/>
                      <w:kern w:val="2"/>
                      <w:sz w:val="21"/>
                      <w:szCs w:val="21"/>
                      <w:u w:val="single"/>
                    </w:rPr>
                  </w:pPr>
                  <w:r>
                    <w:rPr>
                      <w:rFonts w:hint="eastAsia" w:cs="宋体"/>
                      <w:b/>
                      <w:bCs/>
                      <w:i/>
                      <w:iCs/>
                      <w:kern w:val="2"/>
                      <w:sz w:val="21"/>
                      <w:szCs w:val="21"/>
                      <w:u w:val="single"/>
                    </w:rPr>
                    <w:t>监测频次</w:t>
                  </w:r>
                </w:p>
              </w:tc>
            </w:tr>
            <w:tr w14:paraId="5EC77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60699F4D">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施工期</w:t>
                  </w:r>
                </w:p>
              </w:tc>
              <w:tc>
                <w:tcPr>
                  <w:tcW w:w="1134" w:type="dxa"/>
                  <w:vAlign w:val="center"/>
                </w:tcPr>
                <w:p w14:paraId="4F113C9D">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地表水</w:t>
                  </w:r>
                </w:p>
              </w:tc>
              <w:tc>
                <w:tcPr>
                  <w:tcW w:w="1276" w:type="dxa"/>
                  <w:vAlign w:val="center"/>
                </w:tcPr>
                <w:p w14:paraId="634F4599">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港池工程下游500m处</w:t>
                  </w:r>
                </w:p>
              </w:tc>
              <w:tc>
                <w:tcPr>
                  <w:tcW w:w="1418" w:type="dxa"/>
                  <w:vAlign w:val="center"/>
                </w:tcPr>
                <w:p w14:paraId="732DF45E">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SS、石油类</w:t>
                  </w:r>
                </w:p>
              </w:tc>
              <w:tc>
                <w:tcPr>
                  <w:tcW w:w="2665" w:type="dxa"/>
                  <w:vAlign w:val="center"/>
                </w:tcPr>
                <w:p w14:paraId="4504A8AB">
                  <w:pPr>
                    <w:pStyle w:val="15"/>
                    <w:adjustRightInd w:val="0"/>
                    <w:snapToGrid w:val="0"/>
                    <w:jc w:val="center"/>
                    <w:rPr>
                      <w:rFonts w:hint="eastAsia" w:cs="宋体"/>
                      <w:i/>
                      <w:iCs/>
                      <w:kern w:val="2"/>
                      <w:sz w:val="21"/>
                      <w:szCs w:val="21"/>
                      <w:u w:val="single"/>
                    </w:rPr>
                  </w:pPr>
                  <w:r>
                    <w:rPr>
                      <w:rFonts w:hint="eastAsia" w:cs="宋体"/>
                      <w:i/>
                      <w:iCs/>
                      <w:kern w:val="2"/>
                      <w:sz w:val="21"/>
                      <w:szCs w:val="21"/>
                      <w:u w:val="single"/>
                    </w:rPr>
                    <w:t>港池疏浚施工期间，1次/年，每次连续监测2 天，每天1次监测。</w:t>
                  </w:r>
                </w:p>
              </w:tc>
            </w:tr>
            <w:tr w14:paraId="58769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265E9137">
                  <w:pPr>
                    <w:pStyle w:val="15"/>
                    <w:adjustRightInd w:val="0"/>
                    <w:snapToGrid w:val="0"/>
                    <w:spacing w:before="0" w:beforeAutospacing="0" w:after="0" w:afterAutospacing="0"/>
                    <w:jc w:val="center"/>
                    <w:rPr>
                      <w:rFonts w:hint="eastAsia" w:cs="宋体"/>
                      <w:i/>
                      <w:iCs/>
                      <w:kern w:val="2"/>
                      <w:sz w:val="21"/>
                      <w:szCs w:val="21"/>
                      <w:u w:val="single"/>
                    </w:rPr>
                  </w:pPr>
                </w:p>
              </w:tc>
              <w:tc>
                <w:tcPr>
                  <w:tcW w:w="1134" w:type="dxa"/>
                  <w:vAlign w:val="center"/>
                </w:tcPr>
                <w:p w14:paraId="14F5A966">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环境空气</w:t>
                  </w:r>
                </w:p>
              </w:tc>
              <w:tc>
                <w:tcPr>
                  <w:tcW w:w="1276" w:type="dxa"/>
                  <w:vAlign w:val="center"/>
                </w:tcPr>
                <w:p w14:paraId="2F706D4C">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施工场界</w:t>
                  </w:r>
                </w:p>
              </w:tc>
              <w:tc>
                <w:tcPr>
                  <w:tcW w:w="1418" w:type="dxa"/>
                  <w:vAlign w:val="center"/>
                </w:tcPr>
                <w:p w14:paraId="071DBBC7">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颗粒物</w:t>
                  </w:r>
                </w:p>
              </w:tc>
              <w:tc>
                <w:tcPr>
                  <w:tcW w:w="2665" w:type="dxa"/>
                  <w:vAlign w:val="center"/>
                </w:tcPr>
                <w:p w14:paraId="1AB9797E">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土石方、结构、装修三个阶段，每个阶段开展1次监测，每次监测时间为2天，每天3次</w:t>
                  </w:r>
                </w:p>
              </w:tc>
            </w:tr>
            <w:tr w14:paraId="2E8B1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57F5BBA9">
                  <w:pPr>
                    <w:pStyle w:val="15"/>
                    <w:adjustRightInd w:val="0"/>
                    <w:snapToGrid w:val="0"/>
                    <w:spacing w:before="0" w:beforeAutospacing="0" w:after="0" w:afterAutospacing="0"/>
                    <w:jc w:val="center"/>
                    <w:rPr>
                      <w:rFonts w:hint="eastAsia" w:cs="宋体"/>
                      <w:i/>
                      <w:iCs/>
                      <w:kern w:val="2"/>
                      <w:sz w:val="21"/>
                      <w:szCs w:val="21"/>
                      <w:u w:val="single"/>
                    </w:rPr>
                  </w:pPr>
                </w:p>
              </w:tc>
              <w:tc>
                <w:tcPr>
                  <w:tcW w:w="1134" w:type="dxa"/>
                  <w:vAlign w:val="center"/>
                </w:tcPr>
                <w:p w14:paraId="092D283A">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噪声</w:t>
                  </w:r>
                </w:p>
              </w:tc>
              <w:tc>
                <w:tcPr>
                  <w:tcW w:w="1276" w:type="dxa"/>
                  <w:vAlign w:val="center"/>
                </w:tcPr>
                <w:p w14:paraId="246CE6C7">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施工厂界四周</w:t>
                  </w:r>
                </w:p>
              </w:tc>
              <w:tc>
                <w:tcPr>
                  <w:tcW w:w="1418" w:type="dxa"/>
                  <w:vAlign w:val="center"/>
                </w:tcPr>
                <w:p w14:paraId="00DE327E">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等效连续A声级</w:t>
                  </w:r>
                </w:p>
              </w:tc>
              <w:tc>
                <w:tcPr>
                  <w:tcW w:w="2665" w:type="dxa"/>
                  <w:vAlign w:val="center"/>
                </w:tcPr>
                <w:p w14:paraId="6743C936">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土石方、结构、装修三个阶段，每个阶段开展1次监测，每次监测时间为2天，每天分昼、夜间各进行1次监测</w:t>
                  </w:r>
                </w:p>
              </w:tc>
            </w:tr>
            <w:tr w14:paraId="5EC67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vMerge w:val="restart"/>
                  <w:vAlign w:val="center"/>
                </w:tcPr>
                <w:p w14:paraId="298D050C">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运营期</w:t>
                  </w:r>
                </w:p>
              </w:tc>
              <w:tc>
                <w:tcPr>
                  <w:tcW w:w="1134" w:type="dxa"/>
                  <w:vAlign w:val="center"/>
                </w:tcPr>
                <w:p w14:paraId="22076F09">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环境空气</w:t>
                  </w:r>
                </w:p>
              </w:tc>
              <w:tc>
                <w:tcPr>
                  <w:tcW w:w="1276" w:type="dxa"/>
                  <w:vAlign w:val="center"/>
                </w:tcPr>
                <w:p w14:paraId="123B5F4C">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场界</w:t>
                  </w:r>
                </w:p>
              </w:tc>
              <w:tc>
                <w:tcPr>
                  <w:tcW w:w="1418" w:type="dxa"/>
                  <w:vAlign w:val="center"/>
                </w:tcPr>
                <w:p w14:paraId="0AC3B4D7">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颗粒物</w:t>
                  </w:r>
                </w:p>
              </w:tc>
              <w:tc>
                <w:tcPr>
                  <w:tcW w:w="2665" w:type="dxa"/>
                  <w:vAlign w:val="center"/>
                </w:tcPr>
                <w:p w14:paraId="10FD417F">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航标维修工作期，1次/年，每次连续2天</w:t>
                  </w:r>
                </w:p>
              </w:tc>
            </w:tr>
            <w:tr w14:paraId="7243B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vMerge w:val="continue"/>
                  <w:vAlign w:val="center"/>
                </w:tcPr>
                <w:p w14:paraId="7DEE466A">
                  <w:pPr>
                    <w:pStyle w:val="15"/>
                    <w:adjustRightInd w:val="0"/>
                    <w:snapToGrid w:val="0"/>
                    <w:spacing w:before="0" w:beforeAutospacing="0" w:after="0" w:afterAutospacing="0"/>
                    <w:jc w:val="center"/>
                    <w:rPr>
                      <w:rFonts w:hint="eastAsia" w:cs="宋体"/>
                      <w:i/>
                      <w:iCs/>
                      <w:kern w:val="2"/>
                      <w:sz w:val="21"/>
                      <w:szCs w:val="21"/>
                      <w:u w:val="single"/>
                    </w:rPr>
                  </w:pPr>
                </w:p>
              </w:tc>
              <w:tc>
                <w:tcPr>
                  <w:tcW w:w="1134" w:type="dxa"/>
                  <w:vAlign w:val="center"/>
                </w:tcPr>
                <w:p w14:paraId="39104B64">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噪声</w:t>
                  </w:r>
                </w:p>
              </w:tc>
              <w:tc>
                <w:tcPr>
                  <w:tcW w:w="1276" w:type="dxa"/>
                  <w:vAlign w:val="center"/>
                </w:tcPr>
                <w:p w14:paraId="412910F9">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西侧厂界</w:t>
                  </w:r>
                </w:p>
              </w:tc>
              <w:tc>
                <w:tcPr>
                  <w:tcW w:w="1418" w:type="dxa"/>
                  <w:vAlign w:val="center"/>
                </w:tcPr>
                <w:p w14:paraId="5F7CEB89">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等效连续A声级</w:t>
                  </w:r>
                </w:p>
              </w:tc>
              <w:tc>
                <w:tcPr>
                  <w:tcW w:w="2665" w:type="dxa"/>
                  <w:vAlign w:val="center"/>
                </w:tcPr>
                <w:p w14:paraId="5664C0C2">
                  <w:pPr>
                    <w:pStyle w:val="15"/>
                    <w:adjustRightInd w:val="0"/>
                    <w:snapToGrid w:val="0"/>
                    <w:spacing w:before="0" w:beforeAutospacing="0" w:after="0" w:afterAutospacing="0"/>
                    <w:jc w:val="center"/>
                    <w:rPr>
                      <w:rFonts w:hint="eastAsia" w:cs="宋体"/>
                      <w:i/>
                      <w:iCs/>
                      <w:kern w:val="2"/>
                      <w:sz w:val="21"/>
                      <w:szCs w:val="21"/>
                      <w:u w:val="single"/>
                    </w:rPr>
                  </w:pPr>
                  <w:r>
                    <w:rPr>
                      <w:rFonts w:hint="eastAsia" w:cs="宋体"/>
                      <w:i/>
                      <w:iCs/>
                      <w:kern w:val="2"/>
                      <w:sz w:val="21"/>
                      <w:szCs w:val="21"/>
                      <w:u w:val="single"/>
                    </w:rPr>
                    <w:t>工作期，1次/季度，每次2天，每天一次</w:t>
                  </w:r>
                </w:p>
              </w:tc>
            </w:tr>
          </w:tbl>
          <w:p w14:paraId="122C2B5C">
            <w:pPr>
              <w:spacing w:line="360" w:lineRule="auto"/>
              <w:ind w:firstLine="480" w:firstLineChars="200"/>
            </w:pPr>
          </w:p>
          <w:p w14:paraId="47986F2F">
            <w:pPr>
              <w:spacing w:line="360" w:lineRule="auto"/>
              <w:ind w:firstLine="480" w:firstLineChars="200"/>
            </w:pPr>
          </w:p>
        </w:tc>
      </w:tr>
      <w:tr w14:paraId="1E3A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D882A51">
            <w:pPr>
              <w:spacing w:line="360" w:lineRule="auto"/>
            </w:pPr>
            <w:r>
              <w:rPr>
                <w:rFonts w:hint="eastAsia"/>
              </w:rPr>
              <w:t>环保投资</w:t>
            </w:r>
          </w:p>
        </w:tc>
        <w:tc>
          <w:tcPr>
            <w:tcW w:w="7592" w:type="dxa"/>
          </w:tcPr>
          <w:p w14:paraId="7BB9986D">
            <w:pPr>
              <w:spacing w:line="360" w:lineRule="auto"/>
              <w:ind w:firstLine="482" w:firstLineChars="200"/>
              <w:rPr>
                <w:b/>
                <w:bCs/>
                <w:u w:val="single"/>
              </w:rPr>
            </w:pPr>
            <w:r>
              <w:rPr>
                <w:rFonts w:hint="eastAsia"/>
                <w:b/>
                <w:bCs/>
                <w:u w:val="single"/>
              </w:rPr>
              <w:t>本项目总投资</w:t>
            </w:r>
            <w:r>
              <w:rPr>
                <w:b/>
                <w:bCs/>
                <w:u w:val="single"/>
              </w:rPr>
              <w:t>594</w:t>
            </w:r>
            <w:r>
              <w:rPr>
                <w:rFonts w:hint="eastAsia"/>
                <w:b/>
                <w:bCs/>
                <w:u w:val="single"/>
              </w:rPr>
              <w:t>6.45万元，其中环保投资84.35万元，占总投资额的1.4%。建设项目环保投资一览表见下表：</w:t>
            </w:r>
          </w:p>
          <w:p w14:paraId="2D8ED321">
            <w:pPr>
              <w:spacing w:line="360" w:lineRule="auto"/>
              <w:jc w:val="right"/>
              <w:rPr>
                <w:b/>
                <w:bCs/>
                <w:u w:val="single"/>
              </w:rPr>
            </w:pPr>
            <w:r>
              <w:rPr>
                <w:rFonts w:hint="eastAsia"/>
                <w:b/>
                <w:bCs/>
                <w:u w:val="single"/>
              </w:rPr>
              <w:t xml:space="preserve">表60      环保投资一览表       </w:t>
            </w:r>
            <w:r>
              <w:rPr>
                <w:rFonts w:hint="eastAsia"/>
                <w:u w:val="single"/>
              </w:rPr>
              <w:t>单位：万元</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0"/>
              <w:gridCol w:w="708"/>
              <w:gridCol w:w="1276"/>
              <w:gridCol w:w="3544"/>
              <w:gridCol w:w="1098"/>
            </w:tblGrid>
            <w:tr w14:paraId="5E3D64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5B46523B">
                  <w:pPr>
                    <w:jc w:val="center"/>
                    <w:rPr>
                      <w:rFonts w:cs="Times New Roman"/>
                      <w:b/>
                      <w:bCs/>
                      <w:kern w:val="0"/>
                      <w:sz w:val="21"/>
                      <w:szCs w:val="21"/>
                    </w:rPr>
                  </w:pPr>
                  <w:r>
                    <w:rPr>
                      <w:rFonts w:hint="eastAsia" w:cs="Times New Roman"/>
                      <w:b/>
                      <w:bCs/>
                      <w:kern w:val="0"/>
                      <w:sz w:val="21"/>
                      <w:szCs w:val="21"/>
                    </w:rPr>
                    <w:t>序号</w:t>
                  </w:r>
                </w:p>
              </w:tc>
              <w:tc>
                <w:tcPr>
                  <w:tcW w:w="708" w:type="dxa"/>
                  <w:vAlign w:val="center"/>
                </w:tcPr>
                <w:p w14:paraId="33CD98F2">
                  <w:pPr>
                    <w:jc w:val="center"/>
                    <w:rPr>
                      <w:rFonts w:cs="Times New Roman"/>
                      <w:b/>
                      <w:bCs/>
                      <w:kern w:val="0"/>
                      <w:sz w:val="21"/>
                      <w:szCs w:val="21"/>
                    </w:rPr>
                  </w:pPr>
                  <w:r>
                    <w:rPr>
                      <w:rFonts w:hint="eastAsia" w:cs="Times New Roman"/>
                      <w:b/>
                      <w:bCs/>
                      <w:kern w:val="0"/>
                      <w:sz w:val="21"/>
                      <w:szCs w:val="21"/>
                    </w:rPr>
                    <w:t>类别</w:t>
                  </w:r>
                </w:p>
              </w:tc>
              <w:tc>
                <w:tcPr>
                  <w:tcW w:w="4820" w:type="dxa"/>
                  <w:gridSpan w:val="2"/>
                  <w:vAlign w:val="center"/>
                </w:tcPr>
                <w:p w14:paraId="71714AE3">
                  <w:pPr>
                    <w:jc w:val="center"/>
                    <w:rPr>
                      <w:rFonts w:cs="Times New Roman"/>
                      <w:b/>
                      <w:bCs/>
                      <w:kern w:val="0"/>
                      <w:sz w:val="21"/>
                      <w:szCs w:val="21"/>
                    </w:rPr>
                  </w:pPr>
                  <w:r>
                    <w:rPr>
                      <w:rFonts w:hint="eastAsia" w:cs="Times New Roman"/>
                      <w:b/>
                      <w:bCs/>
                      <w:kern w:val="0"/>
                      <w:sz w:val="21"/>
                      <w:szCs w:val="21"/>
                    </w:rPr>
                    <w:t>具体内容</w:t>
                  </w:r>
                </w:p>
              </w:tc>
              <w:tc>
                <w:tcPr>
                  <w:tcW w:w="1098" w:type="dxa"/>
                  <w:vAlign w:val="center"/>
                </w:tcPr>
                <w:p w14:paraId="2252D18A">
                  <w:pPr>
                    <w:jc w:val="center"/>
                    <w:rPr>
                      <w:rFonts w:cs="Times New Roman"/>
                      <w:b/>
                      <w:bCs/>
                      <w:kern w:val="0"/>
                      <w:sz w:val="21"/>
                      <w:szCs w:val="21"/>
                    </w:rPr>
                  </w:pPr>
                  <w:r>
                    <w:rPr>
                      <w:rFonts w:hint="eastAsia" w:cs="Times New Roman"/>
                      <w:b/>
                      <w:bCs/>
                      <w:kern w:val="0"/>
                      <w:sz w:val="21"/>
                      <w:szCs w:val="21"/>
                    </w:rPr>
                    <w:t>投资金额</w:t>
                  </w:r>
                </w:p>
              </w:tc>
            </w:tr>
            <w:tr w14:paraId="478872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743F22D6">
                  <w:pPr>
                    <w:jc w:val="center"/>
                    <w:rPr>
                      <w:rFonts w:cs="Times New Roman"/>
                      <w:kern w:val="0"/>
                      <w:sz w:val="21"/>
                      <w:szCs w:val="21"/>
                    </w:rPr>
                  </w:pPr>
                  <w:r>
                    <w:rPr>
                      <w:rFonts w:hint="eastAsia" w:cs="Times New Roman"/>
                      <w:kern w:val="0"/>
                      <w:sz w:val="21"/>
                      <w:szCs w:val="21"/>
                    </w:rPr>
                    <w:t>1</w:t>
                  </w:r>
                </w:p>
              </w:tc>
              <w:tc>
                <w:tcPr>
                  <w:tcW w:w="708" w:type="dxa"/>
                  <w:vMerge w:val="restart"/>
                  <w:vAlign w:val="center"/>
                </w:tcPr>
                <w:p w14:paraId="352865A7">
                  <w:pPr>
                    <w:jc w:val="center"/>
                    <w:rPr>
                      <w:rFonts w:cs="Times New Roman"/>
                      <w:kern w:val="0"/>
                      <w:sz w:val="21"/>
                      <w:szCs w:val="21"/>
                    </w:rPr>
                  </w:pPr>
                  <w:r>
                    <w:rPr>
                      <w:rFonts w:hint="eastAsia" w:cs="Times New Roman"/>
                      <w:kern w:val="0"/>
                      <w:sz w:val="21"/>
                      <w:szCs w:val="21"/>
                    </w:rPr>
                    <w:t>水环境保</w:t>
                  </w:r>
                </w:p>
              </w:tc>
              <w:tc>
                <w:tcPr>
                  <w:tcW w:w="1276" w:type="dxa"/>
                  <w:vAlign w:val="center"/>
                </w:tcPr>
                <w:p w14:paraId="69D07F86">
                  <w:pPr>
                    <w:jc w:val="center"/>
                    <w:rPr>
                      <w:rFonts w:cs="Times New Roman"/>
                      <w:kern w:val="0"/>
                      <w:sz w:val="21"/>
                      <w:szCs w:val="21"/>
                    </w:rPr>
                  </w:pPr>
                  <w:r>
                    <w:rPr>
                      <w:rFonts w:hint="eastAsia" w:cs="Times New Roman"/>
                      <w:kern w:val="0"/>
                      <w:sz w:val="21"/>
                      <w:szCs w:val="21"/>
                    </w:rPr>
                    <w:t>施工人员生活污水</w:t>
                  </w:r>
                </w:p>
              </w:tc>
              <w:tc>
                <w:tcPr>
                  <w:tcW w:w="3544" w:type="dxa"/>
                  <w:vAlign w:val="center"/>
                </w:tcPr>
                <w:p w14:paraId="7EB918EF">
                  <w:pPr>
                    <w:jc w:val="center"/>
                    <w:rPr>
                      <w:rFonts w:cs="Times New Roman"/>
                      <w:kern w:val="0"/>
                      <w:sz w:val="21"/>
                      <w:szCs w:val="21"/>
                    </w:rPr>
                  </w:pPr>
                  <w:r>
                    <w:rPr>
                      <w:rFonts w:hint="eastAsia" w:cs="Times New Roman"/>
                      <w:kern w:val="0"/>
                      <w:sz w:val="21"/>
                      <w:szCs w:val="21"/>
                    </w:rPr>
                    <w:t>移动式防渗旱厕</w:t>
                  </w:r>
                </w:p>
              </w:tc>
              <w:tc>
                <w:tcPr>
                  <w:tcW w:w="1098" w:type="dxa"/>
                  <w:vAlign w:val="center"/>
                </w:tcPr>
                <w:p w14:paraId="1DFE8030">
                  <w:pPr>
                    <w:jc w:val="center"/>
                    <w:rPr>
                      <w:rFonts w:cs="Times New Roman"/>
                      <w:kern w:val="0"/>
                      <w:sz w:val="21"/>
                      <w:szCs w:val="21"/>
                    </w:rPr>
                  </w:pPr>
                  <w:r>
                    <w:rPr>
                      <w:rFonts w:hint="eastAsia" w:cs="Times New Roman"/>
                      <w:kern w:val="0"/>
                      <w:sz w:val="21"/>
                      <w:szCs w:val="21"/>
                    </w:rPr>
                    <w:t>0.3</w:t>
                  </w:r>
                </w:p>
              </w:tc>
            </w:tr>
            <w:tr w14:paraId="3D0272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589F5F24">
                  <w:pPr>
                    <w:jc w:val="center"/>
                    <w:rPr>
                      <w:rFonts w:cs="Times New Roman"/>
                      <w:kern w:val="0"/>
                      <w:sz w:val="21"/>
                      <w:szCs w:val="21"/>
                    </w:rPr>
                  </w:pPr>
                  <w:r>
                    <w:rPr>
                      <w:rFonts w:hint="eastAsia" w:cs="Times New Roman"/>
                      <w:kern w:val="0"/>
                      <w:sz w:val="21"/>
                      <w:szCs w:val="21"/>
                    </w:rPr>
                    <w:t>2</w:t>
                  </w:r>
                </w:p>
              </w:tc>
              <w:tc>
                <w:tcPr>
                  <w:tcW w:w="708" w:type="dxa"/>
                  <w:vMerge w:val="continue"/>
                  <w:vAlign w:val="center"/>
                </w:tcPr>
                <w:p w14:paraId="7511D2B3">
                  <w:pPr>
                    <w:jc w:val="center"/>
                    <w:rPr>
                      <w:rFonts w:cs="Times New Roman"/>
                      <w:kern w:val="0"/>
                      <w:sz w:val="21"/>
                      <w:szCs w:val="21"/>
                    </w:rPr>
                  </w:pPr>
                </w:p>
              </w:tc>
              <w:tc>
                <w:tcPr>
                  <w:tcW w:w="1276" w:type="dxa"/>
                  <w:vAlign w:val="center"/>
                </w:tcPr>
                <w:p w14:paraId="47CD0913">
                  <w:pPr>
                    <w:jc w:val="center"/>
                    <w:rPr>
                      <w:rFonts w:cs="Times New Roman"/>
                      <w:kern w:val="0"/>
                      <w:sz w:val="21"/>
                      <w:szCs w:val="21"/>
                    </w:rPr>
                  </w:pPr>
                  <w:r>
                    <w:rPr>
                      <w:rFonts w:hint="eastAsia" w:cs="Times New Roman"/>
                      <w:kern w:val="0"/>
                      <w:sz w:val="21"/>
                      <w:szCs w:val="21"/>
                    </w:rPr>
                    <w:t>施工废水</w:t>
                  </w:r>
                </w:p>
              </w:tc>
              <w:tc>
                <w:tcPr>
                  <w:tcW w:w="3544" w:type="dxa"/>
                  <w:vAlign w:val="center"/>
                </w:tcPr>
                <w:p w14:paraId="1FE1F50C">
                  <w:pPr>
                    <w:jc w:val="center"/>
                    <w:rPr>
                      <w:rFonts w:cs="Times New Roman"/>
                      <w:kern w:val="0"/>
                      <w:sz w:val="21"/>
                      <w:szCs w:val="21"/>
                    </w:rPr>
                  </w:pPr>
                  <w:r>
                    <w:rPr>
                      <w:rFonts w:hint="eastAsia" w:cs="Times New Roman"/>
                      <w:kern w:val="0"/>
                      <w:sz w:val="21"/>
                      <w:szCs w:val="21"/>
                    </w:rPr>
                    <w:t>施工场地内设置1座临时防渗沉淀池，容积5m</w:t>
                  </w:r>
                  <w:r>
                    <w:rPr>
                      <w:rFonts w:hint="eastAsia" w:cs="Times New Roman"/>
                      <w:kern w:val="0"/>
                      <w:sz w:val="21"/>
                      <w:szCs w:val="21"/>
                      <w:vertAlign w:val="superscript"/>
                    </w:rPr>
                    <w:t>3</w:t>
                  </w:r>
                </w:p>
              </w:tc>
              <w:tc>
                <w:tcPr>
                  <w:tcW w:w="1098" w:type="dxa"/>
                  <w:vAlign w:val="center"/>
                </w:tcPr>
                <w:p w14:paraId="3A828A5A">
                  <w:pPr>
                    <w:jc w:val="center"/>
                    <w:rPr>
                      <w:rFonts w:cs="Times New Roman"/>
                      <w:kern w:val="0"/>
                      <w:sz w:val="21"/>
                      <w:szCs w:val="21"/>
                    </w:rPr>
                  </w:pPr>
                  <w:r>
                    <w:rPr>
                      <w:rFonts w:hint="eastAsia" w:cs="Times New Roman"/>
                      <w:kern w:val="0"/>
                      <w:sz w:val="21"/>
                      <w:szCs w:val="21"/>
                    </w:rPr>
                    <w:t>0.5</w:t>
                  </w:r>
                </w:p>
              </w:tc>
            </w:tr>
            <w:tr w14:paraId="5A2D9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22023B03">
                  <w:pPr>
                    <w:jc w:val="center"/>
                    <w:rPr>
                      <w:rFonts w:cs="Times New Roman"/>
                      <w:kern w:val="0"/>
                      <w:sz w:val="21"/>
                      <w:szCs w:val="21"/>
                    </w:rPr>
                  </w:pPr>
                  <w:r>
                    <w:rPr>
                      <w:rFonts w:hint="eastAsia" w:cs="Times New Roman"/>
                      <w:kern w:val="0"/>
                      <w:sz w:val="21"/>
                      <w:szCs w:val="21"/>
                    </w:rPr>
                    <w:t>3</w:t>
                  </w:r>
                </w:p>
              </w:tc>
              <w:tc>
                <w:tcPr>
                  <w:tcW w:w="708" w:type="dxa"/>
                  <w:vMerge w:val="continue"/>
                  <w:vAlign w:val="center"/>
                </w:tcPr>
                <w:p w14:paraId="4A9EB988">
                  <w:pPr>
                    <w:jc w:val="center"/>
                    <w:rPr>
                      <w:rFonts w:cs="Times New Roman"/>
                      <w:kern w:val="0"/>
                      <w:sz w:val="21"/>
                      <w:szCs w:val="21"/>
                    </w:rPr>
                  </w:pPr>
                </w:p>
              </w:tc>
              <w:tc>
                <w:tcPr>
                  <w:tcW w:w="1276" w:type="dxa"/>
                  <w:vAlign w:val="center"/>
                </w:tcPr>
                <w:p w14:paraId="46406F45">
                  <w:pPr>
                    <w:jc w:val="center"/>
                    <w:rPr>
                      <w:rFonts w:cs="Times New Roman"/>
                      <w:kern w:val="0"/>
                      <w:sz w:val="21"/>
                      <w:szCs w:val="21"/>
                    </w:rPr>
                  </w:pPr>
                  <w:r>
                    <w:rPr>
                      <w:rFonts w:hint="eastAsia" w:cs="Times New Roman"/>
                      <w:kern w:val="0"/>
                      <w:sz w:val="21"/>
                      <w:szCs w:val="21"/>
                    </w:rPr>
                    <w:t>运营期人员生活污水</w:t>
                  </w:r>
                </w:p>
              </w:tc>
              <w:tc>
                <w:tcPr>
                  <w:tcW w:w="3544" w:type="dxa"/>
                  <w:vAlign w:val="center"/>
                </w:tcPr>
                <w:p w14:paraId="30F9943E">
                  <w:pPr>
                    <w:jc w:val="center"/>
                    <w:rPr>
                      <w:rFonts w:cs="Times New Roman"/>
                      <w:kern w:val="0"/>
                      <w:sz w:val="21"/>
                      <w:szCs w:val="21"/>
                    </w:rPr>
                  </w:pPr>
                  <w:r>
                    <w:rPr>
                      <w:rFonts w:hint="eastAsia" w:cs="Times New Roman"/>
                      <w:kern w:val="0"/>
                      <w:sz w:val="21"/>
                      <w:szCs w:val="21"/>
                    </w:rPr>
                    <w:t>防渗污水收集池（60m</w:t>
                  </w:r>
                  <w:r>
                    <w:rPr>
                      <w:rFonts w:hint="eastAsia" w:cs="Times New Roman"/>
                      <w:kern w:val="0"/>
                      <w:sz w:val="21"/>
                      <w:szCs w:val="21"/>
                      <w:vertAlign w:val="superscript"/>
                    </w:rPr>
                    <w:t>3</w:t>
                  </w:r>
                  <w:r>
                    <w:rPr>
                      <w:rFonts w:hint="eastAsia" w:cs="Times New Roman"/>
                      <w:kern w:val="0"/>
                      <w:sz w:val="21"/>
                      <w:szCs w:val="21"/>
                    </w:rPr>
                    <w:t>）</w:t>
                  </w:r>
                </w:p>
              </w:tc>
              <w:tc>
                <w:tcPr>
                  <w:tcW w:w="1098" w:type="dxa"/>
                  <w:vAlign w:val="center"/>
                </w:tcPr>
                <w:p w14:paraId="71B8D0C2">
                  <w:pPr>
                    <w:jc w:val="center"/>
                    <w:rPr>
                      <w:rFonts w:cs="Times New Roman"/>
                      <w:kern w:val="0"/>
                      <w:sz w:val="21"/>
                      <w:szCs w:val="21"/>
                    </w:rPr>
                  </w:pPr>
                  <w:r>
                    <w:rPr>
                      <w:rFonts w:hint="eastAsia" w:cs="Times New Roman"/>
                      <w:kern w:val="0"/>
                      <w:sz w:val="21"/>
                      <w:szCs w:val="21"/>
                    </w:rPr>
                    <w:t>5.0</w:t>
                  </w:r>
                </w:p>
              </w:tc>
            </w:tr>
            <w:tr w14:paraId="3D6C6C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214E5B69">
                  <w:pPr>
                    <w:jc w:val="center"/>
                    <w:rPr>
                      <w:rFonts w:cs="Times New Roman"/>
                      <w:kern w:val="0"/>
                      <w:sz w:val="21"/>
                      <w:szCs w:val="21"/>
                    </w:rPr>
                  </w:pPr>
                  <w:r>
                    <w:rPr>
                      <w:rFonts w:hint="eastAsia" w:cs="Times New Roman"/>
                      <w:kern w:val="0"/>
                      <w:sz w:val="21"/>
                      <w:szCs w:val="21"/>
                    </w:rPr>
                    <w:t>4</w:t>
                  </w:r>
                </w:p>
              </w:tc>
              <w:tc>
                <w:tcPr>
                  <w:tcW w:w="708" w:type="dxa"/>
                  <w:vMerge w:val="continue"/>
                  <w:vAlign w:val="center"/>
                </w:tcPr>
                <w:p w14:paraId="56159D6A">
                  <w:pPr>
                    <w:jc w:val="center"/>
                    <w:rPr>
                      <w:rFonts w:cs="Times New Roman"/>
                      <w:kern w:val="0"/>
                      <w:sz w:val="21"/>
                      <w:szCs w:val="21"/>
                    </w:rPr>
                  </w:pPr>
                </w:p>
              </w:tc>
              <w:tc>
                <w:tcPr>
                  <w:tcW w:w="1276" w:type="dxa"/>
                  <w:vAlign w:val="center"/>
                </w:tcPr>
                <w:p w14:paraId="1644D649">
                  <w:pPr>
                    <w:jc w:val="center"/>
                    <w:rPr>
                      <w:rFonts w:cs="Times New Roman"/>
                      <w:kern w:val="0"/>
                      <w:sz w:val="21"/>
                      <w:szCs w:val="21"/>
                    </w:rPr>
                  </w:pPr>
                  <w:r>
                    <w:rPr>
                      <w:rFonts w:hint="eastAsia" w:cs="Times New Roman"/>
                      <w:kern w:val="0"/>
                      <w:sz w:val="21"/>
                      <w:szCs w:val="21"/>
                    </w:rPr>
                    <w:t>运营期食堂废水</w:t>
                  </w:r>
                </w:p>
              </w:tc>
              <w:tc>
                <w:tcPr>
                  <w:tcW w:w="3544" w:type="dxa"/>
                  <w:vAlign w:val="center"/>
                </w:tcPr>
                <w:p w14:paraId="69DD5BC6">
                  <w:pPr>
                    <w:jc w:val="center"/>
                    <w:rPr>
                      <w:rFonts w:cs="Times New Roman"/>
                      <w:kern w:val="0"/>
                      <w:sz w:val="21"/>
                      <w:szCs w:val="21"/>
                    </w:rPr>
                  </w:pPr>
                  <w:r>
                    <w:rPr>
                      <w:rFonts w:hint="eastAsia" w:cs="Times New Roman"/>
                      <w:kern w:val="0"/>
                      <w:sz w:val="21"/>
                      <w:szCs w:val="21"/>
                    </w:rPr>
                    <w:t>隔油池</w:t>
                  </w:r>
                </w:p>
              </w:tc>
              <w:tc>
                <w:tcPr>
                  <w:tcW w:w="1098" w:type="dxa"/>
                  <w:vAlign w:val="center"/>
                </w:tcPr>
                <w:p w14:paraId="6C16B00A">
                  <w:pPr>
                    <w:jc w:val="center"/>
                    <w:rPr>
                      <w:rFonts w:cs="Times New Roman"/>
                      <w:kern w:val="0"/>
                      <w:sz w:val="21"/>
                      <w:szCs w:val="21"/>
                    </w:rPr>
                  </w:pPr>
                  <w:r>
                    <w:rPr>
                      <w:rFonts w:hint="eastAsia" w:cs="Times New Roman"/>
                      <w:kern w:val="0"/>
                      <w:sz w:val="21"/>
                      <w:szCs w:val="21"/>
                    </w:rPr>
                    <w:t>0.5</w:t>
                  </w:r>
                </w:p>
              </w:tc>
            </w:tr>
            <w:tr w14:paraId="6A4992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037E5CE8">
                  <w:pPr>
                    <w:jc w:val="center"/>
                    <w:rPr>
                      <w:rFonts w:cs="Times New Roman"/>
                      <w:kern w:val="0"/>
                      <w:sz w:val="21"/>
                      <w:szCs w:val="21"/>
                    </w:rPr>
                  </w:pPr>
                  <w:r>
                    <w:rPr>
                      <w:rFonts w:hint="eastAsia" w:cs="Times New Roman"/>
                      <w:kern w:val="0"/>
                      <w:sz w:val="21"/>
                      <w:szCs w:val="21"/>
                    </w:rPr>
                    <w:t>5</w:t>
                  </w:r>
                </w:p>
              </w:tc>
              <w:tc>
                <w:tcPr>
                  <w:tcW w:w="708" w:type="dxa"/>
                  <w:vMerge w:val="continue"/>
                  <w:vAlign w:val="center"/>
                </w:tcPr>
                <w:p w14:paraId="21BED500">
                  <w:pPr>
                    <w:jc w:val="center"/>
                    <w:rPr>
                      <w:rFonts w:cs="Times New Roman"/>
                      <w:kern w:val="0"/>
                      <w:sz w:val="21"/>
                      <w:szCs w:val="21"/>
                    </w:rPr>
                  </w:pPr>
                </w:p>
              </w:tc>
              <w:tc>
                <w:tcPr>
                  <w:tcW w:w="1276" w:type="dxa"/>
                  <w:vAlign w:val="center"/>
                </w:tcPr>
                <w:p w14:paraId="30FE14A0">
                  <w:pPr>
                    <w:jc w:val="center"/>
                    <w:rPr>
                      <w:rFonts w:cs="Times New Roman"/>
                      <w:i/>
                      <w:iCs/>
                      <w:kern w:val="0"/>
                      <w:sz w:val="21"/>
                      <w:szCs w:val="21"/>
                      <w:u w:val="single"/>
                    </w:rPr>
                  </w:pPr>
                  <w:r>
                    <w:rPr>
                      <w:rFonts w:hint="eastAsia" w:cs="Times New Roman"/>
                      <w:i/>
                      <w:iCs/>
                      <w:kern w:val="0"/>
                      <w:sz w:val="21"/>
                      <w:szCs w:val="21"/>
                      <w:u w:val="single"/>
                    </w:rPr>
                    <w:t>运营期船舶冲洗废水</w:t>
                  </w:r>
                </w:p>
              </w:tc>
              <w:tc>
                <w:tcPr>
                  <w:tcW w:w="3544" w:type="dxa"/>
                  <w:vAlign w:val="center"/>
                </w:tcPr>
                <w:p w14:paraId="1E6A1DBC">
                  <w:pPr>
                    <w:jc w:val="center"/>
                    <w:rPr>
                      <w:rFonts w:cs="Times New Roman"/>
                      <w:i/>
                      <w:iCs/>
                      <w:kern w:val="0"/>
                      <w:sz w:val="21"/>
                      <w:szCs w:val="21"/>
                      <w:u w:val="single"/>
                    </w:rPr>
                  </w:pPr>
                  <w:r>
                    <w:rPr>
                      <w:rFonts w:hint="eastAsia" w:cs="Times New Roman"/>
                      <w:i/>
                      <w:iCs/>
                      <w:kern w:val="0"/>
                      <w:sz w:val="21"/>
                      <w:szCs w:val="21"/>
                      <w:u w:val="single"/>
                    </w:rPr>
                    <w:t>防渗污水收集池（2m³）</w:t>
                  </w:r>
                </w:p>
              </w:tc>
              <w:tc>
                <w:tcPr>
                  <w:tcW w:w="1098" w:type="dxa"/>
                  <w:vAlign w:val="center"/>
                </w:tcPr>
                <w:p w14:paraId="68038671">
                  <w:pPr>
                    <w:jc w:val="center"/>
                    <w:rPr>
                      <w:rFonts w:cs="Times New Roman"/>
                      <w:i/>
                      <w:iCs/>
                      <w:kern w:val="0"/>
                      <w:sz w:val="21"/>
                      <w:szCs w:val="21"/>
                      <w:u w:val="single"/>
                    </w:rPr>
                  </w:pPr>
                  <w:r>
                    <w:rPr>
                      <w:rFonts w:hint="eastAsia" w:cs="Times New Roman"/>
                      <w:i/>
                      <w:iCs/>
                      <w:kern w:val="0"/>
                      <w:sz w:val="21"/>
                      <w:szCs w:val="21"/>
                      <w:u w:val="single"/>
                    </w:rPr>
                    <w:t>0.8</w:t>
                  </w:r>
                </w:p>
              </w:tc>
            </w:tr>
            <w:tr w14:paraId="24CC5D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2381CB0A">
                  <w:pPr>
                    <w:jc w:val="center"/>
                    <w:rPr>
                      <w:rFonts w:cs="Times New Roman"/>
                      <w:kern w:val="0"/>
                      <w:sz w:val="21"/>
                      <w:szCs w:val="21"/>
                    </w:rPr>
                  </w:pPr>
                  <w:r>
                    <w:rPr>
                      <w:rFonts w:hint="eastAsia" w:cs="Times New Roman"/>
                      <w:kern w:val="0"/>
                      <w:sz w:val="21"/>
                      <w:szCs w:val="21"/>
                    </w:rPr>
                    <w:t>6</w:t>
                  </w:r>
                </w:p>
              </w:tc>
              <w:tc>
                <w:tcPr>
                  <w:tcW w:w="708" w:type="dxa"/>
                  <w:vMerge w:val="restart"/>
                  <w:vAlign w:val="center"/>
                </w:tcPr>
                <w:p w14:paraId="455707C3">
                  <w:pPr>
                    <w:jc w:val="center"/>
                    <w:rPr>
                      <w:rFonts w:cs="Times New Roman"/>
                      <w:kern w:val="0"/>
                      <w:sz w:val="21"/>
                      <w:szCs w:val="21"/>
                    </w:rPr>
                  </w:pPr>
                  <w:r>
                    <w:rPr>
                      <w:rFonts w:hint="eastAsia" w:cs="Times New Roman"/>
                      <w:kern w:val="0"/>
                      <w:sz w:val="21"/>
                      <w:szCs w:val="21"/>
                    </w:rPr>
                    <w:t>环境空气</w:t>
                  </w:r>
                </w:p>
              </w:tc>
              <w:tc>
                <w:tcPr>
                  <w:tcW w:w="1276" w:type="dxa"/>
                  <w:vAlign w:val="center"/>
                </w:tcPr>
                <w:p w14:paraId="36D1A878">
                  <w:pPr>
                    <w:jc w:val="center"/>
                    <w:rPr>
                      <w:rFonts w:cs="Times New Roman"/>
                      <w:kern w:val="0"/>
                      <w:sz w:val="21"/>
                      <w:szCs w:val="21"/>
                    </w:rPr>
                  </w:pPr>
                  <w:r>
                    <w:rPr>
                      <w:rFonts w:hint="eastAsia" w:cs="Times New Roman"/>
                      <w:kern w:val="0"/>
                      <w:sz w:val="21"/>
                      <w:szCs w:val="21"/>
                    </w:rPr>
                    <w:t>施工扬尘</w:t>
                  </w:r>
                </w:p>
              </w:tc>
              <w:tc>
                <w:tcPr>
                  <w:tcW w:w="3544" w:type="dxa"/>
                  <w:vAlign w:val="center"/>
                </w:tcPr>
                <w:p w14:paraId="2438DB43">
                  <w:pPr>
                    <w:jc w:val="center"/>
                    <w:rPr>
                      <w:rFonts w:cs="Times New Roman"/>
                      <w:kern w:val="0"/>
                      <w:sz w:val="21"/>
                      <w:szCs w:val="21"/>
                    </w:rPr>
                  </w:pPr>
                  <w:r>
                    <w:rPr>
                      <w:rFonts w:hint="eastAsia" w:cs="Times New Roman"/>
                      <w:kern w:val="0"/>
                      <w:sz w:val="21"/>
                      <w:szCs w:val="21"/>
                    </w:rPr>
                    <w:t>加强施工现场管理，加强洒水降尘，设置临时围挡，避免在大风天气下进行土石施工</w:t>
                  </w:r>
                </w:p>
              </w:tc>
              <w:tc>
                <w:tcPr>
                  <w:tcW w:w="1098" w:type="dxa"/>
                  <w:vAlign w:val="center"/>
                </w:tcPr>
                <w:p w14:paraId="344060BF">
                  <w:pPr>
                    <w:jc w:val="center"/>
                    <w:rPr>
                      <w:rFonts w:cs="Times New Roman"/>
                      <w:kern w:val="0"/>
                      <w:sz w:val="21"/>
                      <w:szCs w:val="21"/>
                    </w:rPr>
                  </w:pPr>
                  <w:r>
                    <w:rPr>
                      <w:rFonts w:hint="eastAsia" w:cs="Times New Roman"/>
                      <w:kern w:val="0"/>
                      <w:sz w:val="21"/>
                      <w:szCs w:val="21"/>
                    </w:rPr>
                    <w:t>1.0</w:t>
                  </w:r>
                </w:p>
              </w:tc>
            </w:tr>
            <w:tr w14:paraId="5AB4A7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4F2030E3">
                  <w:pPr>
                    <w:jc w:val="center"/>
                    <w:rPr>
                      <w:rFonts w:cs="Times New Roman"/>
                      <w:kern w:val="0"/>
                      <w:sz w:val="21"/>
                      <w:szCs w:val="21"/>
                    </w:rPr>
                  </w:pPr>
                  <w:r>
                    <w:rPr>
                      <w:rFonts w:hint="eastAsia" w:cs="Times New Roman"/>
                      <w:kern w:val="0"/>
                      <w:sz w:val="21"/>
                      <w:szCs w:val="21"/>
                    </w:rPr>
                    <w:t>7</w:t>
                  </w:r>
                </w:p>
              </w:tc>
              <w:tc>
                <w:tcPr>
                  <w:tcW w:w="708" w:type="dxa"/>
                  <w:vMerge w:val="continue"/>
                  <w:vAlign w:val="center"/>
                </w:tcPr>
                <w:p w14:paraId="2100599F">
                  <w:pPr>
                    <w:jc w:val="center"/>
                    <w:rPr>
                      <w:rFonts w:cs="Times New Roman"/>
                      <w:kern w:val="0"/>
                      <w:sz w:val="21"/>
                      <w:szCs w:val="21"/>
                    </w:rPr>
                  </w:pPr>
                </w:p>
              </w:tc>
              <w:tc>
                <w:tcPr>
                  <w:tcW w:w="1276" w:type="dxa"/>
                  <w:vAlign w:val="center"/>
                </w:tcPr>
                <w:p w14:paraId="257AE47B">
                  <w:pPr>
                    <w:jc w:val="center"/>
                    <w:rPr>
                      <w:rFonts w:cs="Times New Roman"/>
                      <w:kern w:val="0"/>
                      <w:sz w:val="21"/>
                      <w:szCs w:val="21"/>
                    </w:rPr>
                  </w:pPr>
                  <w:r>
                    <w:rPr>
                      <w:rFonts w:hint="eastAsia" w:cs="Times New Roman"/>
                      <w:kern w:val="0"/>
                      <w:sz w:val="21"/>
                      <w:szCs w:val="21"/>
                    </w:rPr>
                    <w:t>运营期航标维修废气</w:t>
                  </w:r>
                </w:p>
              </w:tc>
              <w:tc>
                <w:tcPr>
                  <w:tcW w:w="3544" w:type="dxa"/>
                  <w:vAlign w:val="center"/>
                </w:tcPr>
                <w:p w14:paraId="769C139A">
                  <w:pPr>
                    <w:jc w:val="center"/>
                    <w:rPr>
                      <w:rFonts w:cs="Times New Roman"/>
                      <w:kern w:val="0"/>
                      <w:sz w:val="21"/>
                      <w:szCs w:val="21"/>
                    </w:rPr>
                  </w:pPr>
                  <w:r>
                    <w:rPr>
                      <w:rFonts w:hint="eastAsia" w:cs="Times New Roman"/>
                      <w:kern w:val="0"/>
                      <w:sz w:val="21"/>
                      <w:szCs w:val="21"/>
                    </w:rPr>
                    <w:t>选用环保型焊接材料</w:t>
                  </w:r>
                </w:p>
              </w:tc>
              <w:tc>
                <w:tcPr>
                  <w:tcW w:w="1098" w:type="dxa"/>
                  <w:vAlign w:val="center"/>
                </w:tcPr>
                <w:p w14:paraId="5CA901BD">
                  <w:pPr>
                    <w:jc w:val="center"/>
                    <w:rPr>
                      <w:rFonts w:cs="Times New Roman"/>
                      <w:kern w:val="0"/>
                      <w:sz w:val="21"/>
                      <w:szCs w:val="21"/>
                    </w:rPr>
                  </w:pPr>
                  <w:r>
                    <w:rPr>
                      <w:rFonts w:hint="eastAsia" w:cs="Times New Roman"/>
                      <w:kern w:val="0"/>
                      <w:sz w:val="21"/>
                      <w:szCs w:val="21"/>
                    </w:rPr>
                    <w:t>1.0</w:t>
                  </w:r>
                </w:p>
              </w:tc>
            </w:tr>
            <w:tr w14:paraId="6EFB82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639C47A9">
                  <w:pPr>
                    <w:jc w:val="center"/>
                    <w:rPr>
                      <w:rFonts w:cs="Times New Roman"/>
                      <w:kern w:val="0"/>
                      <w:sz w:val="21"/>
                      <w:szCs w:val="21"/>
                    </w:rPr>
                  </w:pPr>
                  <w:r>
                    <w:rPr>
                      <w:rFonts w:hint="eastAsia" w:cs="Times New Roman"/>
                      <w:kern w:val="0"/>
                      <w:sz w:val="21"/>
                      <w:szCs w:val="21"/>
                    </w:rPr>
                    <w:t>8</w:t>
                  </w:r>
                </w:p>
              </w:tc>
              <w:tc>
                <w:tcPr>
                  <w:tcW w:w="708" w:type="dxa"/>
                  <w:vMerge w:val="continue"/>
                  <w:vAlign w:val="center"/>
                </w:tcPr>
                <w:p w14:paraId="7D760891">
                  <w:pPr>
                    <w:jc w:val="center"/>
                    <w:rPr>
                      <w:rFonts w:cs="Times New Roman"/>
                      <w:kern w:val="0"/>
                      <w:sz w:val="21"/>
                      <w:szCs w:val="21"/>
                    </w:rPr>
                  </w:pPr>
                </w:p>
              </w:tc>
              <w:tc>
                <w:tcPr>
                  <w:tcW w:w="1276" w:type="dxa"/>
                  <w:vAlign w:val="center"/>
                </w:tcPr>
                <w:p w14:paraId="34338B47">
                  <w:pPr>
                    <w:jc w:val="center"/>
                    <w:rPr>
                      <w:rFonts w:cs="Times New Roman"/>
                      <w:kern w:val="0"/>
                      <w:sz w:val="21"/>
                      <w:szCs w:val="21"/>
                    </w:rPr>
                  </w:pPr>
                  <w:r>
                    <w:rPr>
                      <w:rFonts w:hint="eastAsia" w:cs="Times New Roman"/>
                      <w:kern w:val="0"/>
                      <w:sz w:val="21"/>
                      <w:szCs w:val="21"/>
                    </w:rPr>
                    <w:t>运营期疏浚物暂存扬尘</w:t>
                  </w:r>
                </w:p>
              </w:tc>
              <w:tc>
                <w:tcPr>
                  <w:tcW w:w="3544" w:type="dxa"/>
                  <w:vAlign w:val="center"/>
                </w:tcPr>
                <w:p w14:paraId="3872EC26">
                  <w:pPr>
                    <w:jc w:val="center"/>
                    <w:rPr>
                      <w:rFonts w:cs="Times New Roman"/>
                      <w:kern w:val="0"/>
                      <w:sz w:val="21"/>
                      <w:szCs w:val="21"/>
                    </w:rPr>
                  </w:pPr>
                  <w:r>
                    <w:rPr>
                      <w:rFonts w:hint="eastAsia" w:cs="Times New Roman"/>
                      <w:kern w:val="0"/>
                      <w:sz w:val="21"/>
                      <w:szCs w:val="21"/>
                    </w:rPr>
                    <w:t>针对疏浚物进行苫盖，四周设置围挡</w:t>
                  </w:r>
                </w:p>
              </w:tc>
              <w:tc>
                <w:tcPr>
                  <w:tcW w:w="1098" w:type="dxa"/>
                  <w:vAlign w:val="center"/>
                </w:tcPr>
                <w:p w14:paraId="2BDA40FA">
                  <w:pPr>
                    <w:jc w:val="center"/>
                    <w:rPr>
                      <w:rFonts w:cs="Times New Roman"/>
                      <w:kern w:val="0"/>
                      <w:sz w:val="21"/>
                      <w:szCs w:val="21"/>
                    </w:rPr>
                  </w:pPr>
                  <w:r>
                    <w:rPr>
                      <w:rFonts w:hint="eastAsia" w:cs="Times New Roman"/>
                      <w:kern w:val="0"/>
                      <w:sz w:val="21"/>
                      <w:szCs w:val="21"/>
                    </w:rPr>
                    <w:t>0.5</w:t>
                  </w:r>
                </w:p>
              </w:tc>
            </w:tr>
            <w:tr w14:paraId="0E382B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5F7E11F5">
                  <w:pPr>
                    <w:jc w:val="center"/>
                    <w:rPr>
                      <w:rFonts w:cs="Times New Roman"/>
                      <w:kern w:val="0"/>
                      <w:sz w:val="21"/>
                      <w:szCs w:val="21"/>
                    </w:rPr>
                  </w:pPr>
                  <w:r>
                    <w:rPr>
                      <w:rFonts w:hint="eastAsia" w:cs="Times New Roman"/>
                      <w:kern w:val="0"/>
                      <w:sz w:val="21"/>
                      <w:szCs w:val="21"/>
                    </w:rPr>
                    <w:t>9</w:t>
                  </w:r>
                </w:p>
              </w:tc>
              <w:tc>
                <w:tcPr>
                  <w:tcW w:w="708" w:type="dxa"/>
                  <w:vMerge w:val="continue"/>
                  <w:vAlign w:val="center"/>
                </w:tcPr>
                <w:p w14:paraId="0283CF15">
                  <w:pPr>
                    <w:jc w:val="center"/>
                    <w:rPr>
                      <w:rFonts w:cs="Times New Roman"/>
                      <w:kern w:val="0"/>
                      <w:sz w:val="21"/>
                      <w:szCs w:val="21"/>
                    </w:rPr>
                  </w:pPr>
                </w:p>
              </w:tc>
              <w:tc>
                <w:tcPr>
                  <w:tcW w:w="1276" w:type="dxa"/>
                  <w:vAlign w:val="center"/>
                </w:tcPr>
                <w:p w14:paraId="15ABFB66">
                  <w:pPr>
                    <w:jc w:val="center"/>
                    <w:rPr>
                      <w:rFonts w:cs="Times New Roman"/>
                      <w:kern w:val="0"/>
                      <w:sz w:val="21"/>
                      <w:szCs w:val="21"/>
                    </w:rPr>
                  </w:pPr>
                  <w:r>
                    <w:rPr>
                      <w:rFonts w:hint="eastAsia" w:cs="Times New Roman"/>
                      <w:kern w:val="0"/>
                      <w:sz w:val="21"/>
                      <w:szCs w:val="21"/>
                    </w:rPr>
                    <w:t>运营期食堂油烟</w:t>
                  </w:r>
                </w:p>
              </w:tc>
              <w:tc>
                <w:tcPr>
                  <w:tcW w:w="3544" w:type="dxa"/>
                  <w:vAlign w:val="center"/>
                </w:tcPr>
                <w:p w14:paraId="01D83654">
                  <w:pPr>
                    <w:jc w:val="center"/>
                    <w:rPr>
                      <w:rFonts w:cs="Times New Roman"/>
                      <w:kern w:val="0"/>
                      <w:sz w:val="21"/>
                      <w:szCs w:val="21"/>
                    </w:rPr>
                  </w:pPr>
                  <w:r>
                    <w:rPr>
                      <w:rFonts w:hint="eastAsia" w:cs="Times New Roman"/>
                      <w:kern w:val="0"/>
                      <w:sz w:val="21"/>
                      <w:szCs w:val="21"/>
                    </w:rPr>
                    <w:t>高效油烟净化装置及专用烟道</w:t>
                  </w:r>
                </w:p>
              </w:tc>
              <w:tc>
                <w:tcPr>
                  <w:tcW w:w="1098" w:type="dxa"/>
                  <w:vAlign w:val="center"/>
                </w:tcPr>
                <w:p w14:paraId="5EA8D675">
                  <w:pPr>
                    <w:jc w:val="center"/>
                    <w:rPr>
                      <w:rFonts w:cs="Times New Roman"/>
                      <w:kern w:val="0"/>
                      <w:sz w:val="21"/>
                      <w:szCs w:val="21"/>
                    </w:rPr>
                  </w:pPr>
                  <w:r>
                    <w:rPr>
                      <w:rFonts w:hint="eastAsia" w:cs="Times New Roman"/>
                      <w:kern w:val="0"/>
                      <w:sz w:val="21"/>
                      <w:szCs w:val="21"/>
                    </w:rPr>
                    <w:t>1.0</w:t>
                  </w:r>
                </w:p>
              </w:tc>
            </w:tr>
            <w:tr w14:paraId="20B0C3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1BDE85E5">
                  <w:pPr>
                    <w:jc w:val="center"/>
                    <w:rPr>
                      <w:rFonts w:cs="Times New Roman"/>
                      <w:kern w:val="0"/>
                      <w:sz w:val="21"/>
                      <w:szCs w:val="21"/>
                    </w:rPr>
                  </w:pPr>
                  <w:r>
                    <w:rPr>
                      <w:rFonts w:hint="eastAsia" w:cs="Times New Roman"/>
                      <w:kern w:val="0"/>
                      <w:sz w:val="21"/>
                      <w:szCs w:val="21"/>
                    </w:rPr>
                    <w:t>10</w:t>
                  </w:r>
                </w:p>
              </w:tc>
              <w:tc>
                <w:tcPr>
                  <w:tcW w:w="708" w:type="dxa"/>
                  <w:vMerge w:val="restart"/>
                  <w:vAlign w:val="center"/>
                </w:tcPr>
                <w:p w14:paraId="42C35C69">
                  <w:pPr>
                    <w:jc w:val="center"/>
                    <w:rPr>
                      <w:rFonts w:cs="Times New Roman"/>
                      <w:kern w:val="0"/>
                      <w:sz w:val="21"/>
                      <w:szCs w:val="21"/>
                    </w:rPr>
                  </w:pPr>
                  <w:r>
                    <w:rPr>
                      <w:rFonts w:hint="eastAsia" w:cs="Times New Roman"/>
                      <w:kern w:val="0"/>
                      <w:sz w:val="21"/>
                      <w:szCs w:val="21"/>
                    </w:rPr>
                    <w:t>声环境</w:t>
                  </w:r>
                </w:p>
              </w:tc>
              <w:tc>
                <w:tcPr>
                  <w:tcW w:w="1276" w:type="dxa"/>
                  <w:vAlign w:val="center"/>
                </w:tcPr>
                <w:p w14:paraId="5BBD0727">
                  <w:pPr>
                    <w:jc w:val="center"/>
                    <w:rPr>
                      <w:rFonts w:cs="Times New Roman"/>
                      <w:kern w:val="0"/>
                      <w:sz w:val="21"/>
                      <w:szCs w:val="21"/>
                    </w:rPr>
                  </w:pPr>
                  <w:r>
                    <w:rPr>
                      <w:rFonts w:hint="eastAsia" w:cs="Times New Roman"/>
                      <w:kern w:val="0"/>
                      <w:sz w:val="21"/>
                      <w:szCs w:val="21"/>
                    </w:rPr>
                    <w:t>施工期设备噪声</w:t>
                  </w:r>
                </w:p>
              </w:tc>
              <w:tc>
                <w:tcPr>
                  <w:tcW w:w="3544" w:type="dxa"/>
                  <w:vAlign w:val="center"/>
                </w:tcPr>
                <w:p w14:paraId="7DC8494B">
                  <w:pPr>
                    <w:jc w:val="center"/>
                    <w:rPr>
                      <w:rFonts w:cs="Times New Roman"/>
                      <w:kern w:val="0"/>
                      <w:sz w:val="21"/>
                      <w:szCs w:val="21"/>
                    </w:rPr>
                  </w:pPr>
                  <w:r>
                    <w:rPr>
                      <w:rFonts w:hint="eastAsia" w:cs="Times New Roman"/>
                      <w:kern w:val="0"/>
                      <w:sz w:val="21"/>
                      <w:szCs w:val="21"/>
                    </w:rPr>
                    <w:t>设置施工围挡，选用低噪声施工设备</w:t>
                  </w:r>
                </w:p>
              </w:tc>
              <w:tc>
                <w:tcPr>
                  <w:tcW w:w="1098" w:type="dxa"/>
                  <w:vAlign w:val="center"/>
                </w:tcPr>
                <w:p w14:paraId="07B0B231">
                  <w:pPr>
                    <w:jc w:val="center"/>
                    <w:rPr>
                      <w:rFonts w:cs="Times New Roman"/>
                      <w:kern w:val="0"/>
                      <w:sz w:val="21"/>
                      <w:szCs w:val="21"/>
                    </w:rPr>
                  </w:pPr>
                  <w:r>
                    <w:rPr>
                      <w:rFonts w:hint="eastAsia" w:cs="Times New Roman"/>
                      <w:kern w:val="0"/>
                      <w:sz w:val="21"/>
                      <w:szCs w:val="21"/>
                    </w:rPr>
                    <w:t>7.0</w:t>
                  </w:r>
                </w:p>
              </w:tc>
            </w:tr>
            <w:tr w14:paraId="01D189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384F1DA3">
                  <w:pPr>
                    <w:jc w:val="center"/>
                    <w:rPr>
                      <w:rFonts w:cs="Times New Roman"/>
                      <w:kern w:val="0"/>
                      <w:sz w:val="21"/>
                      <w:szCs w:val="21"/>
                    </w:rPr>
                  </w:pPr>
                  <w:r>
                    <w:rPr>
                      <w:rFonts w:hint="eastAsia" w:cs="Times New Roman"/>
                      <w:kern w:val="0"/>
                      <w:sz w:val="21"/>
                      <w:szCs w:val="21"/>
                    </w:rPr>
                    <w:t>11</w:t>
                  </w:r>
                </w:p>
              </w:tc>
              <w:tc>
                <w:tcPr>
                  <w:tcW w:w="708" w:type="dxa"/>
                  <w:vMerge w:val="continue"/>
                  <w:vAlign w:val="center"/>
                </w:tcPr>
                <w:p w14:paraId="4E30B7A0">
                  <w:pPr>
                    <w:jc w:val="center"/>
                    <w:rPr>
                      <w:rFonts w:cs="Times New Roman"/>
                      <w:kern w:val="0"/>
                      <w:sz w:val="21"/>
                      <w:szCs w:val="21"/>
                    </w:rPr>
                  </w:pPr>
                </w:p>
              </w:tc>
              <w:tc>
                <w:tcPr>
                  <w:tcW w:w="1276" w:type="dxa"/>
                  <w:vAlign w:val="center"/>
                </w:tcPr>
                <w:p w14:paraId="3E0164EB">
                  <w:pPr>
                    <w:jc w:val="center"/>
                    <w:rPr>
                      <w:rFonts w:cs="Times New Roman"/>
                      <w:kern w:val="0"/>
                      <w:sz w:val="21"/>
                      <w:szCs w:val="21"/>
                    </w:rPr>
                  </w:pPr>
                  <w:r>
                    <w:rPr>
                      <w:rFonts w:hint="eastAsia" w:cs="Times New Roman"/>
                      <w:kern w:val="0"/>
                      <w:sz w:val="21"/>
                      <w:szCs w:val="21"/>
                    </w:rPr>
                    <w:t>运营期设备噪声</w:t>
                  </w:r>
                </w:p>
              </w:tc>
              <w:tc>
                <w:tcPr>
                  <w:tcW w:w="3544" w:type="dxa"/>
                  <w:vAlign w:val="center"/>
                </w:tcPr>
                <w:p w14:paraId="56896582">
                  <w:pPr>
                    <w:jc w:val="center"/>
                    <w:rPr>
                      <w:rFonts w:cs="Times New Roman"/>
                      <w:kern w:val="0"/>
                      <w:sz w:val="21"/>
                      <w:szCs w:val="21"/>
                    </w:rPr>
                  </w:pPr>
                  <w:r>
                    <w:rPr>
                      <w:rFonts w:hint="eastAsia" w:cs="Times New Roman"/>
                      <w:kern w:val="0"/>
                      <w:sz w:val="21"/>
                      <w:szCs w:val="21"/>
                    </w:rPr>
                    <w:t>选用低噪声设备、加强设备维修养护</w:t>
                  </w:r>
                </w:p>
              </w:tc>
              <w:tc>
                <w:tcPr>
                  <w:tcW w:w="1098" w:type="dxa"/>
                  <w:vAlign w:val="center"/>
                </w:tcPr>
                <w:p w14:paraId="700819C5">
                  <w:pPr>
                    <w:jc w:val="center"/>
                    <w:rPr>
                      <w:rFonts w:cs="Times New Roman"/>
                      <w:kern w:val="0"/>
                      <w:sz w:val="21"/>
                      <w:szCs w:val="21"/>
                    </w:rPr>
                  </w:pPr>
                  <w:r>
                    <w:rPr>
                      <w:rFonts w:hint="eastAsia" w:cs="Times New Roman"/>
                      <w:kern w:val="0"/>
                      <w:sz w:val="21"/>
                      <w:szCs w:val="21"/>
                    </w:rPr>
                    <w:t>2.0</w:t>
                  </w:r>
                </w:p>
              </w:tc>
            </w:tr>
            <w:tr w14:paraId="7C8CB7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5EA1A68A">
                  <w:pPr>
                    <w:jc w:val="center"/>
                    <w:rPr>
                      <w:rFonts w:cs="Times New Roman"/>
                      <w:kern w:val="0"/>
                      <w:sz w:val="21"/>
                      <w:szCs w:val="21"/>
                    </w:rPr>
                  </w:pPr>
                  <w:r>
                    <w:rPr>
                      <w:rFonts w:hint="eastAsia" w:cs="Times New Roman"/>
                      <w:kern w:val="0"/>
                      <w:sz w:val="21"/>
                      <w:szCs w:val="21"/>
                    </w:rPr>
                    <w:t>12</w:t>
                  </w:r>
                </w:p>
              </w:tc>
              <w:tc>
                <w:tcPr>
                  <w:tcW w:w="708" w:type="dxa"/>
                  <w:vMerge w:val="restart"/>
                  <w:vAlign w:val="center"/>
                </w:tcPr>
                <w:p w14:paraId="7A7EE721">
                  <w:pPr>
                    <w:jc w:val="center"/>
                    <w:rPr>
                      <w:rFonts w:cs="Times New Roman"/>
                      <w:kern w:val="0"/>
                      <w:sz w:val="21"/>
                      <w:szCs w:val="21"/>
                    </w:rPr>
                  </w:pPr>
                  <w:r>
                    <w:rPr>
                      <w:rFonts w:hint="eastAsia" w:cs="Times New Roman"/>
                      <w:kern w:val="0"/>
                      <w:sz w:val="21"/>
                      <w:szCs w:val="21"/>
                    </w:rPr>
                    <w:t>固体废物</w:t>
                  </w:r>
                </w:p>
              </w:tc>
              <w:tc>
                <w:tcPr>
                  <w:tcW w:w="1276" w:type="dxa"/>
                  <w:vAlign w:val="center"/>
                </w:tcPr>
                <w:p w14:paraId="7175DC83">
                  <w:pPr>
                    <w:jc w:val="center"/>
                    <w:rPr>
                      <w:rFonts w:cs="Times New Roman"/>
                      <w:kern w:val="0"/>
                      <w:sz w:val="21"/>
                      <w:szCs w:val="21"/>
                    </w:rPr>
                  </w:pPr>
                  <w:r>
                    <w:rPr>
                      <w:rFonts w:hint="eastAsia" w:cs="Times New Roman"/>
                      <w:kern w:val="0"/>
                      <w:sz w:val="21"/>
                      <w:szCs w:val="21"/>
                    </w:rPr>
                    <w:t>施工期生活垃圾</w:t>
                  </w:r>
                </w:p>
              </w:tc>
              <w:tc>
                <w:tcPr>
                  <w:tcW w:w="3544" w:type="dxa"/>
                  <w:vAlign w:val="center"/>
                </w:tcPr>
                <w:p w14:paraId="519993C9">
                  <w:pPr>
                    <w:jc w:val="center"/>
                    <w:rPr>
                      <w:rFonts w:cs="Times New Roman"/>
                      <w:kern w:val="0"/>
                      <w:sz w:val="21"/>
                      <w:szCs w:val="21"/>
                    </w:rPr>
                  </w:pPr>
                  <w:r>
                    <w:rPr>
                      <w:rFonts w:hint="eastAsia" w:cs="Times New Roman"/>
                      <w:kern w:val="0"/>
                      <w:sz w:val="21"/>
                      <w:szCs w:val="21"/>
                    </w:rPr>
                    <w:t>生活垃圾集中收集，交环卫部门统一处理</w:t>
                  </w:r>
                </w:p>
              </w:tc>
              <w:tc>
                <w:tcPr>
                  <w:tcW w:w="1098" w:type="dxa"/>
                  <w:vAlign w:val="center"/>
                </w:tcPr>
                <w:p w14:paraId="0BC76C26">
                  <w:pPr>
                    <w:jc w:val="center"/>
                    <w:rPr>
                      <w:rFonts w:cs="Times New Roman"/>
                      <w:kern w:val="0"/>
                      <w:sz w:val="21"/>
                      <w:szCs w:val="21"/>
                    </w:rPr>
                  </w:pPr>
                  <w:r>
                    <w:rPr>
                      <w:rFonts w:hint="eastAsia" w:cs="Times New Roman"/>
                      <w:kern w:val="0"/>
                      <w:sz w:val="21"/>
                      <w:szCs w:val="21"/>
                    </w:rPr>
                    <w:t>0.05</w:t>
                  </w:r>
                </w:p>
              </w:tc>
            </w:tr>
            <w:tr w14:paraId="59DF51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23B29C27">
                  <w:pPr>
                    <w:jc w:val="center"/>
                    <w:rPr>
                      <w:rFonts w:cs="Times New Roman"/>
                      <w:kern w:val="0"/>
                      <w:sz w:val="21"/>
                      <w:szCs w:val="21"/>
                    </w:rPr>
                  </w:pPr>
                  <w:r>
                    <w:rPr>
                      <w:rFonts w:hint="eastAsia" w:cs="Times New Roman"/>
                      <w:kern w:val="0"/>
                      <w:sz w:val="21"/>
                      <w:szCs w:val="21"/>
                    </w:rPr>
                    <w:t>13</w:t>
                  </w:r>
                </w:p>
              </w:tc>
              <w:tc>
                <w:tcPr>
                  <w:tcW w:w="708" w:type="dxa"/>
                  <w:vMerge w:val="continue"/>
                  <w:vAlign w:val="center"/>
                </w:tcPr>
                <w:p w14:paraId="161D43B6">
                  <w:pPr>
                    <w:jc w:val="center"/>
                    <w:rPr>
                      <w:rFonts w:cs="Times New Roman"/>
                      <w:kern w:val="0"/>
                      <w:sz w:val="21"/>
                      <w:szCs w:val="21"/>
                    </w:rPr>
                  </w:pPr>
                </w:p>
              </w:tc>
              <w:tc>
                <w:tcPr>
                  <w:tcW w:w="1276" w:type="dxa"/>
                  <w:vAlign w:val="center"/>
                </w:tcPr>
                <w:p w14:paraId="7BBB51CA">
                  <w:pPr>
                    <w:jc w:val="center"/>
                    <w:rPr>
                      <w:rFonts w:cs="Times New Roman"/>
                      <w:kern w:val="0"/>
                      <w:sz w:val="21"/>
                      <w:szCs w:val="21"/>
                    </w:rPr>
                  </w:pPr>
                  <w:r>
                    <w:rPr>
                      <w:rFonts w:hint="eastAsia" w:cs="Times New Roman"/>
                      <w:kern w:val="0"/>
                      <w:sz w:val="21"/>
                      <w:szCs w:val="21"/>
                    </w:rPr>
                    <w:t>运营期危废</w:t>
                  </w:r>
                </w:p>
              </w:tc>
              <w:tc>
                <w:tcPr>
                  <w:tcW w:w="3544" w:type="dxa"/>
                  <w:vAlign w:val="center"/>
                </w:tcPr>
                <w:p w14:paraId="5C3DA6D2">
                  <w:pPr>
                    <w:jc w:val="center"/>
                    <w:rPr>
                      <w:rFonts w:cs="Times New Roman"/>
                      <w:kern w:val="0"/>
                      <w:sz w:val="21"/>
                      <w:szCs w:val="21"/>
                    </w:rPr>
                  </w:pPr>
                  <w:r>
                    <w:rPr>
                      <w:rFonts w:hint="eastAsia" w:cs="Times New Roman"/>
                      <w:kern w:val="0"/>
                      <w:sz w:val="21"/>
                      <w:szCs w:val="21"/>
                    </w:rPr>
                    <w:t>危废暂存仓</w:t>
                  </w:r>
                </w:p>
              </w:tc>
              <w:tc>
                <w:tcPr>
                  <w:tcW w:w="1098" w:type="dxa"/>
                  <w:vAlign w:val="center"/>
                </w:tcPr>
                <w:p w14:paraId="4435AA9E">
                  <w:pPr>
                    <w:jc w:val="center"/>
                    <w:rPr>
                      <w:rFonts w:cs="Times New Roman"/>
                      <w:kern w:val="0"/>
                      <w:sz w:val="21"/>
                      <w:szCs w:val="21"/>
                    </w:rPr>
                  </w:pPr>
                  <w:r>
                    <w:rPr>
                      <w:rFonts w:hint="eastAsia" w:cs="Times New Roman"/>
                      <w:kern w:val="0"/>
                      <w:sz w:val="21"/>
                      <w:szCs w:val="21"/>
                    </w:rPr>
                    <w:t>0.6</w:t>
                  </w:r>
                </w:p>
              </w:tc>
            </w:tr>
            <w:tr w14:paraId="1E8B8D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3D6412AD">
                  <w:pPr>
                    <w:jc w:val="center"/>
                    <w:rPr>
                      <w:rFonts w:cs="Times New Roman"/>
                      <w:kern w:val="0"/>
                      <w:sz w:val="21"/>
                      <w:szCs w:val="21"/>
                    </w:rPr>
                  </w:pPr>
                  <w:r>
                    <w:rPr>
                      <w:rFonts w:hint="eastAsia" w:cs="Times New Roman"/>
                      <w:kern w:val="0"/>
                      <w:sz w:val="21"/>
                      <w:szCs w:val="21"/>
                    </w:rPr>
                    <w:t>14</w:t>
                  </w:r>
                </w:p>
              </w:tc>
              <w:tc>
                <w:tcPr>
                  <w:tcW w:w="708" w:type="dxa"/>
                  <w:vMerge w:val="continue"/>
                  <w:vAlign w:val="center"/>
                </w:tcPr>
                <w:p w14:paraId="432D5C3A">
                  <w:pPr>
                    <w:jc w:val="center"/>
                    <w:rPr>
                      <w:rFonts w:cs="Times New Roman"/>
                      <w:kern w:val="0"/>
                      <w:sz w:val="21"/>
                      <w:szCs w:val="21"/>
                    </w:rPr>
                  </w:pPr>
                </w:p>
              </w:tc>
              <w:tc>
                <w:tcPr>
                  <w:tcW w:w="1276" w:type="dxa"/>
                  <w:vAlign w:val="center"/>
                </w:tcPr>
                <w:p w14:paraId="3E37EDB2">
                  <w:pPr>
                    <w:jc w:val="center"/>
                    <w:rPr>
                      <w:rFonts w:cs="Times New Roman"/>
                      <w:kern w:val="0"/>
                      <w:sz w:val="21"/>
                      <w:szCs w:val="21"/>
                    </w:rPr>
                  </w:pPr>
                  <w:r>
                    <w:rPr>
                      <w:rFonts w:hint="eastAsia" w:cs="Times New Roman"/>
                      <w:kern w:val="0"/>
                      <w:sz w:val="21"/>
                      <w:szCs w:val="21"/>
                    </w:rPr>
                    <w:t>运营期生活垃圾</w:t>
                  </w:r>
                </w:p>
              </w:tc>
              <w:tc>
                <w:tcPr>
                  <w:tcW w:w="3544" w:type="dxa"/>
                  <w:vAlign w:val="center"/>
                </w:tcPr>
                <w:p w14:paraId="02A68A3A">
                  <w:pPr>
                    <w:jc w:val="center"/>
                    <w:rPr>
                      <w:rFonts w:cs="Times New Roman"/>
                      <w:kern w:val="0"/>
                      <w:sz w:val="21"/>
                      <w:szCs w:val="21"/>
                    </w:rPr>
                  </w:pPr>
                  <w:r>
                    <w:rPr>
                      <w:rFonts w:hint="eastAsia" w:cs="Times New Roman"/>
                      <w:kern w:val="0"/>
                      <w:sz w:val="21"/>
                      <w:szCs w:val="21"/>
                    </w:rPr>
                    <w:t>生活垃圾集中收集，交环卫部门统一处理；隔油固废集中收集，委托有资质单位进行统一处理</w:t>
                  </w:r>
                </w:p>
              </w:tc>
              <w:tc>
                <w:tcPr>
                  <w:tcW w:w="1098" w:type="dxa"/>
                  <w:vAlign w:val="center"/>
                </w:tcPr>
                <w:p w14:paraId="4A118E43">
                  <w:pPr>
                    <w:jc w:val="center"/>
                    <w:rPr>
                      <w:rFonts w:cs="Times New Roman"/>
                      <w:kern w:val="0"/>
                      <w:sz w:val="21"/>
                      <w:szCs w:val="21"/>
                    </w:rPr>
                  </w:pPr>
                  <w:r>
                    <w:rPr>
                      <w:rFonts w:hint="eastAsia" w:cs="Times New Roman"/>
                      <w:kern w:val="0"/>
                      <w:sz w:val="21"/>
                      <w:szCs w:val="21"/>
                    </w:rPr>
                    <w:t>0.1</w:t>
                  </w:r>
                </w:p>
              </w:tc>
            </w:tr>
            <w:tr w14:paraId="13D282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6AB53E89">
                  <w:pPr>
                    <w:jc w:val="center"/>
                    <w:rPr>
                      <w:rFonts w:cs="Times New Roman"/>
                      <w:kern w:val="0"/>
                      <w:sz w:val="21"/>
                      <w:szCs w:val="21"/>
                    </w:rPr>
                  </w:pPr>
                  <w:r>
                    <w:rPr>
                      <w:rFonts w:hint="eastAsia" w:cs="Times New Roman"/>
                      <w:kern w:val="0"/>
                      <w:sz w:val="21"/>
                      <w:szCs w:val="21"/>
                    </w:rPr>
                    <w:t>15</w:t>
                  </w:r>
                </w:p>
              </w:tc>
              <w:tc>
                <w:tcPr>
                  <w:tcW w:w="708" w:type="dxa"/>
                  <w:vAlign w:val="center"/>
                </w:tcPr>
                <w:p w14:paraId="462CF984">
                  <w:pPr>
                    <w:jc w:val="center"/>
                    <w:rPr>
                      <w:rFonts w:cs="Times New Roman"/>
                      <w:kern w:val="0"/>
                      <w:sz w:val="21"/>
                      <w:szCs w:val="21"/>
                    </w:rPr>
                  </w:pPr>
                  <w:r>
                    <w:rPr>
                      <w:rFonts w:hint="eastAsia" w:cs="Times New Roman"/>
                      <w:kern w:val="0"/>
                      <w:sz w:val="21"/>
                      <w:szCs w:val="21"/>
                    </w:rPr>
                    <w:t>生态环境</w:t>
                  </w:r>
                </w:p>
              </w:tc>
              <w:tc>
                <w:tcPr>
                  <w:tcW w:w="4820" w:type="dxa"/>
                  <w:gridSpan w:val="2"/>
                  <w:vAlign w:val="center"/>
                </w:tcPr>
                <w:p w14:paraId="466D1E6F">
                  <w:pPr>
                    <w:jc w:val="center"/>
                    <w:rPr>
                      <w:rFonts w:cs="Times New Roman"/>
                      <w:kern w:val="0"/>
                      <w:sz w:val="21"/>
                      <w:szCs w:val="21"/>
                    </w:rPr>
                  </w:pPr>
                  <w:r>
                    <w:rPr>
                      <w:rFonts w:hint="eastAsia" w:cs="Times New Roman"/>
                      <w:kern w:val="0"/>
                      <w:sz w:val="21"/>
                      <w:szCs w:val="21"/>
                    </w:rPr>
                    <w:t>施工期加强施工区域水土保持；施工结束后，针对码头内实施绿化工程</w:t>
                  </w:r>
                </w:p>
              </w:tc>
              <w:tc>
                <w:tcPr>
                  <w:tcW w:w="1098" w:type="dxa"/>
                  <w:vAlign w:val="center"/>
                </w:tcPr>
                <w:p w14:paraId="63356E3A">
                  <w:pPr>
                    <w:jc w:val="center"/>
                    <w:rPr>
                      <w:rFonts w:cs="Times New Roman"/>
                      <w:kern w:val="0"/>
                      <w:sz w:val="21"/>
                      <w:szCs w:val="21"/>
                    </w:rPr>
                  </w:pPr>
                  <w:r>
                    <w:rPr>
                      <w:rFonts w:hint="eastAsia" w:cs="Times New Roman"/>
                      <w:kern w:val="0"/>
                      <w:sz w:val="21"/>
                      <w:szCs w:val="21"/>
                    </w:rPr>
                    <w:t>27.1</w:t>
                  </w:r>
                </w:p>
              </w:tc>
            </w:tr>
            <w:tr w14:paraId="1BAA97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0DD63A40">
                  <w:pPr>
                    <w:jc w:val="center"/>
                    <w:rPr>
                      <w:rFonts w:cs="Times New Roman"/>
                      <w:kern w:val="0"/>
                      <w:sz w:val="21"/>
                      <w:szCs w:val="21"/>
                    </w:rPr>
                  </w:pPr>
                  <w:r>
                    <w:rPr>
                      <w:rFonts w:hint="eastAsia" w:cs="Times New Roman"/>
                      <w:kern w:val="0"/>
                      <w:sz w:val="21"/>
                      <w:szCs w:val="21"/>
                    </w:rPr>
                    <w:t>15</w:t>
                  </w:r>
                </w:p>
              </w:tc>
              <w:tc>
                <w:tcPr>
                  <w:tcW w:w="708" w:type="dxa"/>
                  <w:vMerge w:val="restart"/>
                  <w:vAlign w:val="center"/>
                </w:tcPr>
                <w:p w14:paraId="6E856710">
                  <w:pPr>
                    <w:jc w:val="center"/>
                    <w:rPr>
                      <w:rFonts w:cs="Times New Roman"/>
                      <w:kern w:val="0"/>
                      <w:sz w:val="21"/>
                      <w:szCs w:val="21"/>
                    </w:rPr>
                  </w:pPr>
                  <w:r>
                    <w:rPr>
                      <w:rFonts w:hint="eastAsia" w:cs="Times New Roman"/>
                      <w:kern w:val="0"/>
                      <w:sz w:val="21"/>
                      <w:szCs w:val="21"/>
                    </w:rPr>
                    <w:t>环境风险</w:t>
                  </w:r>
                </w:p>
              </w:tc>
              <w:tc>
                <w:tcPr>
                  <w:tcW w:w="4820" w:type="dxa"/>
                  <w:gridSpan w:val="2"/>
                  <w:vAlign w:val="center"/>
                </w:tcPr>
                <w:p w14:paraId="0ECFCB66">
                  <w:pPr>
                    <w:jc w:val="center"/>
                    <w:rPr>
                      <w:rFonts w:cs="Times New Roman"/>
                      <w:kern w:val="0"/>
                      <w:sz w:val="21"/>
                      <w:szCs w:val="21"/>
                    </w:rPr>
                  </w:pPr>
                  <w:r>
                    <w:rPr>
                      <w:rFonts w:hint="eastAsia" w:cs="Times New Roman"/>
                      <w:kern w:val="0"/>
                      <w:sz w:val="21"/>
                      <w:szCs w:val="21"/>
                    </w:rPr>
                    <w:t>制定突发环境事件应急预案，定期开展应急演练</w:t>
                  </w:r>
                </w:p>
              </w:tc>
              <w:tc>
                <w:tcPr>
                  <w:tcW w:w="1098" w:type="dxa"/>
                  <w:vAlign w:val="center"/>
                </w:tcPr>
                <w:p w14:paraId="54BAC1D3">
                  <w:pPr>
                    <w:jc w:val="center"/>
                    <w:rPr>
                      <w:rFonts w:cs="Times New Roman"/>
                      <w:kern w:val="0"/>
                      <w:sz w:val="21"/>
                      <w:szCs w:val="21"/>
                    </w:rPr>
                  </w:pPr>
                  <w:r>
                    <w:rPr>
                      <w:rFonts w:hint="eastAsia" w:cs="Times New Roman"/>
                      <w:kern w:val="0"/>
                      <w:sz w:val="21"/>
                      <w:szCs w:val="21"/>
                    </w:rPr>
                    <w:t>10</w:t>
                  </w:r>
                </w:p>
              </w:tc>
            </w:tr>
            <w:tr w14:paraId="5AE4E5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0" w:type="dxa"/>
                  <w:vAlign w:val="center"/>
                </w:tcPr>
                <w:p w14:paraId="7A77F178">
                  <w:pPr>
                    <w:jc w:val="center"/>
                    <w:rPr>
                      <w:rFonts w:cs="Times New Roman"/>
                      <w:kern w:val="0"/>
                      <w:sz w:val="21"/>
                      <w:szCs w:val="21"/>
                    </w:rPr>
                  </w:pPr>
                  <w:r>
                    <w:rPr>
                      <w:rFonts w:hint="eastAsia" w:cs="Times New Roman"/>
                      <w:kern w:val="0"/>
                      <w:sz w:val="21"/>
                      <w:szCs w:val="21"/>
                    </w:rPr>
                    <w:t>16</w:t>
                  </w:r>
                </w:p>
              </w:tc>
              <w:tc>
                <w:tcPr>
                  <w:tcW w:w="708" w:type="dxa"/>
                  <w:vMerge w:val="continue"/>
                  <w:vAlign w:val="center"/>
                </w:tcPr>
                <w:p w14:paraId="66777649">
                  <w:pPr>
                    <w:jc w:val="center"/>
                    <w:rPr>
                      <w:rFonts w:cs="Times New Roman"/>
                      <w:kern w:val="0"/>
                      <w:sz w:val="21"/>
                      <w:szCs w:val="21"/>
                    </w:rPr>
                  </w:pPr>
                </w:p>
              </w:tc>
              <w:tc>
                <w:tcPr>
                  <w:tcW w:w="4820" w:type="dxa"/>
                  <w:gridSpan w:val="2"/>
                  <w:vAlign w:val="center"/>
                </w:tcPr>
                <w:p w14:paraId="1001CBBA">
                  <w:pPr>
                    <w:jc w:val="center"/>
                    <w:rPr>
                      <w:rFonts w:cs="Times New Roman"/>
                      <w:kern w:val="0"/>
                      <w:sz w:val="21"/>
                      <w:szCs w:val="21"/>
                    </w:rPr>
                  </w:pPr>
                  <w:r>
                    <w:rPr>
                      <w:rFonts w:hint="eastAsia" w:cs="Times New Roman"/>
                      <w:kern w:val="0"/>
                      <w:sz w:val="21"/>
                      <w:szCs w:val="21"/>
                    </w:rPr>
                    <w:t>配备应急设置及物资</w:t>
                  </w:r>
                </w:p>
              </w:tc>
              <w:tc>
                <w:tcPr>
                  <w:tcW w:w="1098" w:type="dxa"/>
                  <w:vAlign w:val="center"/>
                </w:tcPr>
                <w:p w14:paraId="2FF1660E">
                  <w:pPr>
                    <w:jc w:val="center"/>
                    <w:rPr>
                      <w:rFonts w:cs="Times New Roman"/>
                      <w:kern w:val="0"/>
                      <w:sz w:val="21"/>
                      <w:szCs w:val="21"/>
                    </w:rPr>
                  </w:pPr>
                  <w:r>
                    <w:rPr>
                      <w:rFonts w:hint="eastAsia" w:cs="Times New Roman"/>
                      <w:kern w:val="0"/>
                      <w:sz w:val="21"/>
                      <w:szCs w:val="21"/>
                    </w:rPr>
                    <w:t>26.9</w:t>
                  </w:r>
                </w:p>
              </w:tc>
            </w:tr>
            <w:tr w14:paraId="2D9BBE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68" w:type="dxa"/>
                  <w:gridSpan w:val="4"/>
                  <w:vAlign w:val="center"/>
                </w:tcPr>
                <w:p w14:paraId="1A45451B">
                  <w:pPr>
                    <w:jc w:val="center"/>
                    <w:rPr>
                      <w:rFonts w:cs="Times New Roman"/>
                      <w:kern w:val="0"/>
                      <w:sz w:val="21"/>
                      <w:szCs w:val="21"/>
                    </w:rPr>
                  </w:pPr>
                  <w:r>
                    <w:rPr>
                      <w:rFonts w:hint="eastAsia" w:cs="Times New Roman"/>
                      <w:kern w:val="0"/>
                      <w:sz w:val="21"/>
                      <w:szCs w:val="21"/>
                    </w:rPr>
                    <w:t>总计</w:t>
                  </w:r>
                </w:p>
              </w:tc>
              <w:tc>
                <w:tcPr>
                  <w:tcW w:w="1098" w:type="dxa"/>
                  <w:vAlign w:val="center"/>
                </w:tcPr>
                <w:p w14:paraId="6E78DBF8">
                  <w:pPr>
                    <w:jc w:val="center"/>
                    <w:rPr>
                      <w:rFonts w:cs="Times New Roman"/>
                      <w:kern w:val="0"/>
                      <w:sz w:val="21"/>
                      <w:szCs w:val="21"/>
                    </w:rPr>
                  </w:pPr>
                  <w:r>
                    <w:rPr>
                      <w:rFonts w:cs="Times New Roman"/>
                      <w:kern w:val="0"/>
                      <w:sz w:val="21"/>
                      <w:szCs w:val="21"/>
                    </w:rPr>
                    <w:fldChar w:fldCharType="begin"/>
                  </w:r>
                  <w:r>
                    <w:rPr>
                      <w:rFonts w:cs="Times New Roman"/>
                      <w:kern w:val="0"/>
                      <w:sz w:val="21"/>
                      <w:szCs w:val="21"/>
                    </w:rPr>
                    <w:instrText xml:space="preserve"> =SUM(ABOVE) </w:instrText>
                  </w:r>
                  <w:r>
                    <w:rPr>
                      <w:rFonts w:cs="Times New Roman"/>
                      <w:kern w:val="0"/>
                      <w:sz w:val="21"/>
                      <w:szCs w:val="21"/>
                    </w:rPr>
                    <w:fldChar w:fldCharType="separate"/>
                  </w:r>
                  <w:r>
                    <w:rPr>
                      <w:rFonts w:cs="Times New Roman"/>
                      <w:kern w:val="0"/>
                      <w:sz w:val="21"/>
                      <w:szCs w:val="21"/>
                    </w:rPr>
                    <w:t>84.35</w:t>
                  </w:r>
                  <w:r>
                    <w:rPr>
                      <w:rFonts w:cs="Times New Roman"/>
                      <w:kern w:val="0"/>
                      <w:sz w:val="21"/>
                      <w:szCs w:val="21"/>
                    </w:rPr>
                    <w:fldChar w:fldCharType="end"/>
                  </w:r>
                </w:p>
              </w:tc>
            </w:tr>
          </w:tbl>
          <w:p w14:paraId="1BB1CA79">
            <w:pPr>
              <w:spacing w:line="360" w:lineRule="auto"/>
              <w:ind w:firstLine="482" w:firstLineChars="200"/>
              <w:rPr>
                <w:b/>
                <w:bCs/>
                <w:u w:val="single"/>
              </w:rPr>
            </w:pPr>
          </w:p>
          <w:p w14:paraId="41687890">
            <w:pPr>
              <w:spacing w:line="360" w:lineRule="auto"/>
              <w:ind w:firstLine="482" w:firstLineChars="200"/>
              <w:rPr>
                <w:b/>
                <w:bCs/>
                <w:u w:val="single"/>
              </w:rPr>
            </w:pPr>
          </w:p>
          <w:p w14:paraId="17922BD1">
            <w:pPr>
              <w:spacing w:line="360" w:lineRule="auto"/>
              <w:ind w:firstLine="482" w:firstLineChars="200"/>
              <w:rPr>
                <w:b/>
                <w:bCs/>
                <w:u w:val="single"/>
              </w:rPr>
            </w:pPr>
          </w:p>
          <w:p w14:paraId="0357F539">
            <w:pPr>
              <w:spacing w:line="360" w:lineRule="auto"/>
              <w:ind w:firstLine="482" w:firstLineChars="200"/>
              <w:rPr>
                <w:b/>
                <w:bCs/>
                <w:u w:val="single"/>
              </w:rPr>
            </w:pPr>
          </w:p>
          <w:p w14:paraId="747C9968">
            <w:pPr>
              <w:spacing w:line="360" w:lineRule="auto"/>
              <w:ind w:firstLine="482" w:firstLineChars="200"/>
              <w:rPr>
                <w:b/>
                <w:bCs/>
                <w:u w:val="single"/>
              </w:rPr>
            </w:pPr>
          </w:p>
          <w:p w14:paraId="4AE6899A">
            <w:pPr>
              <w:spacing w:line="360" w:lineRule="auto"/>
              <w:ind w:firstLine="482" w:firstLineChars="200"/>
              <w:rPr>
                <w:b/>
                <w:bCs/>
                <w:u w:val="single"/>
              </w:rPr>
            </w:pPr>
          </w:p>
          <w:p w14:paraId="086C7996">
            <w:pPr>
              <w:spacing w:line="360" w:lineRule="auto"/>
              <w:ind w:firstLine="482" w:firstLineChars="200"/>
              <w:rPr>
                <w:b/>
                <w:bCs/>
                <w:u w:val="single"/>
              </w:rPr>
            </w:pPr>
          </w:p>
          <w:p w14:paraId="2BF5F570">
            <w:pPr>
              <w:spacing w:line="360" w:lineRule="auto"/>
              <w:ind w:firstLine="482" w:firstLineChars="200"/>
              <w:rPr>
                <w:b/>
                <w:bCs/>
                <w:u w:val="single"/>
              </w:rPr>
            </w:pPr>
          </w:p>
          <w:p w14:paraId="3AF2FD23">
            <w:pPr>
              <w:spacing w:line="360" w:lineRule="auto"/>
              <w:ind w:firstLine="482" w:firstLineChars="200"/>
              <w:rPr>
                <w:b/>
                <w:bCs/>
                <w:u w:val="single"/>
              </w:rPr>
            </w:pPr>
          </w:p>
          <w:p w14:paraId="0F04CB36">
            <w:pPr>
              <w:spacing w:line="360" w:lineRule="auto"/>
              <w:ind w:firstLine="482" w:firstLineChars="200"/>
              <w:rPr>
                <w:b/>
                <w:bCs/>
                <w:u w:val="single"/>
              </w:rPr>
            </w:pPr>
          </w:p>
          <w:p w14:paraId="53A17286">
            <w:pPr>
              <w:spacing w:line="360" w:lineRule="auto"/>
              <w:ind w:firstLine="482" w:firstLineChars="200"/>
              <w:rPr>
                <w:b/>
                <w:bCs/>
                <w:u w:val="single"/>
              </w:rPr>
            </w:pPr>
          </w:p>
          <w:p w14:paraId="3BCC0DD0">
            <w:pPr>
              <w:spacing w:line="360" w:lineRule="auto"/>
              <w:ind w:firstLine="480" w:firstLineChars="200"/>
            </w:pPr>
          </w:p>
        </w:tc>
      </w:tr>
    </w:tbl>
    <w:p w14:paraId="6DAE8B47">
      <w:pPr>
        <w:pStyle w:val="2"/>
        <w:jc w:val="both"/>
      </w:pPr>
      <w:r>
        <w:rPr>
          <w:rFonts w:hint="eastAsia"/>
          <w:b w:val="0"/>
          <w:bCs w:val="0"/>
        </w:rPr>
        <w:t>六、生态环境保护措施监督检查清单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268"/>
        <w:gridCol w:w="1441"/>
        <w:gridCol w:w="1964"/>
        <w:gridCol w:w="1441"/>
      </w:tblGrid>
      <w:tr w14:paraId="772D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5C2201F3">
            <w:pPr>
              <w:spacing w:line="360" w:lineRule="auto"/>
              <w:jc w:val="center"/>
              <w:rPr>
                <w:b/>
                <w:bCs/>
                <w:szCs w:val="24"/>
              </w:rPr>
            </w:pPr>
            <w:r>
              <w:rPr>
                <w:b/>
                <w:bCs/>
                <w:szCs w:val="24"/>
              </w:rPr>
              <w:t xml:space="preserve">    内容</w:t>
            </w:r>
          </w:p>
          <w:p w14:paraId="1FB1BB7E">
            <w:pPr>
              <w:spacing w:line="360" w:lineRule="auto"/>
              <w:rPr>
                <w:b/>
                <w:bCs/>
                <w:szCs w:val="24"/>
              </w:rPr>
            </w:pPr>
            <w:r>
              <w:rPr>
                <w:b/>
                <w:bCs/>
                <w:szCs w:val="24"/>
              </w:rPr>
              <w:t>要素</w:t>
            </w:r>
          </w:p>
        </w:tc>
        <w:tc>
          <w:tcPr>
            <w:tcW w:w="3706" w:type="dxa"/>
            <w:gridSpan w:val="2"/>
            <w:vAlign w:val="center"/>
          </w:tcPr>
          <w:p w14:paraId="0072A00D">
            <w:pPr>
              <w:spacing w:line="360" w:lineRule="auto"/>
              <w:jc w:val="center"/>
              <w:rPr>
                <w:b/>
                <w:bCs/>
                <w:szCs w:val="24"/>
              </w:rPr>
            </w:pPr>
            <w:r>
              <w:rPr>
                <w:b/>
                <w:bCs/>
                <w:szCs w:val="24"/>
              </w:rPr>
              <w:t>施工期</w:t>
            </w:r>
          </w:p>
        </w:tc>
        <w:tc>
          <w:tcPr>
            <w:tcW w:w="3319" w:type="dxa"/>
            <w:gridSpan w:val="2"/>
            <w:vAlign w:val="center"/>
          </w:tcPr>
          <w:p w14:paraId="4872CCF1">
            <w:pPr>
              <w:spacing w:line="360" w:lineRule="auto"/>
              <w:jc w:val="center"/>
              <w:rPr>
                <w:b/>
                <w:bCs/>
                <w:szCs w:val="24"/>
              </w:rPr>
            </w:pPr>
            <w:r>
              <w:rPr>
                <w:b/>
                <w:bCs/>
                <w:szCs w:val="24"/>
              </w:rPr>
              <w:t>运营期</w:t>
            </w:r>
          </w:p>
        </w:tc>
      </w:tr>
      <w:tr w14:paraId="23A4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814178B">
            <w:pPr>
              <w:spacing w:line="360" w:lineRule="auto"/>
              <w:jc w:val="center"/>
              <w:rPr>
                <w:b/>
                <w:bCs/>
                <w:szCs w:val="24"/>
              </w:rPr>
            </w:pPr>
          </w:p>
        </w:tc>
        <w:tc>
          <w:tcPr>
            <w:tcW w:w="2268" w:type="dxa"/>
            <w:vAlign w:val="center"/>
          </w:tcPr>
          <w:p w14:paraId="55D7F10F">
            <w:pPr>
              <w:spacing w:line="360" w:lineRule="auto"/>
              <w:jc w:val="center"/>
              <w:rPr>
                <w:b/>
                <w:bCs/>
                <w:szCs w:val="24"/>
              </w:rPr>
            </w:pPr>
            <w:r>
              <w:rPr>
                <w:b/>
                <w:bCs/>
                <w:szCs w:val="24"/>
              </w:rPr>
              <w:t>环境保护措施</w:t>
            </w:r>
          </w:p>
        </w:tc>
        <w:tc>
          <w:tcPr>
            <w:tcW w:w="1438" w:type="dxa"/>
            <w:vAlign w:val="center"/>
          </w:tcPr>
          <w:p w14:paraId="5847A3D0">
            <w:pPr>
              <w:spacing w:line="360" w:lineRule="auto"/>
              <w:jc w:val="center"/>
              <w:rPr>
                <w:b/>
                <w:bCs/>
                <w:szCs w:val="24"/>
              </w:rPr>
            </w:pPr>
            <w:r>
              <w:rPr>
                <w:b/>
                <w:bCs/>
                <w:szCs w:val="24"/>
              </w:rPr>
              <w:t>验收要求</w:t>
            </w:r>
          </w:p>
        </w:tc>
        <w:tc>
          <w:tcPr>
            <w:tcW w:w="1964" w:type="dxa"/>
            <w:vAlign w:val="center"/>
          </w:tcPr>
          <w:p w14:paraId="4F645AD2">
            <w:pPr>
              <w:spacing w:line="360" w:lineRule="auto"/>
              <w:jc w:val="center"/>
              <w:rPr>
                <w:b/>
                <w:bCs/>
                <w:szCs w:val="24"/>
              </w:rPr>
            </w:pPr>
            <w:r>
              <w:rPr>
                <w:b/>
                <w:bCs/>
                <w:szCs w:val="24"/>
              </w:rPr>
              <w:t>环境保护措施</w:t>
            </w:r>
          </w:p>
        </w:tc>
        <w:tc>
          <w:tcPr>
            <w:tcW w:w="1355" w:type="dxa"/>
            <w:vAlign w:val="center"/>
          </w:tcPr>
          <w:p w14:paraId="57FD1895">
            <w:pPr>
              <w:spacing w:line="360" w:lineRule="auto"/>
              <w:jc w:val="center"/>
              <w:rPr>
                <w:b/>
                <w:bCs/>
                <w:szCs w:val="24"/>
              </w:rPr>
            </w:pPr>
            <w:r>
              <w:rPr>
                <w:b/>
                <w:bCs/>
                <w:szCs w:val="24"/>
              </w:rPr>
              <w:t>验收要求</w:t>
            </w:r>
          </w:p>
        </w:tc>
      </w:tr>
      <w:tr w14:paraId="0B2F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A3F13F0">
            <w:pPr>
              <w:spacing w:line="360" w:lineRule="auto"/>
              <w:jc w:val="center"/>
              <w:rPr>
                <w:szCs w:val="24"/>
              </w:rPr>
            </w:pPr>
            <w:r>
              <w:rPr>
                <w:szCs w:val="24"/>
              </w:rPr>
              <w:t>陆生生态</w:t>
            </w:r>
          </w:p>
        </w:tc>
        <w:tc>
          <w:tcPr>
            <w:tcW w:w="2268" w:type="dxa"/>
            <w:vAlign w:val="center"/>
          </w:tcPr>
          <w:p w14:paraId="30EC9F9A">
            <w:pPr>
              <w:jc w:val="center"/>
              <w:rPr>
                <w:sz w:val="21"/>
                <w:szCs w:val="21"/>
              </w:rPr>
            </w:pPr>
            <w:r>
              <w:rPr>
                <w:rFonts w:hint="eastAsia"/>
                <w:sz w:val="21"/>
                <w:szCs w:val="21"/>
              </w:rPr>
              <w:t>严格按设计占地范围、建筑要求施工；做好堆土拦挡、苫布覆盖并回填利用</w:t>
            </w:r>
          </w:p>
        </w:tc>
        <w:tc>
          <w:tcPr>
            <w:tcW w:w="1438" w:type="dxa"/>
            <w:vAlign w:val="center"/>
          </w:tcPr>
          <w:p w14:paraId="00B3A061">
            <w:pPr>
              <w:jc w:val="center"/>
              <w:rPr>
                <w:sz w:val="21"/>
                <w:szCs w:val="21"/>
              </w:rPr>
            </w:pPr>
            <w:r>
              <w:rPr>
                <w:rFonts w:hint="eastAsia"/>
                <w:sz w:val="21"/>
                <w:szCs w:val="21"/>
              </w:rPr>
              <w:t>不对陆生生态造成破坏</w:t>
            </w:r>
          </w:p>
        </w:tc>
        <w:tc>
          <w:tcPr>
            <w:tcW w:w="1964" w:type="dxa"/>
            <w:vAlign w:val="center"/>
          </w:tcPr>
          <w:p w14:paraId="061C5D05">
            <w:pPr>
              <w:jc w:val="center"/>
              <w:rPr>
                <w:sz w:val="21"/>
                <w:szCs w:val="21"/>
              </w:rPr>
            </w:pPr>
            <w:r>
              <w:rPr>
                <w:rFonts w:hint="eastAsia"/>
                <w:sz w:val="21"/>
                <w:szCs w:val="21"/>
              </w:rPr>
              <w:t>/</w:t>
            </w:r>
          </w:p>
        </w:tc>
        <w:tc>
          <w:tcPr>
            <w:tcW w:w="1355" w:type="dxa"/>
            <w:vAlign w:val="center"/>
          </w:tcPr>
          <w:p w14:paraId="092929A4">
            <w:pPr>
              <w:jc w:val="center"/>
              <w:rPr>
                <w:sz w:val="21"/>
                <w:szCs w:val="21"/>
              </w:rPr>
            </w:pPr>
            <w:r>
              <w:rPr>
                <w:rFonts w:hint="eastAsia"/>
                <w:sz w:val="21"/>
                <w:szCs w:val="21"/>
              </w:rPr>
              <w:t>/</w:t>
            </w:r>
          </w:p>
        </w:tc>
      </w:tr>
      <w:tr w14:paraId="14C7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4" w:hRule="atLeast"/>
        </w:trPr>
        <w:tc>
          <w:tcPr>
            <w:tcW w:w="1271" w:type="dxa"/>
            <w:vAlign w:val="center"/>
          </w:tcPr>
          <w:p w14:paraId="2AE95226">
            <w:pPr>
              <w:spacing w:line="360" w:lineRule="auto"/>
              <w:jc w:val="center"/>
              <w:rPr>
                <w:szCs w:val="24"/>
              </w:rPr>
            </w:pPr>
            <w:r>
              <w:rPr>
                <w:szCs w:val="24"/>
              </w:rPr>
              <w:t>水生生态</w:t>
            </w:r>
          </w:p>
        </w:tc>
        <w:tc>
          <w:tcPr>
            <w:tcW w:w="2268" w:type="dxa"/>
            <w:vAlign w:val="center"/>
          </w:tcPr>
          <w:p w14:paraId="339832F0">
            <w:pPr>
              <w:jc w:val="center"/>
              <w:rPr>
                <w:i/>
                <w:iCs/>
                <w:sz w:val="21"/>
                <w:szCs w:val="21"/>
                <w:u w:val="single"/>
              </w:rPr>
            </w:pPr>
            <w:r>
              <w:rPr>
                <w:rFonts w:hint="eastAsia"/>
                <w:i/>
                <w:iCs/>
                <w:sz w:val="21"/>
                <w:szCs w:val="21"/>
                <w:u w:val="single"/>
              </w:rPr>
              <w:t>①加强对施工人员自然保护教育；</w:t>
            </w:r>
          </w:p>
          <w:p w14:paraId="0F15447A">
            <w:pPr>
              <w:jc w:val="center"/>
              <w:rPr>
                <w:i/>
                <w:iCs/>
                <w:sz w:val="21"/>
                <w:szCs w:val="21"/>
                <w:u w:val="single"/>
              </w:rPr>
            </w:pPr>
            <w:r>
              <w:rPr>
                <w:rFonts w:hint="eastAsia"/>
                <w:i/>
                <w:iCs/>
                <w:sz w:val="21"/>
                <w:szCs w:val="21"/>
                <w:u w:val="single"/>
              </w:rPr>
              <w:t>②合理选择施工时期，建议避开鱼类产卵繁殖期及鱼苗摄食育肥期，或降低施工强度；</w:t>
            </w:r>
          </w:p>
          <w:p w14:paraId="70E6E7C4">
            <w:pPr>
              <w:jc w:val="center"/>
              <w:rPr>
                <w:i/>
                <w:iCs/>
                <w:sz w:val="21"/>
                <w:szCs w:val="21"/>
                <w:u w:val="single"/>
              </w:rPr>
            </w:pPr>
            <w:r>
              <w:rPr>
                <w:rFonts w:hint="eastAsia"/>
                <w:i/>
                <w:iCs/>
                <w:sz w:val="21"/>
                <w:szCs w:val="21"/>
                <w:u w:val="single"/>
              </w:rPr>
              <w:t>③优化施工工艺，缩短施工工期，控制施工范围，加强施工区域通航管理；</w:t>
            </w:r>
          </w:p>
          <w:p w14:paraId="5401442A">
            <w:pPr>
              <w:jc w:val="center"/>
              <w:rPr>
                <w:i/>
                <w:iCs/>
                <w:sz w:val="21"/>
                <w:szCs w:val="21"/>
                <w:u w:val="single"/>
              </w:rPr>
            </w:pPr>
            <w:r>
              <w:rPr>
                <w:rFonts w:hint="eastAsia"/>
                <w:i/>
                <w:iCs/>
                <w:sz w:val="21"/>
                <w:szCs w:val="21"/>
                <w:u w:val="single"/>
              </w:rPr>
              <w:t>④加强施工期“三废”的管理。</w:t>
            </w:r>
          </w:p>
        </w:tc>
        <w:tc>
          <w:tcPr>
            <w:tcW w:w="1438" w:type="dxa"/>
            <w:vAlign w:val="center"/>
          </w:tcPr>
          <w:p w14:paraId="4FA0F2CC">
            <w:pPr>
              <w:jc w:val="center"/>
              <w:rPr>
                <w:i/>
                <w:iCs/>
                <w:sz w:val="21"/>
                <w:szCs w:val="21"/>
                <w:u w:val="single"/>
              </w:rPr>
            </w:pPr>
            <w:r>
              <w:rPr>
                <w:rFonts w:hint="eastAsia"/>
                <w:i/>
                <w:iCs/>
                <w:sz w:val="21"/>
                <w:szCs w:val="21"/>
                <w:u w:val="single"/>
              </w:rPr>
              <w:t>不对水生生态造成破坏</w:t>
            </w:r>
          </w:p>
        </w:tc>
        <w:tc>
          <w:tcPr>
            <w:tcW w:w="1964" w:type="dxa"/>
            <w:vAlign w:val="center"/>
          </w:tcPr>
          <w:p w14:paraId="6C8F5965">
            <w:pPr>
              <w:jc w:val="center"/>
              <w:rPr>
                <w:sz w:val="21"/>
                <w:szCs w:val="21"/>
              </w:rPr>
            </w:pPr>
            <w:r>
              <w:rPr>
                <w:rFonts w:hint="eastAsia"/>
                <w:sz w:val="21"/>
                <w:szCs w:val="21"/>
              </w:rPr>
              <w:t>加强运营期往来船只及物料装卸管理，降低船只运行及物料装卸噪声强度。</w:t>
            </w:r>
          </w:p>
        </w:tc>
        <w:tc>
          <w:tcPr>
            <w:tcW w:w="1355" w:type="dxa"/>
            <w:vAlign w:val="center"/>
          </w:tcPr>
          <w:p w14:paraId="52655700">
            <w:pPr>
              <w:jc w:val="center"/>
              <w:rPr>
                <w:sz w:val="21"/>
                <w:szCs w:val="21"/>
              </w:rPr>
            </w:pPr>
            <w:r>
              <w:rPr>
                <w:rFonts w:hint="eastAsia"/>
                <w:sz w:val="21"/>
                <w:szCs w:val="21"/>
              </w:rPr>
              <w:t>/</w:t>
            </w:r>
          </w:p>
        </w:tc>
      </w:tr>
      <w:tr w14:paraId="7F53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271" w:type="dxa"/>
            <w:vAlign w:val="center"/>
          </w:tcPr>
          <w:p w14:paraId="431F2AAC">
            <w:pPr>
              <w:spacing w:line="360" w:lineRule="auto"/>
              <w:jc w:val="center"/>
              <w:rPr>
                <w:szCs w:val="24"/>
              </w:rPr>
            </w:pPr>
            <w:r>
              <w:rPr>
                <w:szCs w:val="24"/>
              </w:rPr>
              <w:t>地表水环境</w:t>
            </w:r>
          </w:p>
        </w:tc>
        <w:tc>
          <w:tcPr>
            <w:tcW w:w="2268" w:type="dxa"/>
            <w:vAlign w:val="center"/>
          </w:tcPr>
          <w:p w14:paraId="1DB4F210">
            <w:pPr>
              <w:jc w:val="center"/>
              <w:rPr>
                <w:sz w:val="21"/>
                <w:szCs w:val="21"/>
              </w:rPr>
            </w:pPr>
            <w:r>
              <w:rPr>
                <w:rFonts w:hint="eastAsia"/>
                <w:sz w:val="21"/>
                <w:szCs w:val="21"/>
              </w:rPr>
              <w:t>①船舶舱底油污水需经船舶自带的油水分离器处理后集中回收处理，没有安装油水分离器的小型船舶，其舱底油污水应暂存于船舶自备的容器中，并送油污水接收船或岸上的油污水接收单位接收处理，码头水域不得排放舱底油污水；</w:t>
            </w:r>
          </w:p>
          <w:p w14:paraId="1BEB1740">
            <w:pPr>
              <w:jc w:val="center"/>
              <w:rPr>
                <w:sz w:val="21"/>
                <w:szCs w:val="21"/>
              </w:rPr>
            </w:pPr>
            <w:r>
              <w:rPr>
                <w:rFonts w:hint="eastAsia"/>
                <w:sz w:val="21"/>
                <w:szCs w:val="21"/>
              </w:rPr>
              <w:t>②施工生产废水主要来自混凝土养护和施工机械冲洗等，施工场地设置防渗临时沉淀池（1座，容积5m³），经沉用水等，不外排；</w:t>
            </w:r>
          </w:p>
          <w:p w14:paraId="41B700AA">
            <w:pPr>
              <w:jc w:val="center"/>
              <w:rPr>
                <w:sz w:val="21"/>
                <w:szCs w:val="21"/>
              </w:rPr>
            </w:pPr>
            <w:r>
              <w:rPr>
                <w:rFonts w:hint="eastAsia"/>
                <w:sz w:val="21"/>
                <w:szCs w:val="21"/>
              </w:rPr>
              <w:t>③施工期的生活污水采用移动式防渗旱厕收集，定情清掏处理。</w:t>
            </w:r>
          </w:p>
        </w:tc>
        <w:tc>
          <w:tcPr>
            <w:tcW w:w="1438" w:type="dxa"/>
            <w:vAlign w:val="center"/>
          </w:tcPr>
          <w:p w14:paraId="24A16415">
            <w:pPr>
              <w:jc w:val="center"/>
              <w:rPr>
                <w:sz w:val="21"/>
                <w:szCs w:val="21"/>
              </w:rPr>
            </w:pPr>
            <w:r>
              <w:rPr>
                <w:rFonts w:hint="eastAsia"/>
                <w:sz w:val="21"/>
                <w:szCs w:val="21"/>
              </w:rPr>
              <w:t>废水不外排</w:t>
            </w:r>
          </w:p>
        </w:tc>
        <w:tc>
          <w:tcPr>
            <w:tcW w:w="1964" w:type="dxa"/>
            <w:vAlign w:val="center"/>
          </w:tcPr>
          <w:p w14:paraId="4F7A420E">
            <w:pPr>
              <w:jc w:val="center"/>
              <w:rPr>
                <w:i/>
                <w:iCs/>
                <w:sz w:val="21"/>
                <w:szCs w:val="21"/>
                <w:u w:val="single"/>
              </w:rPr>
            </w:pPr>
            <w:r>
              <w:rPr>
                <w:rFonts w:hint="eastAsia"/>
                <w:i/>
                <w:iCs/>
                <w:sz w:val="21"/>
                <w:szCs w:val="21"/>
                <w:u w:val="single"/>
              </w:rPr>
              <w:t>①除快艇以外，其余码头来往船舶均应配备油水分离器，对油污水进行处理，快艇油污水在船内暂存，于船舶靠岸后定期采用吸污车集中将含油污水抽出并委托长春市瀚拓工业有限公司进行处理，不在码头内暂存。因故不能自行处理时，其舱底油污水应暂存于船舶自备的容器中，并送油污水接收船或岸上的油污水接收单位接收处理；</w:t>
            </w:r>
          </w:p>
          <w:p w14:paraId="7ED53635">
            <w:pPr>
              <w:jc w:val="center"/>
              <w:rPr>
                <w:i/>
                <w:iCs/>
                <w:sz w:val="21"/>
                <w:szCs w:val="21"/>
                <w:u w:val="single"/>
              </w:rPr>
            </w:pPr>
            <w:r>
              <w:rPr>
                <w:rFonts w:hint="eastAsia"/>
                <w:i/>
                <w:iCs/>
                <w:sz w:val="21"/>
                <w:szCs w:val="21"/>
                <w:u w:val="single"/>
              </w:rPr>
              <w:t>②工作人员生活污水排入防渗污水暂存池内，食堂废水经隔油处理后，连同生活污水一并委托临江市污水处理厂处理；</w:t>
            </w:r>
          </w:p>
          <w:p w14:paraId="5E8949CD">
            <w:pPr>
              <w:jc w:val="center"/>
              <w:rPr>
                <w:i/>
                <w:iCs/>
                <w:sz w:val="21"/>
                <w:szCs w:val="21"/>
                <w:u w:val="single"/>
              </w:rPr>
            </w:pPr>
            <w:r>
              <w:rPr>
                <w:rFonts w:hint="eastAsia"/>
                <w:i/>
                <w:iCs/>
                <w:sz w:val="21"/>
                <w:szCs w:val="21"/>
                <w:u w:val="single"/>
              </w:rPr>
              <w:t>③船舶上岸后的冲洗水收集并暂存于冲洗废水收集池内，委托临江市污水处理厂处理</w:t>
            </w:r>
          </w:p>
        </w:tc>
        <w:tc>
          <w:tcPr>
            <w:tcW w:w="1355" w:type="dxa"/>
            <w:vAlign w:val="center"/>
          </w:tcPr>
          <w:p w14:paraId="53E124F3">
            <w:pPr>
              <w:jc w:val="center"/>
              <w:rPr>
                <w:sz w:val="21"/>
                <w:szCs w:val="21"/>
              </w:rPr>
            </w:pPr>
            <w:r>
              <w:rPr>
                <w:rFonts w:hint="eastAsia"/>
                <w:sz w:val="21"/>
                <w:szCs w:val="21"/>
              </w:rPr>
              <w:t>/</w:t>
            </w:r>
          </w:p>
        </w:tc>
      </w:tr>
      <w:tr w14:paraId="0D61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A8532CA">
            <w:pPr>
              <w:spacing w:line="360" w:lineRule="auto"/>
              <w:jc w:val="center"/>
              <w:rPr>
                <w:szCs w:val="24"/>
              </w:rPr>
            </w:pPr>
            <w:r>
              <w:rPr>
                <w:szCs w:val="24"/>
              </w:rPr>
              <w:t>地下水及土壤环境</w:t>
            </w:r>
          </w:p>
        </w:tc>
        <w:tc>
          <w:tcPr>
            <w:tcW w:w="2268" w:type="dxa"/>
            <w:vAlign w:val="center"/>
          </w:tcPr>
          <w:p w14:paraId="22FA3525">
            <w:pPr>
              <w:jc w:val="center"/>
              <w:rPr>
                <w:sz w:val="21"/>
                <w:szCs w:val="21"/>
              </w:rPr>
            </w:pPr>
            <w:r>
              <w:rPr>
                <w:rFonts w:hint="eastAsia"/>
                <w:sz w:val="21"/>
                <w:szCs w:val="21"/>
              </w:rPr>
              <w:t>/</w:t>
            </w:r>
          </w:p>
        </w:tc>
        <w:tc>
          <w:tcPr>
            <w:tcW w:w="1438" w:type="dxa"/>
            <w:vAlign w:val="center"/>
          </w:tcPr>
          <w:p w14:paraId="73D58409">
            <w:pPr>
              <w:jc w:val="center"/>
              <w:rPr>
                <w:sz w:val="21"/>
                <w:szCs w:val="21"/>
              </w:rPr>
            </w:pPr>
            <w:r>
              <w:rPr>
                <w:rFonts w:hint="eastAsia"/>
                <w:sz w:val="21"/>
                <w:szCs w:val="21"/>
              </w:rPr>
              <w:t>/</w:t>
            </w:r>
          </w:p>
        </w:tc>
        <w:tc>
          <w:tcPr>
            <w:tcW w:w="1964" w:type="dxa"/>
            <w:vAlign w:val="center"/>
          </w:tcPr>
          <w:p w14:paraId="613744EE">
            <w:pPr>
              <w:jc w:val="center"/>
              <w:rPr>
                <w:sz w:val="21"/>
                <w:szCs w:val="21"/>
              </w:rPr>
            </w:pPr>
            <w:r>
              <w:rPr>
                <w:rFonts w:hint="eastAsia"/>
                <w:sz w:val="21"/>
                <w:szCs w:val="21"/>
              </w:rPr>
              <w:t>/</w:t>
            </w:r>
          </w:p>
        </w:tc>
        <w:tc>
          <w:tcPr>
            <w:tcW w:w="1355" w:type="dxa"/>
            <w:vAlign w:val="center"/>
          </w:tcPr>
          <w:p w14:paraId="205C3B73">
            <w:pPr>
              <w:jc w:val="center"/>
              <w:rPr>
                <w:sz w:val="21"/>
                <w:szCs w:val="21"/>
              </w:rPr>
            </w:pPr>
            <w:r>
              <w:rPr>
                <w:rFonts w:hint="eastAsia"/>
                <w:sz w:val="21"/>
                <w:szCs w:val="21"/>
              </w:rPr>
              <w:t>/</w:t>
            </w:r>
          </w:p>
        </w:tc>
      </w:tr>
      <w:tr w14:paraId="498B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trPr>
        <w:tc>
          <w:tcPr>
            <w:tcW w:w="1271" w:type="dxa"/>
            <w:vAlign w:val="center"/>
          </w:tcPr>
          <w:p w14:paraId="6DCDF9BC">
            <w:pPr>
              <w:spacing w:line="360" w:lineRule="auto"/>
              <w:jc w:val="center"/>
              <w:rPr>
                <w:szCs w:val="24"/>
              </w:rPr>
            </w:pPr>
            <w:r>
              <w:rPr>
                <w:szCs w:val="24"/>
              </w:rPr>
              <w:t>声环境</w:t>
            </w:r>
          </w:p>
        </w:tc>
        <w:tc>
          <w:tcPr>
            <w:tcW w:w="2268" w:type="dxa"/>
            <w:vAlign w:val="center"/>
          </w:tcPr>
          <w:p w14:paraId="11F2A5A0">
            <w:pPr>
              <w:jc w:val="center"/>
              <w:rPr>
                <w:sz w:val="21"/>
                <w:szCs w:val="21"/>
              </w:rPr>
            </w:pPr>
            <w:r>
              <w:rPr>
                <w:rFonts w:hint="eastAsia"/>
                <w:sz w:val="21"/>
                <w:szCs w:val="21"/>
              </w:rPr>
              <w:t>选用低噪声机械并加强维护；合理安排施工时间；文明施工；合理布设噪声源</w:t>
            </w:r>
          </w:p>
        </w:tc>
        <w:tc>
          <w:tcPr>
            <w:tcW w:w="1438" w:type="dxa"/>
            <w:vAlign w:val="center"/>
          </w:tcPr>
          <w:p w14:paraId="24C89636">
            <w:pPr>
              <w:jc w:val="center"/>
              <w:rPr>
                <w:sz w:val="21"/>
                <w:szCs w:val="21"/>
              </w:rPr>
            </w:pPr>
            <w:r>
              <w:rPr>
                <w:rFonts w:hint="eastAsia"/>
                <w:sz w:val="21"/>
                <w:szCs w:val="21"/>
              </w:rPr>
              <w:t>满足《建筑施工场界环境噪声排放标准》（GB 12523-2025）标准</w:t>
            </w:r>
          </w:p>
        </w:tc>
        <w:tc>
          <w:tcPr>
            <w:tcW w:w="1964" w:type="dxa"/>
            <w:vAlign w:val="center"/>
          </w:tcPr>
          <w:p w14:paraId="3E375A1A">
            <w:pPr>
              <w:jc w:val="center"/>
              <w:rPr>
                <w:sz w:val="21"/>
                <w:szCs w:val="21"/>
              </w:rPr>
            </w:pPr>
            <w:r>
              <w:rPr>
                <w:rFonts w:hint="eastAsia"/>
                <w:sz w:val="21"/>
                <w:szCs w:val="21"/>
              </w:rPr>
              <w:t>选用低噪声设备并加强维护</w:t>
            </w:r>
          </w:p>
        </w:tc>
        <w:tc>
          <w:tcPr>
            <w:tcW w:w="1355" w:type="dxa"/>
            <w:vAlign w:val="center"/>
          </w:tcPr>
          <w:p w14:paraId="6C887208">
            <w:pPr>
              <w:jc w:val="center"/>
              <w:rPr>
                <w:sz w:val="21"/>
                <w:szCs w:val="21"/>
              </w:rPr>
            </w:pPr>
            <w:r>
              <w:rPr>
                <w:rFonts w:hint="eastAsia"/>
                <w:sz w:val="21"/>
                <w:szCs w:val="21"/>
              </w:rPr>
              <w:t>《工业企业厂界环境噪声排放标准》（GB 12348-2008）中1类、4类标准</w:t>
            </w:r>
          </w:p>
        </w:tc>
      </w:tr>
      <w:tr w14:paraId="0E7A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9CF871A">
            <w:pPr>
              <w:spacing w:line="360" w:lineRule="auto"/>
              <w:jc w:val="center"/>
              <w:rPr>
                <w:szCs w:val="24"/>
              </w:rPr>
            </w:pPr>
            <w:r>
              <w:rPr>
                <w:szCs w:val="24"/>
              </w:rPr>
              <w:t>振动</w:t>
            </w:r>
          </w:p>
        </w:tc>
        <w:tc>
          <w:tcPr>
            <w:tcW w:w="2268" w:type="dxa"/>
            <w:vAlign w:val="center"/>
          </w:tcPr>
          <w:p w14:paraId="797E9C0D">
            <w:pPr>
              <w:jc w:val="center"/>
              <w:rPr>
                <w:sz w:val="21"/>
                <w:szCs w:val="21"/>
              </w:rPr>
            </w:pPr>
            <w:r>
              <w:rPr>
                <w:rFonts w:hint="eastAsia"/>
                <w:sz w:val="21"/>
                <w:szCs w:val="21"/>
              </w:rPr>
              <w:t>/</w:t>
            </w:r>
          </w:p>
        </w:tc>
        <w:tc>
          <w:tcPr>
            <w:tcW w:w="1438" w:type="dxa"/>
            <w:vAlign w:val="center"/>
          </w:tcPr>
          <w:p w14:paraId="093593FD">
            <w:pPr>
              <w:jc w:val="center"/>
              <w:rPr>
                <w:sz w:val="21"/>
                <w:szCs w:val="21"/>
              </w:rPr>
            </w:pPr>
            <w:r>
              <w:rPr>
                <w:rFonts w:hint="eastAsia"/>
                <w:sz w:val="21"/>
                <w:szCs w:val="21"/>
              </w:rPr>
              <w:t>/</w:t>
            </w:r>
          </w:p>
        </w:tc>
        <w:tc>
          <w:tcPr>
            <w:tcW w:w="1964" w:type="dxa"/>
            <w:vAlign w:val="center"/>
          </w:tcPr>
          <w:p w14:paraId="677B0EB9">
            <w:pPr>
              <w:jc w:val="center"/>
              <w:rPr>
                <w:sz w:val="21"/>
                <w:szCs w:val="21"/>
              </w:rPr>
            </w:pPr>
            <w:r>
              <w:rPr>
                <w:rFonts w:hint="eastAsia"/>
                <w:sz w:val="21"/>
                <w:szCs w:val="21"/>
              </w:rPr>
              <w:t>/</w:t>
            </w:r>
          </w:p>
        </w:tc>
        <w:tc>
          <w:tcPr>
            <w:tcW w:w="1355" w:type="dxa"/>
            <w:vAlign w:val="center"/>
          </w:tcPr>
          <w:p w14:paraId="76F0C9C9">
            <w:pPr>
              <w:jc w:val="center"/>
              <w:rPr>
                <w:sz w:val="21"/>
                <w:szCs w:val="21"/>
              </w:rPr>
            </w:pPr>
            <w:r>
              <w:rPr>
                <w:rFonts w:hint="eastAsia"/>
                <w:sz w:val="21"/>
                <w:szCs w:val="21"/>
              </w:rPr>
              <w:t>/</w:t>
            </w:r>
          </w:p>
        </w:tc>
      </w:tr>
      <w:tr w14:paraId="4299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8" w:hRule="atLeast"/>
        </w:trPr>
        <w:tc>
          <w:tcPr>
            <w:tcW w:w="1271" w:type="dxa"/>
            <w:vAlign w:val="center"/>
          </w:tcPr>
          <w:p w14:paraId="7FBDE596">
            <w:pPr>
              <w:spacing w:line="360" w:lineRule="auto"/>
              <w:jc w:val="center"/>
              <w:rPr>
                <w:szCs w:val="24"/>
              </w:rPr>
            </w:pPr>
            <w:r>
              <w:rPr>
                <w:szCs w:val="24"/>
              </w:rPr>
              <w:t>大气环境</w:t>
            </w:r>
          </w:p>
        </w:tc>
        <w:tc>
          <w:tcPr>
            <w:tcW w:w="2268" w:type="dxa"/>
            <w:vAlign w:val="center"/>
          </w:tcPr>
          <w:p w14:paraId="64CAF945">
            <w:pPr>
              <w:jc w:val="center"/>
              <w:rPr>
                <w:sz w:val="21"/>
                <w:szCs w:val="21"/>
              </w:rPr>
            </w:pPr>
            <w:r>
              <w:rPr>
                <w:rFonts w:hint="eastAsia"/>
                <w:sz w:val="21"/>
                <w:szCs w:val="21"/>
              </w:rPr>
              <w:t>①施工区四周建设围挡；</w:t>
            </w:r>
          </w:p>
          <w:p w14:paraId="246BE09D">
            <w:pPr>
              <w:jc w:val="center"/>
              <w:rPr>
                <w:sz w:val="21"/>
                <w:szCs w:val="21"/>
              </w:rPr>
            </w:pPr>
            <w:r>
              <w:rPr>
                <w:rFonts w:hint="eastAsia"/>
                <w:sz w:val="21"/>
                <w:szCs w:val="21"/>
              </w:rPr>
              <w:t>②建筑材料于场内堆存需采取加盖篷布等防尘抑尘措施；</w:t>
            </w:r>
          </w:p>
          <w:p w14:paraId="58B2E7E7">
            <w:pPr>
              <w:jc w:val="center"/>
              <w:rPr>
                <w:sz w:val="21"/>
                <w:szCs w:val="21"/>
              </w:rPr>
            </w:pPr>
            <w:r>
              <w:rPr>
                <w:rFonts w:hint="eastAsia"/>
                <w:sz w:val="21"/>
                <w:szCs w:val="21"/>
              </w:rPr>
              <w:t>③施工现场采取必要的洒水措施；</w:t>
            </w:r>
          </w:p>
          <w:p w14:paraId="6B834DB1">
            <w:pPr>
              <w:jc w:val="center"/>
              <w:rPr>
                <w:sz w:val="21"/>
                <w:szCs w:val="21"/>
              </w:rPr>
            </w:pPr>
            <w:r>
              <w:rPr>
                <w:rFonts w:hint="eastAsia"/>
                <w:sz w:val="21"/>
                <w:szCs w:val="21"/>
              </w:rPr>
              <w:t>④施工物料运输车辆要加盖篷布、控制车速，卸车时尽量减少落差，减少扬尘；</w:t>
            </w:r>
          </w:p>
          <w:p w14:paraId="331DB151">
            <w:pPr>
              <w:jc w:val="center"/>
              <w:rPr>
                <w:sz w:val="21"/>
                <w:szCs w:val="21"/>
              </w:rPr>
            </w:pPr>
            <w:r>
              <w:rPr>
                <w:rFonts w:hint="eastAsia"/>
                <w:sz w:val="21"/>
                <w:szCs w:val="21"/>
              </w:rPr>
              <w:t>⑤对施工机械、车辆加强维护，减少尾气排放。</w:t>
            </w:r>
          </w:p>
        </w:tc>
        <w:tc>
          <w:tcPr>
            <w:tcW w:w="1438" w:type="dxa"/>
            <w:vAlign w:val="center"/>
          </w:tcPr>
          <w:p w14:paraId="152833CA">
            <w:pPr>
              <w:jc w:val="center"/>
              <w:rPr>
                <w:sz w:val="21"/>
                <w:szCs w:val="21"/>
              </w:rPr>
            </w:pPr>
            <w:r>
              <w:rPr>
                <w:rFonts w:hint="eastAsia"/>
                <w:sz w:val="21"/>
                <w:szCs w:val="21"/>
              </w:rPr>
              <w:t>施工场地满足《大气污染物综合排放标准》（GB 16297-1996）无组织排放监控浓度限值</w:t>
            </w:r>
          </w:p>
        </w:tc>
        <w:tc>
          <w:tcPr>
            <w:tcW w:w="1964" w:type="dxa"/>
            <w:vAlign w:val="center"/>
          </w:tcPr>
          <w:p w14:paraId="3430ABDE">
            <w:pPr>
              <w:jc w:val="center"/>
              <w:rPr>
                <w:sz w:val="21"/>
                <w:szCs w:val="21"/>
              </w:rPr>
            </w:pPr>
            <w:r>
              <w:rPr>
                <w:rFonts w:hint="eastAsia"/>
                <w:sz w:val="21"/>
                <w:szCs w:val="21"/>
              </w:rPr>
              <w:t>①码头来往船舶选用含硫量低的柴油为燃料；</w:t>
            </w:r>
          </w:p>
          <w:p w14:paraId="562FDF3A">
            <w:pPr>
              <w:jc w:val="center"/>
              <w:rPr>
                <w:sz w:val="21"/>
                <w:szCs w:val="21"/>
              </w:rPr>
            </w:pPr>
            <w:r>
              <w:rPr>
                <w:rFonts w:hint="eastAsia"/>
                <w:sz w:val="21"/>
                <w:szCs w:val="21"/>
              </w:rPr>
              <w:t>②尽量选择低毒、环保型焊接材料；</w:t>
            </w:r>
          </w:p>
          <w:p w14:paraId="4529B098">
            <w:pPr>
              <w:jc w:val="center"/>
              <w:rPr>
                <w:sz w:val="21"/>
                <w:szCs w:val="21"/>
              </w:rPr>
            </w:pPr>
            <w:r>
              <w:rPr>
                <w:rFonts w:hint="eastAsia"/>
                <w:sz w:val="21"/>
                <w:szCs w:val="21"/>
              </w:rPr>
              <w:t>③食堂安装高效油烟净化装置；</w:t>
            </w:r>
          </w:p>
          <w:p w14:paraId="42578B2C">
            <w:pPr>
              <w:jc w:val="center"/>
              <w:rPr>
                <w:sz w:val="21"/>
                <w:szCs w:val="21"/>
              </w:rPr>
            </w:pPr>
            <w:r>
              <w:rPr>
                <w:rFonts w:hint="eastAsia"/>
                <w:sz w:val="21"/>
                <w:szCs w:val="21"/>
              </w:rPr>
              <w:t>④疏浚物堆放过程中加强表面苫盖及设置围挡。</w:t>
            </w:r>
          </w:p>
        </w:tc>
        <w:tc>
          <w:tcPr>
            <w:tcW w:w="1355" w:type="dxa"/>
            <w:vAlign w:val="center"/>
          </w:tcPr>
          <w:p w14:paraId="619036E2">
            <w:pPr>
              <w:jc w:val="center"/>
              <w:rPr>
                <w:sz w:val="21"/>
                <w:szCs w:val="21"/>
              </w:rPr>
            </w:pPr>
            <w:r>
              <w:rPr>
                <w:rFonts w:hint="eastAsia"/>
                <w:sz w:val="21"/>
                <w:szCs w:val="21"/>
              </w:rPr>
              <w:t>①维修废气满足《大气污染物综合排放标准》（GB 16297-1996）无组织排放监控浓度限值；</w:t>
            </w:r>
          </w:p>
          <w:p w14:paraId="3382F911">
            <w:pPr>
              <w:jc w:val="center"/>
              <w:rPr>
                <w:sz w:val="21"/>
                <w:szCs w:val="21"/>
              </w:rPr>
            </w:pPr>
            <w:r>
              <w:rPr>
                <w:rFonts w:hint="eastAsia"/>
                <w:sz w:val="21"/>
                <w:szCs w:val="21"/>
              </w:rPr>
              <w:t>②《饮食业油烟排放标准（试行）》（GB 18483-2001）中小型的排放限值要求</w:t>
            </w:r>
          </w:p>
        </w:tc>
      </w:tr>
      <w:tr w14:paraId="5F81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trPr>
        <w:tc>
          <w:tcPr>
            <w:tcW w:w="1271" w:type="dxa"/>
            <w:vAlign w:val="center"/>
          </w:tcPr>
          <w:p w14:paraId="221DE984">
            <w:pPr>
              <w:spacing w:line="360" w:lineRule="auto"/>
              <w:jc w:val="center"/>
              <w:rPr>
                <w:szCs w:val="24"/>
              </w:rPr>
            </w:pPr>
            <w:r>
              <w:rPr>
                <w:szCs w:val="24"/>
              </w:rPr>
              <w:t>固体废物</w:t>
            </w:r>
          </w:p>
        </w:tc>
        <w:tc>
          <w:tcPr>
            <w:tcW w:w="2268" w:type="dxa"/>
            <w:vAlign w:val="center"/>
          </w:tcPr>
          <w:p w14:paraId="70943E06">
            <w:pPr>
              <w:jc w:val="center"/>
              <w:rPr>
                <w:sz w:val="21"/>
                <w:szCs w:val="21"/>
              </w:rPr>
            </w:pPr>
            <w:r>
              <w:rPr>
                <w:rFonts w:hint="eastAsia"/>
                <w:sz w:val="21"/>
                <w:szCs w:val="21"/>
              </w:rPr>
              <w:t>生活垃圾由环卫部门统一清运处理；建筑废料运至指定的建筑垃圾处置场处置</w:t>
            </w:r>
          </w:p>
        </w:tc>
        <w:tc>
          <w:tcPr>
            <w:tcW w:w="1438" w:type="dxa"/>
            <w:vAlign w:val="center"/>
          </w:tcPr>
          <w:p w14:paraId="021C5A8E">
            <w:pPr>
              <w:jc w:val="center"/>
              <w:rPr>
                <w:sz w:val="21"/>
                <w:szCs w:val="21"/>
              </w:rPr>
            </w:pPr>
            <w:r>
              <w:rPr>
                <w:rFonts w:hint="eastAsia"/>
                <w:sz w:val="21"/>
                <w:szCs w:val="21"/>
              </w:rPr>
              <w:t>落实相关措施，不产生二次污染</w:t>
            </w:r>
          </w:p>
        </w:tc>
        <w:tc>
          <w:tcPr>
            <w:tcW w:w="1964" w:type="dxa"/>
            <w:vAlign w:val="center"/>
          </w:tcPr>
          <w:p w14:paraId="58FE33E7">
            <w:pPr>
              <w:jc w:val="center"/>
              <w:rPr>
                <w:sz w:val="21"/>
                <w:szCs w:val="21"/>
              </w:rPr>
            </w:pPr>
            <w:r>
              <w:rPr>
                <w:rFonts w:hint="eastAsia"/>
                <w:sz w:val="21"/>
                <w:szCs w:val="21"/>
              </w:rPr>
              <w:t>①装卸固废集中收集连同疏浚砂石一并外运出码头综合利用；</w:t>
            </w:r>
          </w:p>
          <w:p w14:paraId="0799D7B5">
            <w:pPr>
              <w:jc w:val="center"/>
              <w:rPr>
                <w:sz w:val="21"/>
                <w:szCs w:val="21"/>
              </w:rPr>
            </w:pPr>
            <w:r>
              <w:rPr>
                <w:rFonts w:hint="eastAsia"/>
                <w:sz w:val="21"/>
                <w:szCs w:val="21"/>
              </w:rPr>
              <w:t>②生活垃圾集中收集，并交由环卫部门统一进行处理；</w:t>
            </w:r>
          </w:p>
          <w:p w14:paraId="6023B695">
            <w:pPr>
              <w:jc w:val="center"/>
              <w:rPr>
                <w:sz w:val="21"/>
                <w:szCs w:val="21"/>
              </w:rPr>
            </w:pPr>
            <w:r>
              <w:rPr>
                <w:rFonts w:hint="eastAsia"/>
                <w:sz w:val="21"/>
                <w:szCs w:val="21"/>
              </w:rPr>
              <w:t>③食堂隔油固废集中收集并委托有资质单位统一处理；</w:t>
            </w:r>
          </w:p>
          <w:p w14:paraId="14CA9C21">
            <w:pPr>
              <w:jc w:val="center"/>
              <w:rPr>
                <w:sz w:val="21"/>
                <w:szCs w:val="21"/>
              </w:rPr>
            </w:pPr>
            <w:r>
              <w:rPr>
                <w:rFonts w:hint="eastAsia"/>
                <w:sz w:val="21"/>
                <w:szCs w:val="21"/>
              </w:rPr>
              <w:t>④船舶含油废水分离的废油于危废仓内暂存，最终委托资质单位统一处理。</w:t>
            </w:r>
          </w:p>
        </w:tc>
        <w:tc>
          <w:tcPr>
            <w:tcW w:w="1355" w:type="dxa"/>
            <w:vAlign w:val="center"/>
          </w:tcPr>
          <w:p w14:paraId="3BD46DB7">
            <w:pPr>
              <w:jc w:val="center"/>
              <w:rPr>
                <w:sz w:val="21"/>
                <w:szCs w:val="21"/>
              </w:rPr>
            </w:pPr>
            <w:r>
              <w:rPr>
                <w:rFonts w:hint="eastAsia"/>
                <w:sz w:val="21"/>
                <w:szCs w:val="21"/>
              </w:rPr>
              <w:t>回收处置率</w:t>
            </w:r>
            <w:r>
              <w:rPr>
                <w:sz w:val="21"/>
                <w:szCs w:val="21"/>
              </w:rPr>
              <w:t>100%</w:t>
            </w:r>
          </w:p>
        </w:tc>
      </w:tr>
      <w:tr w14:paraId="35F6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39AC763">
            <w:pPr>
              <w:spacing w:line="360" w:lineRule="auto"/>
              <w:jc w:val="center"/>
              <w:rPr>
                <w:szCs w:val="24"/>
              </w:rPr>
            </w:pPr>
            <w:r>
              <w:rPr>
                <w:szCs w:val="24"/>
              </w:rPr>
              <w:t>电磁环境</w:t>
            </w:r>
          </w:p>
        </w:tc>
        <w:tc>
          <w:tcPr>
            <w:tcW w:w="2268" w:type="dxa"/>
            <w:vAlign w:val="center"/>
          </w:tcPr>
          <w:p w14:paraId="33DFE3CD">
            <w:pPr>
              <w:jc w:val="center"/>
              <w:rPr>
                <w:sz w:val="21"/>
                <w:szCs w:val="21"/>
              </w:rPr>
            </w:pPr>
            <w:r>
              <w:rPr>
                <w:rFonts w:hint="eastAsia"/>
                <w:sz w:val="21"/>
                <w:szCs w:val="21"/>
              </w:rPr>
              <w:t>/</w:t>
            </w:r>
          </w:p>
        </w:tc>
        <w:tc>
          <w:tcPr>
            <w:tcW w:w="1438" w:type="dxa"/>
            <w:vAlign w:val="center"/>
          </w:tcPr>
          <w:p w14:paraId="2F330A36">
            <w:pPr>
              <w:jc w:val="center"/>
              <w:rPr>
                <w:sz w:val="21"/>
                <w:szCs w:val="21"/>
              </w:rPr>
            </w:pPr>
            <w:r>
              <w:rPr>
                <w:rFonts w:hint="eastAsia"/>
                <w:sz w:val="21"/>
                <w:szCs w:val="21"/>
              </w:rPr>
              <w:t>/</w:t>
            </w:r>
          </w:p>
        </w:tc>
        <w:tc>
          <w:tcPr>
            <w:tcW w:w="1964" w:type="dxa"/>
            <w:vAlign w:val="center"/>
          </w:tcPr>
          <w:p w14:paraId="541B922E">
            <w:pPr>
              <w:jc w:val="center"/>
              <w:rPr>
                <w:sz w:val="21"/>
                <w:szCs w:val="21"/>
              </w:rPr>
            </w:pPr>
            <w:r>
              <w:rPr>
                <w:rFonts w:hint="eastAsia"/>
                <w:sz w:val="21"/>
                <w:szCs w:val="21"/>
              </w:rPr>
              <w:t>/</w:t>
            </w:r>
          </w:p>
        </w:tc>
        <w:tc>
          <w:tcPr>
            <w:tcW w:w="1355" w:type="dxa"/>
            <w:vAlign w:val="center"/>
          </w:tcPr>
          <w:p w14:paraId="40C3E360">
            <w:pPr>
              <w:jc w:val="center"/>
              <w:rPr>
                <w:sz w:val="21"/>
                <w:szCs w:val="21"/>
              </w:rPr>
            </w:pPr>
            <w:r>
              <w:rPr>
                <w:rFonts w:hint="eastAsia"/>
                <w:sz w:val="21"/>
                <w:szCs w:val="21"/>
              </w:rPr>
              <w:t>/</w:t>
            </w:r>
          </w:p>
        </w:tc>
      </w:tr>
      <w:tr w14:paraId="684E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271" w:type="dxa"/>
            <w:vAlign w:val="center"/>
          </w:tcPr>
          <w:p w14:paraId="53483170">
            <w:pPr>
              <w:spacing w:line="360" w:lineRule="auto"/>
              <w:jc w:val="center"/>
              <w:rPr>
                <w:szCs w:val="24"/>
              </w:rPr>
            </w:pPr>
            <w:r>
              <w:rPr>
                <w:szCs w:val="24"/>
              </w:rPr>
              <w:t>环境风险</w:t>
            </w:r>
          </w:p>
        </w:tc>
        <w:tc>
          <w:tcPr>
            <w:tcW w:w="2268" w:type="dxa"/>
            <w:vAlign w:val="center"/>
          </w:tcPr>
          <w:p w14:paraId="139D76F3">
            <w:pPr>
              <w:jc w:val="center"/>
              <w:rPr>
                <w:sz w:val="21"/>
                <w:szCs w:val="21"/>
              </w:rPr>
            </w:pPr>
            <w:r>
              <w:rPr>
                <w:rFonts w:hint="eastAsia"/>
                <w:sz w:val="21"/>
                <w:szCs w:val="21"/>
              </w:rPr>
              <w:t>/</w:t>
            </w:r>
          </w:p>
        </w:tc>
        <w:tc>
          <w:tcPr>
            <w:tcW w:w="1438" w:type="dxa"/>
            <w:vAlign w:val="center"/>
          </w:tcPr>
          <w:p w14:paraId="1AE8F2EA">
            <w:pPr>
              <w:jc w:val="center"/>
              <w:rPr>
                <w:sz w:val="21"/>
                <w:szCs w:val="21"/>
              </w:rPr>
            </w:pPr>
            <w:r>
              <w:rPr>
                <w:rFonts w:hint="eastAsia"/>
                <w:sz w:val="21"/>
                <w:szCs w:val="21"/>
              </w:rPr>
              <w:t>/</w:t>
            </w:r>
          </w:p>
        </w:tc>
        <w:tc>
          <w:tcPr>
            <w:tcW w:w="1964" w:type="dxa"/>
            <w:vAlign w:val="center"/>
          </w:tcPr>
          <w:p w14:paraId="75BBBC0B">
            <w:pPr>
              <w:jc w:val="center"/>
              <w:rPr>
                <w:sz w:val="21"/>
                <w:szCs w:val="21"/>
              </w:rPr>
            </w:pPr>
            <w:r>
              <w:rPr>
                <w:rFonts w:hint="eastAsia"/>
                <w:sz w:val="21"/>
                <w:szCs w:val="21"/>
              </w:rPr>
              <w:t>制定突发环境事件应急预案，配备应急设施及物资，定期开展应急演练</w:t>
            </w:r>
          </w:p>
        </w:tc>
        <w:tc>
          <w:tcPr>
            <w:tcW w:w="1355" w:type="dxa"/>
            <w:vAlign w:val="center"/>
          </w:tcPr>
          <w:p w14:paraId="3E29E550">
            <w:pPr>
              <w:jc w:val="center"/>
              <w:rPr>
                <w:sz w:val="21"/>
                <w:szCs w:val="21"/>
              </w:rPr>
            </w:pPr>
            <w:r>
              <w:rPr>
                <w:rFonts w:hint="eastAsia"/>
                <w:sz w:val="21"/>
                <w:szCs w:val="21"/>
              </w:rPr>
              <w:t>/</w:t>
            </w:r>
          </w:p>
        </w:tc>
      </w:tr>
      <w:tr w14:paraId="362E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1" w:hRule="atLeast"/>
        </w:trPr>
        <w:tc>
          <w:tcPr>
            <w:tcW w:w="1271" w:type="dxa"/>
            <w:vAlign w:val="center"/>
          </w:tcPr>
          <w:p w14:paraId="38541898">
            <w:pPr>
              <w:spacing w:line="360" w:lineRule="auto"/>
              <w:jc w:val="center"/>
              <w:rPr>
                <w:szCs w:val="24"/>
              </w:rPr>
            </w:pPr>
            <w:r>
              <w:rPr>
                <w:szCs w:val="24"/>
              </w:rPr>
              <w:t>环境监测</w:t>
            </w:r>
          </w:p>
        </w:tc>
        <w:tc>
          <w:tcPr>
            <w:tcW w:w="2268" w:type="dxa"/>
            <w:vAlign w:val="center"/>
          </w:tcPr>
          <w:p w14:paraId="0D40559D">
            <w:pPr>
              <w:jc w:val="center"/>
              <w:rPr>
                <w:sz w:val="21"/>
                <w:szCs w:val="21"/>
              </w:rPr>
            </w:pPr>
            <w:r>
              <w:rPr>
                <w:rFonts w:hint="eastAsia"/>
                <w:sz w:val="21"/>
                <w:szCs w:val="21"/>
              </w:rPr>
              <w:t>/</w:t>
            </w:r>
          </w:p>
        </w:tc>
        <w:tc>
          <w:tcPr>
            <w:tcW w:w="1438" w:type="dxa"/>
            <w:vAlign w:val="center"/>
          </w:tcPr>
          <w:p w14:paraId="78212C11">
            <w:pPr>
              <w:jc w:val="center"/>
              <w:rPr>
                <w:sz w:val="21"/>
                <w:szCs w:val="21"/>
              </w:rPr>
            </w:pPr>
            <w:r>
              <w:rPr>
                <w:rFonts w:hint="eastAsia"/>
                <w:sz w:val="21"/>
                <w:szCs w:val="21"/>
              </w:rPr>
              <w:t>/</w:t>
            </w:r>
          </w:p>
        </w:tc>
        <w:tc>
          <w:tcPr>
            <w:tcW w:w="1964" w:type="dxa"/>
            <w:vAlign w:val="center"/>
          </w:tcPr>
          <w:p w14:paraId="2BA485AF">
            <w:pPr>
              <w:jc w:val="center"/>
              <w:rPr>
                <w:sz w:val="21"/>
                <w:szCs w:val="21"/>
              </w:rPr>
            </w:pPr>
            <w:r>
              <w:rPr>
                <w:rFonts w:hint="eastAsia"/>
                <w:sz w:val="21"/>
                <w:szCs w:val="21"/>
              </w:rPr>
              <w:t>按照《排污单位自行监测技术指南 总则》（HJ 819-2017）制定监测计划。</w:t>
            </w:r>
          </w:p>
        </w:tc>
        <w:tc>
          <w:tcPr>
            <w:tcW w:w="1355" w:type="dxa"/>
            <w:vAlign w:val="center"/>
          </w:tcPr>
          <w:p w14:paraId="61A947A4">
            <w:pPr>
              <w:jc w:val="center"/>
              <w:rPr>
                <w:sz w:val="21"/>
                <w:szCs w:val="21"/>
              </w:rPr>
            </w:pPr>
            <w:r>
              <w:rPr>
                <w:rFonts w:hint="eastAsia"/>
                <w:sz w:val="21"/>
                <w:szCs w:val="21"/>
              </w:rPr>
              <w:t>制定自行监测方案，并按照方案进行监测。</w:t>
            </w:r>
          </w:p>
        </w:tc>
      </w:tr>
      <w:tr w14:paraId="3A4E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1271" w:type="dxa"/>
            <w:vAlign w:val="center"/>
          </w:tcPr>
          <w:p w14:paraId="266DD016">
            <w:pPr>
              <w:spacing w:line="360" w:lineRule="auto"/>
              <w:jc w:val="center"/>
              <w:rPr>
                <w:szCs w:val="24"/>
              </w:rPr>
            </w:pPr>
            <w:r>
              <w:rPr>
                <w:szCs w:val="24"/>
              </w:rPr>
              <w:t>其他</w:t>
            </w:r>
          </w:p>
        </w:tc>
        <w:tc>
          <w:tcPr>
            <w:tcW w:w="2268" w:type="dxa"/>
            <w:vAlign w:val="center"/>
          </w:tcPr>
          <w:p w14:paraId="5DD4B3CF">
            <w:pPr>
              <w:jc w:val="center"/>
              <w:rPr>
                <w:szCs w:val="24"/>
              </w:rPr>
            </w:pPr>
            <w:r>
              <w:rPr>
                <w:rFonts w:hint="eastAsia"/>
                <w:szCs w:val="24"/>
              </w:rPr>
              <w:t>/</w:t>
            </w:r>
          </w:p>
        </w:tc>
        <w:tc>
          <w:tcPr>
            <w:tcW w:w="1438" w:type="dxa"/>
            <w:vAlign w:val="center"/>
          </w:tcPr>
          <w:p w14:paraId="4402E18B">
            <w:pPr>
              <w:jc w:val="center"/>
              <w:rPr>
                <w:szCs w:val="24"/>
              </w:rPr>
            </w:pPr>
            <w:r>
              <w:rPr>
                <w:rFonts w:hint="eastAsia"/>
                <w:szCs w:val="24"/>
              </w:rPr>
              <w:t>/</w:t>
            </w:r>
          </w:p>
        </w:tc>
        <w:tc>
          <w:tcPr>
            <w:tcW w:w="1964" w:type="dxa"/>
            <w:vAlign w:val="center"/>
          </w:tcPr>
          <w:p w14:paraId="3D936711">
            <w:pPr>
              <w:jc w:val="center"/>
              <w:rPr>
                <w:sz w:val="21"/>
                <w:szCs w:val="21"/>
              </w:rPr>
            </w:pPr>
            <w:r>
              <w:rPr>
                <w:rFonts w:hint="eastAsia"/>
                <w:sz w:val="21"/>
                <w:szCs w:val="21"/>
              </w:rPr>
              <w:t>根据《建设项目竣工环境保护验收暂行办法》中的相关规定，结合前述环保措施内容，落实“三同时”验收。</w:t>
            </w:r>
          </w:p>
        </w:tc>
        <w:tc>
          <w:tcPr>
            <w:tcW w:w="1355" w:type="dxa"/>
            <w:vAlign w:val="center"/>
          </w:tcPr>
          <w:p w14:paraId="5AE5BB49">
            <w:pPr>
              <w:jc w:val="center"/>
              <w:rPr>
                <w:sz w:val="21"/>
                <w:szCs w:val="21"/>
              </w:rPr>
            </w:pPr>
            <w:r>
              <w:rPr>
                <w:rFonts w:hint="eastAsia"/>
                <w:sz w:val="21"/>
                <w:szCs w:val="21"/>
              </w:rPr>
              <w:t>完成“三同时”验收。</w:t>
            </w:r>
          </w:p>
        </w:tc>
      </w:tr>
    </w:tbl>
    <w:p w14:paraId="4BCE1029">
      <w:pPr>
        <w:spacing w:line="360" w:lineRule="auto"/>
        <w:ind w:firstLine="480" w:firstLineChars="200"/>
      </w:pPr>
    </w:p>
    <w:p w14:paraId="5B576639">
      <w:pPr>
        <w:pStyle w:val="2"/>
        <w:jc w:val="both"/>
      </w:pPr>
      <w:bookmarkStart w:id="19" w:name="_GoBack"/>
      <w:bookmarkEnd w:id="19"/>
      <w:r>
        <w:rPr>
          <w:rFonts w:hint="eastAsia"/>
        </w:rPr>
        <w:t>七、结论</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440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2F98414">
            <w:pPr>
              <w:spacing w:line="360" w:lineRule="auto"/>
              <w:ind w:firstLine="480" w:firstLineChars="200"/>
            </w:pPr>
            <w:r>
              <w:rPr>
                <w:rFonts w:hint="eastAsia"/>
              </w:rPr>
              <w:t>本项目为码头建设项目，本项目的建设符合国家产业政策、行业及地方发展规划以及环境功能区划；施工期、运行期采取本报告中提出的各项污染防治措施和生态减缓措施后，各项污染物能够稳定达标排放，对环境空气、水环境、声环境、生态环境影响可接受。在落实本报告提出的环境风险防范措施和应急措施后，可确保环境风险受控。</w:t>
            </w:r>
          </w:p>
          <w:p w14:paraId="794CD844">
            <w:pPr>
              <w:spacing w:line="360" w:lineRule="auto"/>
              <w:ind w:firstLine="480" w:firstLineChars="200"/>
            </w:pPr>
            <w:r>
              <w:rPr>
                <w:rFonts w:hint="eastAsia"/>
              </w:rPr>
              <w:t>综上所述，本工程无重大环境制约因素，从环境影响的角度综合分析，项目的建设是可行的。</w:t>
            </w:r>
          </w:p>
          <w:p w14:paraId="6C10314D">
            <w:pPr>
              <w:spacing w:line="360" w:lineRule="auto"/>
            </w:pPr>
          </w:p>
          <w:p w14:paraId="21EE1CF0">
            <w:pPr>
              <w:spacing w:line="360" w:lineRule="auto"/>
            </w:pPr>
          </w:p>
          <w:p w14:paraId="04ACB417">
            <w:pPr>
              <w:spacing w:line="360" w:lineRule="auto"/>
            </w:pPr>
          </w:p>
          <w:p w14:paraId="3236AB53">
            <w:pPr>
              <w:spacing w:line="360" w:lineRule="auto"/>
            </w:pPr>
          </w:p>
          <w:p w14:paraId="5263784A">
            <w:pPr>
              <w:spacing w:line="360" w:lineRule="auto"/>
            </w:pPr>
          </w:p>
          <w:p w14:paraId="55CCB3A6">
            <w:pPr>
              <w:spacing w:line="360" w:lineRule="auto"/>
            </w:pPr>
          </w:p>
          <w:p w14:paraId="35994FD2">
            <w:pPr>
              <w:spacing w:line="360" w:lineRule="auto"/>
            </w:pPr>
          </w:p>
        </w:tc>
      </w:tr>
    </w:tbl>
    <w:p w14:paraId="1EE38E30">
      <w:pPr>
        <w:spacing w:line="360" w:lineRule="auto"/>
        <w:ind w:firstLine="480" w:firstLineChars="200"/>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altName w:val="微软雅黑"/>
    <w:panose1 w:val="00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AE5C9">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3F245">
    <w:pPr>
      <w:pStyle w:val="12"/>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E8307D"/>
    <w:multiLevelType w:val="multilevel"/>
    <w:tmpl w:val="A7E8307D"/>
    <w:lvl w:ilvl="0" w:tentative="0">
      <w:start w:val="1"/>
      <w:numFmt w:val="decimal"/>
      <w:pStyle w:val="46"/>
      <w:suff w:val="space"/>
      <w:lvlText w:val="表%1  "/>
      <w:lvlJc w:val="left"/>
      <w:pPr>
        <w:tabs>
          <w:tab w:val="left" w:pos="0"/>
        </w:tabs>
        <w:ind w:left="0" w:firstLine="0"/>
      </w:pPr>
      <w:rPr>
        <w:rFonts w:hint="default" w:ascii="Times New Roman" w:hAnsi="Times New Roman" w:eastAsia="宋体" w:cs="Times New Roman"/>
        <w:b/>
        <w:bCs/>
        <w:i w:val="0"/>
        <w:iCs w:val="0"/>
        <w:caps w:val="0"/>
        <w:smallCaps w:val="0"/>
        <w:strike w:val="0"/>
        <w:dstrike w:val="0"/>
        <w:outline w:val="0"/>
        <w:shadow w:val="0"/>
        <w:emboss w:val="0"/>
        <w:imprint w:val="0"/>
        <w:vanish w:val="0"/>
        <w:color w:val="000000"/>
        <w:spacing w:val="0"/>
        <w:w w:val="100"/>
        <w:kern w:val="0"/>
        <w:position w:val="0"/>
        <w:sz w:val="21"/>
        <w:szCs w:val="21"/>
        <w:u w:val="none"/>
        <w:shd w:val="clear" w:color="auto" w:fill="auto"/>
        <w:vertAlign w:val="baseline"/>
      </w:rPr>
    </w:lvl>
    <w:lvl w:ilvl="1" w:tentative="0">
      <w:start w:val="1"/>
      <w:numFmt w:val="decimal"/>
      <w:suff w:val="space"/>
      <w:lvlText w:val="%1.%2"/>
      <w:lvlJc w:val="left"/>
      <w:pPr>
        <w:ind w:left="576" w:hanging="576"/>
      </w:pPr>
      <w:rPr>
        <w:rFonts w:hint="default"/>
      </w:rPr>
    </w:lvl>
    <w:lvl w:ilvl="2" w:tentative="0">
      <w:start w:val="1"/>
      <w:numFmt w:val="decimal"/>
      <w:suff w:val="space"/>
      <w:lvlText w:val="%1.%2.%3"/>
      <w:lvlJc w:val="left"/>
      <w:pPr>
        <w:ind w:left="1146" w:hanging="720"/>
      </w:pPr>
      <w:rPr>
        <w:rFonts w:hint="default" w:ascii="Times New Roman" w:hAnsi="Times New Roman" w:eastAsia="宋体" w:cs="Arial"/>
      </w:rPr>
    </w:lvl>
    <w:lvl w:ilvl="3" w:tentative="0">
      <w:start w:val="1"/>
      <w:numFmt w:val="decimal"/>
      <w:suff w:val="space"/>
      <w:lvlText w:val="%1.%2.%3.%4"/>
      <w:lvlJc w:val="left"/>
      <w:pPr>
        <w:ind w:left="1431" w:hanging="864"/>
      </w:pPr>
      <w:rPr>
        <w:rFonts w:hint="default"/>
        <w:spacing w:val="-20"/>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EAA"/>
    <w:rsid w:val="00004EB4"/>
    <w:rsid w:val="00005B6E"/>
    <w:rsid w:val="000065B7"/>
    <w:rsid w:val="00006644"/>
    <w:rsid w:val="0000769B"/>
    <w:rsid w:val="00013056"/>
    <w:rsid w:val="00015F63"/>
    <w:rsid w:val="0001611A"/>
    <w:rsid w:val="00016890"/>
    <w:rsid w:val="0001712C"/>
    <w:rsid w:val="000172D1"/>
    <w:rsid w:val="00020F2C"/>
    <w:rsid w:val="0002101F"/>
    <w:rsid w:val="00021271"/>
    <w:rsid w:val="00022165"/>
    <w:rsid w:val="00023D03"/>
    <w:rsid w:val="00024A1B"/>
    <w:rsid w:val="00024BBC"/>
    <w:rsid w:val="0003163D"/>
    <w:rsid w:val="00031AAE"/>
    <w:rsid w:val="000323B5"/>
    <w:rsid w:val="0003472A"/>
    <w:rsid w:val="00036CE4"/>
    <w:rsid w:val="00041829"/>
    <w:rsid w:val="00050BED"/>
    <w:rsid w:val="0005130C"/>
    <w:rsid w:val="00052ADA"/>
    <w:rsid w:val="000537DB"/>
    <w:rsid w:val="00053E87"/>
    <w:rsid w:val="000547B8"/>
    <w:rsid w:val="00054DE3"/>
    <w:rsid w:val="00055DF1"/>
    <w:rsid w:val="00057531"/>
    <w:rsid w:val="0006116E"/>
    <w:rsid w:val="00061A1A"/>
    <w:rsid w:val="000635DC"/>
    <w:rsid w:val="0006369D"/>
    <w:rsid w:val="00063EF9"/>
    <w:rsid w:val="00075F38"/>
    <w:rsid w:val="00080559"/>
    <w:rsid w:val="00082277"/>
    <w:rsid w:val="00083ABB"/>
    <w:rsid w:val="00083C50"/>
    <w:rsid w:val="00084355"/>
    <w:rsid w:val="00084C43"/>
    <w:rsid w:val="0008578B"/>
    <w:rsid w:val="00086CF3"/>
    <w:rsid w:val="00093C61"/>
    <w:rsid w:val="0009686A"/>
    <w:rsid w:val="000A1C73"/>
    <w:rsid w:val="000A1E75"/>
    <w:rsid w:val="000A4308"/>
    <w:rsid w:val="000A5C65"/>
    <w:rsid w:val="000B198C"/>
    <w:rsid w:val="000B2FC5"/>
    <w:rsid w:val="000B56F6"/>
    <w:rsid w:val="000C14C9"/>
    <w:rsid w:val="000C400D"/>
    <w:rsid w:val="000D20A3"/>
    <w:rsid w:val="000D306F"/>
    <w:rsid w:val="000D652F"/>
    <w:rsid w:val="000E2464"/>
    <w:rsid w:val="000E26F3"/>
    <w:rsid w:val="000E2C9D"/>
    <w:rsid w:val="000E4780"/>
    <w:rsid w:val="000F06A4"/>
    <w:rsid w:val="000F13AD"/>
    <w:rsid w:val="000F19DD"/>
    <w:rsid w:val="000F629B"/>
    <w:rsid w:val="00102A54"/>
    <w:rsid w:val="00104091"/>
    <w:rsid w:val="00104757"/>
    <w:rsid w:val="00110BF9"/>
    <w:rsid w:val="00116711"/>
    <w:rsid w:val="0012171E"/>
    <w:rsid w:val="00122BDB"/>
    <w:rsid w:val="00130C9A"/>
    <w:rsid w:val="00132C38"/>
    <w:rsid w:val="00135DAC"/>
    <w:rsid w:val="00136AA2"/>
    <w:rsid w:val="0014280B"/>
    <w:rsid w:val="00147187"/>
    <w:rsid w:val="0015020E"/>
    <w:rsid w:val="00157ABF"/>
    <w:rsid w:val="00160899"/>
    <w:rsid w:val="00161B5B"/>
    <w:rsid w:val="0016470A"/>
    <w:rsid w:val="00165BEB"/>
    <w:rsid w:val="00166B93"/>
    <w:rsid w:val="001672FF"/>
    <w:rsid w:val="00167F9C"/>
    <w:rsid w:val="00170E7A"/>
    <w:rsid w:val="00173430"/>
    <w:rsid w:val="00175891"/>
    <w:rsid w:val="001803AD"/>
    <w:rsid w:val="0018113F"/>
    <w:rsid w:val="001827A2"/>
    <w:rsid w:val="00182CAC"/>
    <w:rsid w:val="001902BB"/>
    <w:rsid w:val="00192360"/>
    <w:rsid w:val="001940E4"/>
    <w:rsid w:val="00196C2E"/>
    <w:rsid w:val="001A05F8"/>
    <w:rsid w:val="001A05FE"/>
    <w:rsid w:val="001A175C"/>
    <w:rsid w:val="001A5319"/>
    <w:rsid w:val="001B4A83"/>
    <w:rsid w:val="001B60F7"/>
    <w:rsid w:val="001B6AEA"/>
    <w:rsid w:val="001B6DE2"/>
    <w:rsid w:val="001C1EDD"/>
    <w:rsid w:val="001C24B8"/>
    <w:rsid w:val="001C2ACC"/>
    <w:rsid w:val="001C4D6B"/>
    <w:rsid w:val="001C6C3D"/>
    <w:rsid w:val="001C6DFD"/>
    <w:rsid w:val="001D7D7E"/>
    <w:rsid w:val="001E0FAA"/>
    <w:rsid w:val="001E0FE7"/>
    <w:rsid w:val="001E4744"/>
    <w:rsid w:val="001E70FB"/>
    <w:rsid w:val="001F691B"/>
    <w:rsid w:val="00200D90"/>
    <w:rsid w:val="00201F91"/>
    <w:rsid w:val="00202F52"/>
    <w:rsid w:val="00203AB6"/>
    <w:rsid w:val="00204CB2"/>
    <w:rsid w:val="00210C6A"/>
    <w:rsid w:val="00216477"/>
    <w:rsid w:val="00216D53"/>
    <w:rsid w:val="00217482"/>
    <w:rsid w:val="00224920"/>
    <w:rsid w:val="00224EBA"/>
    <w:rsid w:val="0023365B"/>
    <w:rsid w:val="00234676"/>
    <w:rsid w:val="00237710"/>
    <w:rsid w:val="00244A1E"/>
    <w:rsid w:val="00244D09"/>
    <w:rsid w:val="00245EB4"/>
    <w:rsid w:val="002528FC"/>
    <w:rsid w:val="00254500"/>
    <w:rsid w:val="002651E9"/>
    <w:rsid w:val="00270BB5"/>
    <w:rsid w:val="00272F5E"/>
    <w:rsid w:val="00275014"/>
    <w:rsid w:val="00275EBC"/>
    <w:rsid w:val="0027765D"/>
    <w:rsid w:val="00284E49"/>
    <w:rsid w:val="0029317D"/>
    <w:rsid w:val="002973A9"/>
    <w:rsid w:val="002A08B1"/>
    <w:rsid w:val="002A0F87"/>
    <w:rsid w:val="002A11F3"/>
    <w:rsid w:val="002A5F46"/>
    <w:rsid w:val="002B0561"/>
    <w:rsid w:val="002B3B3A"/>
    <w:rsid w:val="002B3B47"/>
    <w:rsid w:val="002B3D4A"/>
    <w:rsid w:val="002C0BDB"/>
    <w:rsid w:val="002C12F8"/>
    <w:rsid w:val="002C4B77"/>
    <w:rsid w:val="002D4A66"/>
    <w:rsid w:val="002D4BA7"/>
    <w:rsid w:val="002E060B"/>
    <w:rsid w:val="002E0C9A"/>
    <w:rsid w:val="002E1172"/>
    <w:rsid w:val="002E33D1"/>
    <w:rsid w:val="002E3DEE"/>
    <w:rsid w:val="002E4414"/>
    <w:rsid w:val="002E586A"/>
    <w:rsid w:val="002E6C60"/>
    <w:rsid w:val="002E7527"/>
    <w:rsid w:val="002F1977"/>
    <w:rsid w:val="002F40F1"/>
    <w:rsid w:val="002F6394"/>
    <w:rsid w:val="00302CA4"/>
    <w:rsid w:val="0031414B"/>
    <w:rsid w:val="003146AF"/>
    <w:rsid w:val="00314D57"/>
    <w:rsid w:val="00314EC5"/>
    <w:rsid w:val="00321F63"/>
    <w:rsid w:val="00322087"/>
    <w:rsid w:val="00327BB1"/>
    <w:rsid w:val="00327F48"/>
    <w:rsid w:val="00330344"/>
    <w:rsid w:val="00331FE5"/>
    <w:rsid w:val="003341D6"/>
    <w:rsid w:val="00340722"/>
    <w:rsid w:val="003429C1"/>
    <w:rsid w:val="00346AC8"/>
    <w:rsid w:val="003516EA"/>
    <w:rsid w:val="00353022"/>
    <w:rsid w:val="0035520E"/>
    <w:rsid w:val="00357BEC"/>
    <w:rsid w:val="0036149A"/>
    <w:rsid w:val="003662E3"/>
    <w:rsid w:val="003663DE"/>
    <w:rsid w:val="003675DD"/>
    <w:rsid w:val="003677A4"/>
    <w:rsid w:val="00370126"/>
    <w:rsid w:val="00372A5F"/>
    <w:rsid w:val="003828A7"/>
    <w:rsid w:val="003828F8"/>
    <w:rsid w:val="00386310"/>
    <w:rsid w:val="00386E2F"/>
    <w:rsid w:val="00390DF0"/>
    <w:rsid w:val="00392114"/>
    <w:rsid w:val="00396267"/>
    <w:rsid w:val="003A1541"/>
    <w:rsid w:val="003A15CE"/>
    <w:rsid w:val="003A6CEA"/>
    <w:rsid w:val="003A71EB"/>
    <w:rsid w:val="003B0F9A"/>
    <w:rsid w:val="003B204C"/>
    <w:rsid w:val="003B4F89"/>
    <w:rsid w:val="003C1DAB"/>
    <w:rsid w:val="003C2A46"/>
    <w:rsid w:val="003C71CE"/>
    <w:rsid w:val="003C78DD"/>
    <w:rsid w:val="003D1A4E"/>
    <w:rsid w:val="003D24C8"/>
    <w:rsid w:val="003D45AB"/>
    <w:rsid w:val="003F1056"/>
    <w:rsid w:val="003F415D"/>
    <w:rsid w:val="00400634"/>
    <w:rsid w:val="00400D83"/>
    <w:rsid w:val="00400F94"/>
    <w:rsid w:val="004019DE"/>
    <w:rsid w:val="00403EEE"/>
    <w:rsid w:val="00413735"/>
    <w:rsid w:val="004166A0"/>
    <w:rsid w:val="00417BC6"/>
    <w:rsid w:val="00421DE9"/>
    <w:rsid w:val="00422DC3"/>
    <w:rsid w:val="00424471"/>
    <w:rsid w:val="004257CC"/>
    <w:rsid w:val="00434641"/>
    <w:rsid w:val="0043624D"/>
    <w:rsid w:val="00440030"/>
    <w:rsid w:val="00440668"/>
    <w:rsid w:val="00440D99"/>
    <w:rsid w:val="004415B4"/>
    <w:rsid w:val="004419C0"/>
    <w:rsid w:val="00443911"/>
    <w:rsid w:val="004464CD"/>
    <w:rsid w:val="0044754D"/>
    <w:rsid w:val="00447E28"/>
    <w:rsid w:val="00450B3C"/>
    <w:rsid w:val="0045347C"/>
    <w:rsid w:val="00460907"/>
    <w:rsid w:val="0046218B"/>
    <w:rsid w:val="00463B23"/>
    <w:rsid w:val="00465F35"/>
    <w:rsid w:val="0046701A"/>
    <w:rsid w:val="00467B16"/>
    <w:rsid w:val="00473FB6"/>
    <w:rsid w:val="004741A8"/>
    <w:rsid w:val="004778C1"/>
    <w:rsid w:val="00480F9B"/>
    <w:rsid w:val="00481A22"/>
    <w:rsid w:val="0048319F"/>
    <w:rsid w:val="00484BE6"/>
    <w:rsid w:val="00485F77"/>
    <w:rsid w:val="004954B5"/>
    <w:rsid w:val="00496584"/>
    <w:rsid w:val="004976D2"/>
    <w:rsid w:val="004A0C21"/>
    <w:rsid w:val="004A0F90"/>
    <w:rsid w:val="004A21A7"/>
    <w:rsid w:val="004A43F0"/>
    <w:rsid w:val="004B35C0"/>
    <w:rsid w:val="004B40CC"/>
    <w:rsid w:val="004C075D"/>
    <w:rsid w:val="004C3821"/>
    <w:rsid w:val="004C3C24"/>
    <w:rsid w:val="004C45A4"/>
    <w:rsid w:val="004C5764"/>
    <w:rsid w:val="004C5B55"/>
    <w:rsid w:val="004C7247"/>
    <w:rsid w:val="004D23F8"/>
    <w:rsid w:val="004D3A97"/>
    <w:rsid w:val="004E2BA7"/>
    <w:rsid w:val="004E2C3B"/>
    <w:rsid w:val="004E4D36"/>
    <w:rsid w:val="004E7EE8"/>
    <w:rsid w:val="004F1363"/>
    <w:rsid w:val="004F6824"/>
    <w:rsid w:val="004F73FD"/>
    <w:rsid w:val="00501D0D"/>
    <w:rsid w:val="00504C03"/>
    <w:rsid w:val="00505912"/>
    <w:rsid w:val="00505C3F"/>
    <w:rsid w:val="005068DB"/>
    <w:rsid w:val="005112F5"/>
    <w:rsid w:val="00512C34"/>
    <w:rsid w:val="00512E1D"/>
    <w:rsid w:val="005130BF"/>
    <w:rsid w:val="005133C3"/>
    <w:rsid w:val="00513C42"/>
    <w:rsid w:val="00514392"/>
    <w:rsid w:val="00530631"/>
    <w:rsid w:val="0053272A"/>
    <w:rsid w:val="00533B92"/>
    <w:rsid w:val="00536C27"/>
    <w:rsid w:val="00541F9C"/>
    <w:rsid w:val="00542AC6"/>
    <w:rsid w:val="00542F04"/>
    <w:rsid w:val="005431B5"/>
    <w:rsid w:val="00544A2F"/>
    <w:rsid w:val="0054679A"/>
    <w:rsid w:val="005478F3"/>
    <w:rsid w:val="00551A96"/>
    <w:rsid w:val="00552909"/>
    <w:rsid w:val="0055337D"/>
    <w:rsid w:val="00561927"/>
    <w:rsid w:val="00562502"/>
    <w:rsid w:val="005645A9"/>
    <w:rsid w:val="00565047"/>
    <w:rsid w:val="00573B05"/>
    <w:rsid w:val="00573D29"/>
    <w:rsid w:val="00573F34"/>
    <w:rsid w:val="00574A5D"/>
    <w:rsid w:val="005835D0"/>
    <w:rsid w:val="005843C6"/>
    <w:rsid w:val="0058533B"/>
    <w:rsid w:val="00587037"/>
    <w:rsid w:val="00590C32"/>
    <w:rsid w:val="00592A63"/>
    <w:rsid w:val="00594253"/>
    <w:rsid w:val="00594553"/>
    <w:rsid w:val="005958A7"/>
    <w:rsid w:val="0059593C"/>
    <w:rsid w:val="00595A53"/>
    <w:rsid w:val="00597581"/>
    <w:rsid w:val="005A0D2A"/>
    <w:rsid w:val="005A6415"/>
    <w:rsid w:val="005A75B0"/>
    <w:rsid w:val="005B235F"/>
    <w:rsid w:val="005B4A79"/>
    <w:rsid w:val="005B6A40"/>
    <w:rsid w:val="005B6F79"/>
    <w:rsid w:val="005C01AB"/>
    <w:rsid w:val="005C03F9"/>
    <w:rsid w:val="005D43B1"/>
    <w:rsid w:val="005D4836"/>
    <w:rsid w:val="005D750D"/>
    <w:rsid w:val="005E1B0C"/>
    <w:rsid w:val="005E1C19"/>
    <w:rsid w:val="005F5BC9"/>
    <w:rsid w:val="005F6C2B"/>
    <w:rsid w:val="005F7A3F"/>
    <w:rsid w:val="00601F76"/>
    <w:rsid w:val="00602851"/>
    <w:rsid w:val="0060463E"/>
    <w:rsid w:val="00606A23"/>
    <w:rsid w:val="00606DCD"/>
    <w:rsid w:val="00611CE0"/>
    <w:rsid w:val="00614A70"/>
    <w:rsid w:val="00620A72"/>
    <w:rsid w:val="0062164C"/>
    <w:rsid w:val="0062317E"/>
    <w:rsid w:val="00632CCC"/>
    <w:rsid w:val="00634D21"/>
    <w:rsid w:val="006363E6"/>
    <w:rsid w:val="00636700"/>
    <w:rsid w:val="0063743B"/>
    <w:rsid w:val="006438A0"/>
    <w:rsid w:val="00644BA6"/>
    <w:rsid w:val="00647299"/>
    <w:rsid w:val="006513B0"/>
    <w:rsid w:val="00657F76"/>
    <w:rsid w:val="00661882"/>
    <w:rsid w:val="0066221B"/>
    <w:rsid w:val="006624C1"/>
    <w:rsid w:val="00665026"/>
    <w:rsid w:val="00666E3B"/>
    <w:rsid w:val="00671431"/>
    <w:rsid w:val="0067387E"/>
    <w:rsid w:val="00674A13"/>
    <w:rsid w:val="006761F9"/>
    <w:rsid w:val="00680616"/>
    <w:rsid w:val="006818FE"/>
    <w:rsid w:val="006824EB"/>
    <w:rsid w:val="0068359E"/>
    <w:rsid w:val="00685582"/>
    <w:rsid w:val="00685796"/>
    <w:rsid w:val="00686356"/>
    <w:rsid w:val="00694DFE"/>
    <w:rsid w:val="0069538A"/>
    <w:rsid w:val="00695F4B"/>
    <w:rsid w:val="006A2D67"/>
    <w:rsid w:val="006A7D69"/>
    <w:rsid w:val="006B00EF"/>
    <w:rsid w:val="006B0691"/>
    <w:rsid w:val="006B175C"/>
    <w:rsid w:val="006B1B35"/>
    <w:rsid w:val="006B2609"/>
    <w:rsid w:val="006B33BA"/>
    <w:rsid w:val="006B3A7B"/>
    <w:rsid w:val="006B3E06"/>
    <w:rsid w:val="006B6DD5"/>
    <w:rsid w:val="006C0CE6"/>
    <w:rsid w:val="006C2202"/>
    <w:rsid w:val="006C3F65"/>
    <w:rsid w:val="006C54B2"/>
    <w:rsid w:val="006D371A"/>
    <w:rsid w:val="006D3B76"/>
    <w:rsid w:val="006E0CF4"/>
    <w:rsid w:val="006E3076"/>
    <w:rsid w:val="006E354A"/>
    <w:rsid w:val="006E446D"/>
    <w:rsid w:val="006E6E40"/>
    <w:rsid w:val="006E6EB6"/>
    <w:rsid w:val="006E6F73"/>
    <w:rsid w:val="006F2EC6"/>
    <w:rsid w:val="006F447A"/>
    <w:rsid w:val="006F7C04"/>
    <w:rsid w:val="00707BA6"/>
    <w:rsid w:val="00713D92"/>
    <w:rsid w:val="00715AD3"/>
    <w:rsid w:val="007270A9"/>
    <w:rsid w:val="007279E5"/>
    <w:rsid w:val="00727DE3"/>
    <w:rsid w:val="007305C3"/>
    <w:rsid w:val="00733AC4"/>
    <w:rsid w:val="007345D9"/>
    <w:rsid w:val="007348E8"/>
    <w:rsid w:val="00737038"/>
    <w:rsid w:val="00737BCA"/>
    <w:rsid w:val="00742CDC"/>
    <w:rsid w:val="007475DB"/>
    <w:rsid w:val="007506F9"/>
    <w:rsid w:val="0075677B"/>
    <w:rsid w:val="00760AF2"/>
    <w:rsid w:val="00771220"/>
    <w:rsid w:val="007735B6"/>
    <w:rsid w:val="00773B90"/>
    <w:rsid w:val="00773C7B"/>
    <w:rsid w:val="00787C8E"/>
    <w:rsid w:val="00790A89"/>
    <w:rsid w:val="007927B4"/>
    <w:rsid w:val="00795B24"/>
    <w:rsid w:val="00795B4E"/>
    <w:rsid w:val="00795D05"/>
    <w:rsid w:val="00796583"/>
    <w:rsid w:val="007A2A21"/>
    <w:rsid w:val="007A5A18"/>
    <w:rsid w:val="007A79C4"/>
    <w:rsid w:val="007B170C"/>
    <w:rsid w:val="007C1B43"/>
    <w:rsid w:val="007C2552"/>
    <w:rsid w:val="007C2855"/>
    <w:rsid w:val="007C55AA"/>
    <w:rsid w:val="007C5DC0"/>
    <w:rsid w:val="007D1B31"/>
    <w:rsid w:val="007D35DE"/>
    <w:rsid w:val="007D6F6E"/>
    <w:rsid w:val="007D7A62"/>
    <w:rsid w:val="007E4D2D"/>
    <w:rsid w:val="007E4E11"/>
    <w:rsid w:val="007E61C0"/>
    <w:rsid w:val="007E73F7"/>
    <w:rsid w:val="007F4036"/>
    <w:rsid w:val="007F70E2"/>
    <w:rsid w:val="007F7F5D"/>
    <w:rsid w:val="00804018"/>
    <w:rsid w:val="00806BE1"/>
    <w:rsid w:val="00806EA7"/>
    <w:rsid w:val="008141F2"/>
    <w:rsid w:val="00815BD7"/>
    <w:rsid w:val="00817907"/>
    <w:rsid w:val="00817D33"/>
    <w:rsid w:val="0082173C"/>
    <w:rsid w:val="00821A38"/>
    <w:rsid w:val="00821F96"/>
    <w:rsid w:val="0082233C"/>
    <w:rsid w:val="00823932"/>
    <w:rsid w:val="00825201"/>
    <w:rsid w:val="0083014B"/>
    <w:rsid w:val="008302F6"/>
    <w:rsid w:val="00830965"/>
    <w:rsid w:val="00830B18"/>
    <w:rsid w:val="00830B53"/>
    <w:rsid w:val="00833D03"/>
    <w:rsid w:val="00837109"/>
    <w:rsid w:val="00840162"/>
    <w:rsid w:val="008412CF"/>
    <w:rsid w:val="008425DB"/>
    <w:rsid w:val="00842CE4"/>
    <w:rsid w:val="008433D0"/>
    <w:rsid w:val="0084428F"/>
    <w:rsid w:val="0084568F"/>
    <w:rsid w:val="008465BA"/>
    <w:rsid w:val="008469B4"/>
    <w:rsid w:val="00847FEE"/>
    <w:rsid w:val="00850273"/>
    <w:rsid w:val="0085655B"/>
    <w:rsid w:val="00856D06"/>
    <w:rsid w:val="00861FA3"/>
    <w:rsid w:val="00870452"/>
    <w:rsid w:val="00871158"/>
    <w:rsid w:val="00872659"/>
    <w:rsid w:val="00874747"/>
    <w:rsid w:val="008756A9"/>
    <w:rsid w:val="0087684E"/>
    <w:rsid w:val="0087741B"/>
    <w:rsid w:val="00877AE2"/>
    <w:rsid w:val="00881AD1"/>
    <w:rsid w:val="008823B5"/>
    <w:rsid w:val="008854CD"/>
    <w:rsid w:val="00886071"/>
    <w:rsid w:val="00892B5E"/>
    <w:rsid w:val="008977D4"/>
    <w:rsid w:val="008A4341"/>
    <w:rsid w:val="008A7291"/>
    <w:rsid w:val="008B1F20"/>
    <w:rsid w:val="008B63BA"/>
    <w:rsid w:val="008C072D"/>
    <w:rsid w:val="008C3B0B"/>
    <w:rsid w:val="008C4ECA"/>
    <w:rsid w:val="008C5635"/>
    <w:rsid w:val="008C7F32"/>
    <w:rsid w:val="008D317F"/>
    <w:rsid w:val="008E2EA6"/>
    <w:rsid w:val="008E2EEE"/>
    <w:rsid w:val="008E3207"/>
    <w:rsid w:val="008E5B15"/>
    <w:rsid w:val="008F2877"/>
    <w:rsid w:val="008F2E33"/>
    <w:rsid w:val="008F5DD3"/>
    <w:rsid w:val="008F6664"/>
    <w:rsid w:val="008F7883"/>
    <w:rsid w:val="009005D6"/>
    <w:rsid w:val="00905E77"/>
    <w:rsid w:val="009066F2"/>
    <w:rsid w:val="009115FB"/>
    <w:rsid w:val="00916FD6"/>
    <w:rsid w:val="009177BF"/>
    <w:rsid w:val="00925666"/>
    <w:rsid w:val="00925E91"/>
    <w:rsid w:val="00927FE0"/>
    <w:rsid w:val="0093508A"/>
    <w:rsid w:val="00940E1F"/>
    <w:rsid w:val="00941251"/>
    <w:rsid w:val="00950B49"/>
    <w:rsid w:val="00963170"/>
    <w:rsid w:val="009639E5"/>
    <w:rsid w:val="00965D19"/>
    <w:rsid w:val="00966DF0"/>
    <w:rsid w:val="00967AE5"/>
    <w:rsid w:val="00971F7C"/>
    <w:rsid w:val="00972038"/>
    <w:rsid w:val="00973731"/>
    <w:rsid w:val="009778F6"/>
    <w:rsid w:val="00981626"/>
    <w:rsid w:val="00986D70"/>
    <w:rsid w:val="00991214"/>
    <w:rsid w:val="00992DCB"/>
    <w:rsid w:val="00994174"/>
    <w:rsid w:val="009A201D"/>
    <w:rsid w:val="009A22BD"/>
    <w:rsid w:val="009A2928"/>
    <w:rsid w:val="009A51B0"/>
    <w:rsid w:val="009A6280"/>
    <w:rsid w:val="009B01A6"/>
    <w:rsid w:val="009B11F3"/>
    <w:rsid w:val="009B3209"/>
    <w:rsid w:val="009B5092"/>
    <w:rsid w:val="009B51D8"/>
    <w:rsid w:val="009C0B26"/>
    <w:rsid w:val="009C1A4B"/>
    <w:rsid w:val="009C2105"/>
    <w:rsid w:val="009C2871"/>
    <w:rsid w:val="009C2CA9"/>
    <w:rsid w:val="009C5FCB"/>
    <w:rsid w:val="009D017D"/>
    <w:rsid w:val="009D0382"/>
    <w:rsid w:val="009D51A7"/>
    <w:rsid w:val="009D59F8"/>
    <w:rsid w:val="009D759D"/>
    <w:rsid w:val="009E29AE"/>
    <w:rsid w:val="009E372F"/>
    <w:rsid w:val="009E4A93"/>
    <w:rsid w:val="009E506A"/>
    <w:rsid w:val="009E5296"/>
    <w:rsid w:val="009E7067"/>
    <w:rsid w:val="009F0AFE"/>
    <w:rsid w:val="00A024CA"/>
    <w:rsid w:val="00A043BC"/>
    <w:rsid w:val="00A04753"/>
    <w:rsid w:val="00A07998"/>
    <w:rsid w:val="00A10293"/>
    <w:rsid w:val="00A13E27"/>
    <w:rsid w:val="00A151B9"/>
    <w:rsid w:val="00A164BB"/>
    <w:rsid w:val="00A208C1"/>
    <w:rsid w:val="00A272E6"/>
    <w:rsid w:val="00A30840"/>
    <w:rsid w:val="00A403D4"/>
    <w:rsid w:val="00A420CF"/>
    <w:rsid w:val="00A43B9A"/>
    <w:rsid w:val="00A5126D"/>
    <w:rsid w:val="00A51575"/>
    <w:rsid w:val="00A51707"/>
    <w:rsid w:val="00A54BC1"/>
    <w:rsid w:val="00A61BF4"/>
    <w:rsid w:val="00A6340A"/>
    <w:rsid w:val="00A71AB8"/>
    <w:rsid w:val="00A76B39"/>
    <w:rsid w:val="00A83177"/>
    <w:rsid w:val="00A85EB2"/>
    <w:rsid w:val="00A92F59"/>
    <w:rsid w:val="00A937C0"/>
    <w:rsid w:val="00A9422C"/>
    <w:rsid w:val="00A950C1"/>
    <w:rsid w:val="00A9562B"/>
    <w:rsid w:val="00A961F1"/>
    <w:rsid w:val="00AA2BEA"/>
    <w:rsid w:val="00AA7B34"/>
    <w:rsid w:val="00AB3C49"/>
    <w:rsid w:val="00AB4140"/>
    <w:rsid w:val="00AB6ACF"/>
    <w:rsid w:val="00AC12C9"/>
    <w:rsid w:val="00AC324A"/>
    <w:rsid w:val="00AC5EA2"/>
    <w:rsid w:val="00AD1812"/>
    <w:rsid w:val="00AD7D5E"/>
    <w:rsid w:val="00AE4880"/>
    <w:rsid w:val="00AE5901"/>
    <w:rsid w:val="00AF013E"/>
    <w:rsid w:val="00AF0E0D"/>
    <w:rsid w:val="00AF1378"/>
    <w:rsid w:val="00AF2454"/>
    <w:rsid w:val="00B02C4A"/>
    <w:rsid w:val="00B13551"/>
    <w:rsid w:val="00B153C2"/>
    <w:rsid w:val="00B15E96"/>
    <w:rsid w:val="00B22BA4"/>
    <w:rsid w:val="00B23C36"/>
    <w:rsid w:val="00B23D5D"/>
    <w:rsid w:val="00B26F82"/>
    <w:rsid w:val="00B341EF"/>
    <w:rsid w:val="00B370A1"/>
    <w:rsid w:val="00B378DD"/>
    <w:rsid w:val="00B40AC0"/>
    <w:rsid w:val="00B41B02"/>
    <w:rsid w:val="00B43B6A"/>
    <w:rsid w:val="00B44D85"/>
    <w:rsid w:val="00B512FD"/>
    <w:rsid w:val="00B51A09"/>
    <w:rsid w:val="00B52A26"/>
    <w:rsid w:val="00B5354A"/>
    <w:rsid w:val="00B562B6"/>
    <w:rsid w:val="00B5782C"/>
    <w:rsid w:val="00B61437"/>
    <w:rsid w:val="00B63AE3"/>
    <w:rsid w:val="00B64749"/>
    <w:rsid w:val="00B64F22"/>
    <w:rsid w:val="00B654FD"/>
    <w:rsid w:val="00B7157F"/>
    <w:rsid w:val="00B72D7C"/>
    <w:rsid w:val="00B741F2"/>
    <w:rsid w:val="00B75E3E"/>
    <w:rsid w:val="00B76307"/>
    <w:rsid w:val="00B8071B"/>
    <w:rsid w:val="00B84415"/>
    <w:rsid w:val="00B85F46"/>
    <w:rsid w:val="00B94D41"/>
    <w:rsid w:val="00B95009"/>
    <w:rsid w:val="00B9764D"/>
    <w:rsid w:val="00B97796"/>
    <w:rsid w:val="00BA09C4"/>
    <w:rsid w:val="00BA1209"/>
    <w:rsid w:val="00BA35A0"/>
    <w:rsid w:val="00BA612D"/>
    <w:rsid w:val="00BB19D4"/>
    <w:rsid w:val="00BB1B78"/>
    <w:rsid w:val="00BB6976"/>
    <w:rsid w:val="00BC5BA6"/>
    <w:rsid w:val="00BC6FA8"/>
    <w:rsid w:val="00BD6B34"/>
    <w:rsid w:val="00BE0F0A"/>
    <w:rsid w:val="00BE123E"/>
    <w:rsid w:val="00BE4337"/>
    <w:rsid w:val="00BE4DAA"/>
    <w:rsid w:val="00BE7881"/>
    <w:rsid w:val="00BF57C6"/>
    <w:rsid w:val="00C00591"/>
    <w:rsid w:val="00C0693F"/>
    <w:rsid w:val="00C07F95"/>
    <w:rsid w:val="00C13CB3"/>
    <w:rsid w:val="00C17DF6"/>
    <w:rsid w:val="00C223C5"/>
    <w:rsid w:val="00C22875"/>
    <w:rsid w:val="00C249F9"/>
    <w:rsid w:val="00C3320F"/>
    <w:rsid w:val="00C33F65"/>
    <w:rsid w:val="00C40FB9"/>
    <w:rsid w:val="00C42AC5"/>
    <w:rsid w:val="00C4348C"/>
    <w:rsid w:val="00C44365"/>
    <w:rsid w:val="00C44BD7"/>
    <w:rsid w:val="00C46F7A"/>
    <w:rsid w:val="00C47894"/>
    <w:rsid w:val="00C502B8"/>
    <w:rsid w:val="00C577B5"/>
    <w:rsid w:val="00C60EAF"/>
    <w:rsid w:val="00C641CF"/>
    <w:rsid w:val="00C64B5E"/>
    <w:rsid w:val="00C6523E"/>
    <w:rsid w:val="00C664E3"/>
    <w:rsid w:val="00C7217C"/>
    <w:rsid w:val="00C7376C"/>
    <w:rsid w:val="00C86543"/>
    <w:rsid w:val="00C94AF3"/>
    <w:rsid w:val="00C969EF"/>
    <w:rsid w:val="00CA0847"/>
    <w:rsid w:val="00CA12CD"/>
    <w:rsid w:val="00CA4401"/>
    <w:rsid w:val="00CB3524"/>
    <w:rsid w:val="00CB4D4A"/>
    <w:rsid w:val="00CB5FB9"/>
    <w:rsid w:val="00CB7B4D"/>
    <w:rsid w:val="00CC12A5"/>
    <w:rsid w:val="00CC4C14"/>
    <w:rsid w:val="00CC66F3"/>
    <w:rsid w:val="00CC7FE1"/>
    <w:rsid w:val="00CD1130"/>
    <w:rsid w:val="00CD11D0"/>
    <w:rsid w:val="00CD1681"/>
    <w:rsid w:val="00CD2638"/>
    <w:rsid w:val="00CD3AC8"/>
    <w:rsid w:val="00CD573C"/>
    <w:rsid w:val="00CD5786"/>
    <w:rsid w:val="00CD737A"/>
    <w:rsid w:val="00CE3156"/>
    <w:rsid w:val="00CF038C"/>
    <w:rsid w:val="00CF1992"/>
    <w:rsid w:val="00CF1CC4"/>
    <w:rsid w:val="00CF31FA"/>
    <w:rsid w:val="00CF5755"/>
    <w:rsid w:val="00D00E85"/>
    <w:rsid w:val="00D038DF"/>
    <w:rsid w:val="00D03FC7"/>
    <w:rsid w:val="00D06659"/>
    <w:rsid w:val="00D06EAA"/>
    <w:rsid w:val="00D20922"/>
    <w:rsid w:val="00D21690"/>
    <w:rsid w:val="00D21982"/>
    <w:rsid w:val="00D22031"/>
    <w:rsid w:val="00D22F2A"/>
    <w:rsid w:val="00D234B1"/>
    <w:rsid w:val="00D240B5"/>
    <w:rsid w:val="00D24DB5"/>
    <w:rsid w:val="00D25331"/>
    <w:rsid w:val="00D271A8"/>
    <w:rsid w:val="00D30E2D"/>
    <w:rsid w:val="00D36F86"/>
    <w:rsid w:val="00D37823"/>
    <w:rsid w:val="00D41564"/>
    <w:rsid w:val="00D41957"/>
    <w:rsid w:val="00D42517"/>
    <w:rsid w:val="00D5077B"/>
    <w:rsid w:val="00D51766"/>
    <w:rsid w:val="00D53B7E"/>
    <w:rsid w:val="00D547A9"/>
    <w:rsid w:val="00D573D8"/>
    <w:rsid w:val="00D6388E"/>
    <w:rsid w:val="00D66CE4"/>
    <w:rsid w:val="00D6763E"/>
    <w:rsid w:val="00D71CFD"/>
    <w:rsid w:val="00D73514"/>
    <w:rsid w:val="00D73583"/>
    <w:rsid w:val="00D73F5D"/>
    <w:rsid w:val="00D749B3"/>
    <w:rsid w:val="00D75A5F"/>
    <w:rsid w:val="00D76162"/>
    <w:rsid w:val="00D80531"/>
    <w:rsid w:val="00D85337"/>
    <w:rsid w:val="00D92BE9"/>
    <w:rsid w:val="00D93F3A"/>
    <w:rsid w:val="00DA071C"/>
    <w:rsid w:val="00DA0DF4"/>
    <w:rsid w:val="00DA242F"/>
    <w:rsid w:val="00DA3925"/>
    <w:rsid w:val="00DA4885"/>
    <w:rsid w:val="00DA5ECA"/>
    <w:rsid w:val="00DA5F51"/>
    <w:rsid w:val="00DA7DBC"/>
    <w:rsid w:val="00DB0509"/>
    <w:rsid w:val="00DB4B0B"/>
    <w:rsid w:val="00DB58BB"/>
    <w:rsid w:val="00DC3903"/>
    <w:rsid w:val="00DC3AAA"/>
    <w:rsid w:val="00DD0023"/>
    <w:rsid w:val="00DD2378"/>
    <w:rsid w:val="00DD2A4B"/>
    <w:rsid w:val="00DD2DEE"/>
    <w:rsid w:val="00DD33DB"/>
    <w:rsid w:val="00DD3687"/>
    <w:rsid w:val="00DD37D2"/>
    <w:rsid w:val="00DD4A45"/>
    <w:rsid w:val="00DE067B"/>
    <w:rsid w:val="00DE43DB"/>
    <w:rsid w:val="00DE5019"/>
    <w:rsid w:val="00DE6305"/>
    <w:rsid w:val="00DF0100"/>
    <w:rsid w:val="00DF04C5"/>
    <w:rsid w:val="00DF0D57"/>
    <w:rsid w:val="00DF2BD5"/>
    <w:rsid w:val="00DF3A17"/>
    <w:rsid w:val="00DF527A"/>
    <w:rsid w:val="00E064DA"/>
    <w:rsid w:val="00E06523"/>
    <w:rsid w:val="00E07823"/>
    <w:rsid w:val="00E14F4F"/>
    <w:rsid w:val="00E15143"/>
    <w:rsid w:val="00E15374"/>
    <w:rsid w:val="00E15C92"/>
    <w:rsid w:val="00E22CC4"/>
    <w:rsid w:val="00E3127A"/>
    <w:rsid w:val="00E3387B"/>
    <w:rsid w:val="00E405E4"/>
    <w:rsid w:val="00E43E7A"/>
    <w:rsid w:val="00E45C6B"/>
    <w:rsid w:val="00E47BC7"/>
    <w:rsid w:val="00E50CE7"/>
    <w:rsid w:val="00E51C51"/>
    <w:rsid w:val="00E53C10"/>
    <w:rsid w:val="00E55CDC"/>
    <w:rsid w:val="00E56DC7"/>
    <w:rsid w:val="00E67E7C"/>
    <w:rsid w:val="00E7038A"/>
    <w:rsid w:val="00E72BD8"/>
    <w:rsid w:val="00E74536"/>
    <w:rsid w:val="00E74F72"/>
    <w:rsid w:val="00E761DC"/>
    <w:rsid w:val="00E83C94"/>
    <w:rsid w:val="00E85729"/>
    <w:rsid w:val="00E864BC"/>
    <w:rsid w:val="00E86CE4"/>
    <w:rsid w:val="00E875B3"/>
    <w:rsid w:val="00E952BA"/>
    <w:rsid w:val="00E9603E"/>
    <w:rsid w:val="00EA167D"/>
    <w:rsid w:val="00EA1C72"/>
    <w:rsid w:val="00EA243D"/>
    <w:rsid w:val="00EA50A3"/>
    <w:rsid w:val="00EA79C8"/>
    <w:rsid w:val="00EA7F16"/>
    <w:rsid w:val="00EB0210"/>
    <w:rsid w:val="00EB2057"/>
    <w:rsid w:val="00EB7F93"/>
    <w:rsid w:val="00EC0BC7"/>
    <w:rsid w:val="00EC36F9"/>
    <w:rsid w:val="00EC63F5"/>
    <w:rsid w:val="00ED0CC5"/>
    <w:rsid w:val="00ED2BF0"/>
    <w:rsid w:val="00ED5176"/>
    <w:rsid w:val="00EE143A"/>
    <w:rsid w:val="00EE44F7"/>
    <w:rsid w:val="00EE4777"/>
    <w:rsid w:val="00EE7F31"/>
    <w:rsid w:val="00EF11A1"/>
    <w:rsid w:val="00EF2275"/>
    <w:rsid w:val="00EF299E"/>
    <w:rsid w:val="00EF2FA4"/>
    <w:rsid w:val="00F00004"/>
    <w:rsid w:val="00F00C5F"/>
    <w:rsid w:val="00F01FF3"/>
    <w:rsid w:val="00F1299E"/>
    <w:rsid w:val="00F13AC4"/>
    <w:rsid w:val="00F14ACA"/>
    <w:rsid w:val="00F16DF6"/>
    <w:rsid w:val="00F20C75"/>
    <w:rsid w:val="00F22EDD"/>
    <w:rsid w:val="00F24D8D"/>
    <w:rsid w:val="00F311F8"/>
    <w:rsid w:val="00F35E28"/>
    <w:rsid w:val="00F40150"/>
    <w:rsid w:val="00F40EFE"/>
    <w:rsid w:val="00F43A9F"/>
    <w:rsid w:val="00F52C3B"/>
    <w:rsid w:val="00F55B32"/>
    <w:rsid w:val="00F60498"/>
    <w:rsid w:val="00F60A7C"/>
    <w:rsid w:val="00F62D62"/>
    <w:rsid w:val="00F6307A"/>
    <w:rsid w:val="00F64F52"/>
    <w:rsid w:val="00F6796D"/>
    <w:rsid w:val="00F74A31"/>
    <w:rsid w:val="00F75BF5"/>
    <w:rsid w:val="00F77356"/>
    <w:rsid w:val="00F80809"/>
    <w:rsid w:val="00F83963"/>
    <w:rsid w:val="00F848B6"/>
    <w:rsid w:val="00F90B6E"/>
    <w:rsid w:val="00F92670"/>
    <w:rsid w:val="00F94621"/>
    <w:rsid w:val="00FA1158"/>
    <w:rsid w:val="00FA1887"/>
    <w:rsid w:val="00FA1E0E"/>
    <w:rsid w:val="00FA20CE"/>
    <w:rsid w:val="00FA5D95"/>
    <w:rsid w:val="00FA75AA"/>
    <w:rsid w:val="00FB1B90"/>
    <w:rsid w:val="00FB2613"/>
    <w:rsid w:val="00FB2C20"/>
    <w:rsid w:val="00FB2D55"/>
    <w:rsid w:val="00FB613F"/>
    <w:rsid w:val="00FB6B58"/>
    <w:rsid w:val="00FB7258"/>
    <w:rsid w:val="00FC3C48"/>
    <w:rsid w:val="00FD5E6D"/>
    <w:rsid w:val="00FD6D92"/>
    <w:rsid w:val="00FE2FE8"/>
    <w:rsid w:val="00FE67A8"/>
    <w:rsid w:val="00FE74C3"/>
    <w:rsid w:val="00FF0FA2"/>
    <w:rsid w:val="00FF30E6"/>
    <w:rsid w:val="00FF6F59"/>
    <w:rsid w:val="03D2036F"/>
    <w:rsid w:val="1C9C0F85"/>
    <w:rsid w:val="30647A90"/>
    <w:rsid w:val="49221512"/>
    <w:rsid w:val="543C0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32"/>
      <w:szCs w:val="44"/>
    </w:rPr>
  </w:style>
  <w:style w:type="paragraph" w:styleId="3">
    <w:name w:val="heading 2"/>
    <w:basedOn w:val="1"/>
    <w:next w:val="1"/>
    <w:link w:val="21"/>
    <w:unhideWhenUsed/>
    <w:qFormat/>
    <w:uiPriority w:val="9"/>
    <w:pPr>
      <w:keepNext/>
      <w:keepLines/>
      <w:spacing w:before="260" w:after="260" w:line="416" w:lineRule="auto"/>
      <w:outlineLvl w:val="1"/>
    </w:pPr>
    <w:rPr>
      <w:rFonts w:cstheme="majorBidi"/>
      <w:b/>
      <w:bCs/>
      <w:sz w:val="30"/>
      <w:szCs w:val="32"/>
    </w:rPr>
  </w:style>
  <w:style w:type="paragraph" w:styleId="4">
    <w:name w:val="heading 3"/>
    <w:basedOn w:val="1"/>
    <w:next w:val="1"/>
    <w:link w:val="24"/>
    <w:unhideWhenUsed/>
    <w:qFormat/>
    <w:uiPriority w:val="9"/>
    <w:pPr>
      <w:keepNext/>
      <w:keepLines/>
      <w:spacing w:before="160" w:after="80"/>
      <w:outlineLvl w:val="2"/>
    </w:pPr>
    <w:rPr>
      <w:rFonts w:cstheme="majorBidi"/>
      <w:b/>
      <w:sz w:val="28"/>
      <w:szCs w:val="32"/>
    </w:rPr>
  </w:style>
  <w:style w:type="paragraph" w:styleId="5">
    <w:name w:val="heading 4"/>
    <w:basedOn w:val="1"/>
    <w:next w:val="1"/>
    <w:link w:val="25"/>
    <w:unhideWhenUsed/>
    <w:qFormat/>
    <w:uiPriority w:val="9"/>
    <w:pPr>
      <w:keepNext/>
      <w:keepLines/>
      <w:spacing w:before="80" w:after="40"/>
      <w:outlineLvl w:val="3"/>
    </w:pPr>
    <w:rPr>
      <w:rFonts w:cstheme="majorBidi"/>
      <w:b/>
      <w:szCs w:val="28"/>
    </w:rPr>
  </w:style>
  <w:style w:type="paragraph" w:styleId="6">
    <w:name w:val="heading 5"/>
    <w:basedOn w:val="1"/>
    <w:next w:val="1"/>
    <w:link w:val="26"/>
    <w:semiHidden/>
    <w:unhideWhenUsed/>
    <w:qFormat/>
    <w:uiPriority w:val="9"/>
    <w:pPr>
      <w:keepNext/>
      <w:keepLines/>
      <w:spacing w:before="80" w:after="40"/>
      <w:outlineLvl w:val="4"/>
    </w:pPr>
    <w:rPr>
      <w:rFonts w:asciiTheme="minorHAnsi" w:hAnsiTheme="minorHAnsi" w:eastAsiaTheme="minorEastAsia" w:cstheme="majorBidi"/>
      <w:color w:val="2F5597" w:themeColor="accent1" w:themeShade="BF"/>
      <w:szCs w:val="24"/>
    </w:rPr>
  </w:style>
  <w:style w:type="paragraph" w:styleId="7">
    <w:name w:val="heading 6"/>
    <w:basedOn w:val="1"/>
    <w:next w:val="1"/>
    <w:link w:val="27"/>
    <w:semiHidden/>
    <w:unhideWhenUsed/>
    <w:qFormat/>
    <w:uiPriority w:val="9"/>
    <w:pPr>
      <w:keepNext/>
      <w:keepLines/>
      <w:spacing w:before="40"/>
      <w:outlineLvl w:val="5"/>
    </w:pPr>
    <w:rPr>
      <w:rFonts w:asciiTheme="minorHAnsi" w:hAnsiTheme="minorHAnsi" w:eastAsiaTheme="minorEastAsia" w:cstheme="majorBidi"/>
      <w:b/>
      <w:bCs/>
      <w:color w:val="2F5597" w:themeColor="accent1" w:themeShade="BF"/>
    </w:rPr>
  </w:style>
  <w:style w:type="paragraph" w:styleId="8">
    <w:name w:val="heading 7"/>
    <w:basedOn w:val="1"/>
    <w:next w:val="1"/>
    <w:link w:val="28"/>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3"/>
    <w:qFormat/>
    <w:uiPriority w:val="0"/>
    <w:pPr>
      <w:widowControl/>
      <w:snapToGrid w:val="0"/>
      <w:spacing w:before="60" w:after="160" w:line="259" w:lineRule="auto"/>
      <w:ind w:right="113"/>
    </w:pPr>
    <w:rPr>
      <w:rFonts w:cs="Times New Roman"/>
      <w:kern w:val="0"/>
      <w:sz w:val="18"/>
      <w:szCs w:val="20"/>
    </w:r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link w:val="54"/>
    <w:qFormat/>
    <w:uiPriority w:val="0"/>
    <w:pPr>
      <w:widowControl/>
      <w:spacing w:before="100" w:beforeAutospacing="1" w:after="100" w:afterAutospacing="1"/>
      <w:jc w:val="left"/>
    </w:pPr>
    <w:rPr>
      <w:rFonts w:ascii="宋体" w:hAnsi="宋体" w:cs="Times New Roman"/>
      <w:kern w:val="0"/>
      <w:szCs w:val="20"/>
    </w:rPr>
  </w:style>
  <w:style w:type="paragraph" w:styleId="16">
    <w:name w:val="Title"/>
    <w:basedOn w:val="1"/>
    <w:next w:val="1"/>
    <w:link w:val="22"/>
    <w:qFormat/>
    <w:uiPriority w:val="10"/>
    <w:pPr>
      <w:spacing w:before="240" w:after="60"/>
      <w:jc w:val="center"/>
      <w:outlineLvl w:val="0"/>
    </w:pPr>
    <w:rPr>
      <w:rFonts w:cstheme="majorBidi"/>
      <w:b/>
      <w:bCs/>
      <w:sz w:val="32"/>
      <w:szCs w:val="32"/>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标题 1 字符"/>
    <w:basedOn w:val="19"/>
    <w:link w:val="2"/>
    <w:uiPriority w:val="9"/>
    <w:rPr>
      <w:rFonts w:ascii="Times New Roman" w:hAnsi="Times New Roman" w:eastAsia="宋体"/>
      <w:b/>
      <w:bCs/>
      <w:kern w:val="44"/>
      <w:sz w:val="32"/>
      <w:szCs w:val="44"/>
    </w:rPr>
  </w:style>
  <w:style w:type="character" w:customStyle="1" w:styleId="21">
    <w:name w:val="标题 2 字符"/>
    <w:basedOn w:val="19"/>
    <w:link w:val="3"/>
    <w:qFormat/>
    <w:uiPriority w:val="9"/>
    <w:rPr>
      <w:rFonts w:ascii="Times New Roman" w:hAnsi="Times New Roman" w:eastAsia="宋体" w:cstheme="majorBidi"/>
      <w:b/>
      <w:bCs/>
      <w:sz w:val="30"/>
      <w:szCs w:val="32"/>
    </w:rPr>
  </w:style>
  <w:style w:type="character" w:customStyle="1" w:styleId="22">
    <w:name w:val="标题 字符"/>
    <w:basedOn w:val="19"/>
    <w:link w:val="16"/>
    <w:qFormat/>
    <w:uiPriority w:val="10"/>
    <w:rPr>
      <w:rFonts w:ascii="Times New Roman" w:hAnsi="Times New Roman" w:eastAsia="宋体" w:cstheme="majorBidi"/>
      <w:b/>
      <w:bCs/>
      <w:sz w:val="32"/>
      <w:szCs w:val="32"/>
    </w:rPr>
  </w:style>
  <w:style w:type="table" w:customStyle="1" w:styleId="23">
    <w:name w:val="样式1"/>
    <w:basedOn w:val="17"/>
    <w:qFormat/>
    <w:uiPriority w:val="0"/>
    <w:pPr>
      <w:jc w:val="center"/>
    </w:pPr>
    <w:rPr>
      <w:rFonts w:ascii="Times New Roman" w:hAnsi="Times New Roman" w:eastAsia="宋体" w:cs="Times New Roman"/>
      <w:kern w:val="0"/>
      <w:sz w:val="20"/>
      <w:szCs w:val="20"/>
    </w:rPr>
    <w:tblPr>
      <w:tblBorders>
        <w:top w:val="single" w:color="auto" w:sz="6" w:space="0"/>
        <w:bottom w:val="single" w:color="auto" w:sz="6" w:space="0"/>
        <w:insideH w:val="single" w:color="auto" w:sz="6" w:space="0"/>
        <w:insideV w:val="single" w:color="auto" w:sz="6" w:space="0"/>
      </w:tblBorders>
    </w:tblPr>
    <w:tcPr>
      <w:vAlign w:val="center"/>
    </w:tcPr>
  </w:style>
  <w:style w:type="character" w:customStyle="1" w:styleId="24">
    <w:name w:val="标题 3 字符"/>
    <w:basedOn w:val="19"/>
    <w:link w:val="4"/>
    <w:qFormat/>
    <w:uiPriority w:val="9"/>
    <w:rPr>
      <w:rFonts w:ascii="Times New Roman" w:hAnsi="Times New Roman" w:eastAsia="宋体" w:cstheme="majorBidi"/>
      <w:b/>
      <w:sz w:val="28"/>
      <w:szCs w:val="32"/>
    </w:rPr>
  </w:style>
  <w:style w:type="character" w:customStyle="1" w:styleId="25">
    <w:name w:val="标题 4 字符"/>
    <w:basedOn w:val="19"/>
    <w:link w:val="5"/>
    <w:uiPriority w:val="9"/>
    <w:rPr>
      <w:rFonts w:ascii="Times New Roman" w:hAnsi="Times New Roman" w:eastAsia="宋体" w:cstheme="majorBidi"/>
      <w:b/>
      <w:sz w:val="24"/>
      <w:szCs w:val="28"/>
    </w:rPr>
  </w:style>
  <w:style w:type="character" w:customStyle="1" w:styleId="26">
    <w:name w:val="标题 5 字符"/>
    <w:basedOn w:val="19"/>
    <w:link w:val="6"/>
    <w:semiHidden/>
    <w:qFormat/>
    <w:uiPriority w:val="9"/>
    <w:rPr>
      <w:rFonts w:cstheme="majorBidi"/>
      <w:color w:val="2F5597" w:themeColor="accent1" w:themeShade="BF"/>
      <w:sz w:val="24"/>
      <w:szCs w:val="24"/>
    </w:rPr>
  </w:style>
  <w:style w:type="character" w:customStyle="1" w:styleId="27">
    <w:name w:val="标题 6 字符"/>
    <w:basedOn w:val="19"/>
    <w:link w:val="7"/>
    <w:semiHidden/>
    <w:qFormat/>
    <w:uiPriority w:val="9"/>
    <w:rPr>
      <w:rFonts w:cstheme="majorBidi"/>
      <w:b/>
      <w:bCs/>
      <w:color w:val="2F5597" w:themeColor="accent1" w:themeShade="BF"/>
      <w:sz w:val="24"/>
    </w:rPr>
  </w:style>
  <w:style w:type="character" w:customStyle="1" w:styleId="28">
    <w:name w:val="标题 7 字符"/>
    <w:basedOn w:val="19"/>
    <w:link w:val="8"/>
    <w:semiHidden/>
    <w:uiPriority w:val="9"/>
    <w:rPr>
      <w:rFonts w:cstheme="majorBidi"/>
      <w:b/>
      <w:bCs/>
      <w:color w:val="595959" w:themeColor="text1" w:themeTint="A6"/>
      <w:sz w:val="24"/>
      <w14:textFill>
        <w14:solidFill>
          <w14:schemeClr w14:val="tx1">
            <w14:lumMod w14:val="65000"/>
            <w14:lumOff w14:val="35000"/>
          </w14:schemeClr>
        </w14:solidFill>
      </w14:textFill>
    </w:rPr>
  </w:style>
  <w:style w:type="character" w:customStyle="1" w:styleId="29">
    <w:name w:val="标题 8 字符"/>
    <w:basedOn w:val="19"/>
    <w:link w:val="9"/>
    <w:semiHidden/>
    <w:qFormat/>
    <w:uiPriority w:val="9"/>
    <w:rPr>
      <w:rFonts w:cstheme="majorBidi"/>
      <w:color w:val="595959" w:themeColor="text1" w:themeTint="A6"/>
      <w:sz w:val="24"/>
      <w14:textFill>
        <w14:solidFill>
          <w14:schemeClr w14:val="tx1">
            <w14:lumMod w14:val="65000"/>
            <w14:lumOff w14:val="35000"/>
          </w14:schemeClr>
        </w14:solidFill>
      </w14:textFill>
    </w:rPr>
  </w:style>
  <w:style w:type="character" w:customStyle="1" w:styleId="30">
    <w:name w:val="标题 9 字符"/>
    <w:basedOn w:val="19"/>
    <w:link w:val="10"/>
    <w:semiHidden/>
    <w:qFormat/>
    <w:uiPriority w:val="9"/>
    <w:rPr>
      <w:rFonts w:eastAsiaTheme="majorEastAsia" w:cstheme="majorBidi"/>
      <w:color w:val="595959" w:themeColor="text1" w:themeTint="A6"/>
      <w:sz w:val="24"/>
      <w14:textFill>
        <w14:solidFill>
          <w14:schemeClr w14:val="tx1">
            <w14:lumMod w14:val="65000"/>
            <w14:lumOff w14:val="35000"/>
          </w14:schemeClr>
        </w14:solidFill>
      </w14:textFill>
    </w:rPr>
  </w:style>
  <w:style w:type="character" w:customStyle="1" w:styleId="31">
    <w:name w:val="副标题 字符"/>
    <w:basedOn w:val="19"/>
    <w:link w:val="14"/>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qFormat/>
    <w:uiPriority w:val="29"/>
    <w:rPr>
      <w:rFonts w:ascii="Times New Roman" w:hAnsi="Times New Roman" w:eastAsia="宋体"/>
      <w:i/>
      <w:iCs/>
      <w:color w:val="404040" w:themeColor="text1" w:themeTint="BF"/>
      <w:sz w:val="24"/>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9"/>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明显引用 字符"/>
    <w:basedOn w:val="19"/>
    <w:link w:val="36"/>
    <w:uiPriority w:val="30"/>
    <w:rPr>
      <w:rFonts w:ascii="Times New Roman" w:hAnsi="Times New Roman" w:eastAsia="宋体"/>
      <w:i/>
      <w:iCs/>
      <w:color w:val="2F5597" w:themeColor="accent1" w:themeShade="BF"/>
      <w:sz w:val="24"/>
    </w:rPr>
  </w:style>
  <w:style w:type="character" w:customStyle="1" w:styleId="38">
    <w:name w:val="Intense Reference"/>
    <w:basedOn w:val="19"/>
    <w:qFormat/>
    <w:uiPriority w:val="32"/>
    <w:rPr>
      <w:b/>
      <w:bCs/>
      <w:smallCaps/>
      <w:color w:val="2F5597" w:themeColor="accent1" w:themeShade="BF"/>
      <w:spacing w:val="5"/>
    </w:rPr>
  </w:style>
  <w:style w:type="character" w:customStyle="1" w:styleId="39">
    <w:name w:val="页眉 字符"/>
    <w:basedOn w:val="19"/>
    <w:link w:val="13"/>
    <w:qFormat/>
    <w:uiPriority w:val="99"/>
    <w:rPr>
      <w:rFonts w:ascii="Times New Roman" w:hAnsi="Times New Roman" w:eastAsia="宋体"/>
      <w:sz w:val="18"/>
      <w:szCs w:val="18"/>
    </w:rPr>
  </w:style>
  <w:style w:type="character" w:customStyle="1" w:styleId="40">
    <w:name w:val="页脚 字符"/>
    <w:basedOn w:val="19"/>
    <w:link w:val="12"/>
    <w:uiPriority w:val="99"/>
    <w:rPr>
      <w:rFonts w:ascii="Times New Roman" w:hAnsi="Times New Roman" w:eastAsia="宋体"/>
      <w:sz w:val="18"/>
      <w:szCs w:val="18"/>
    </w:rPr>
  </w:style>
  <w:style w:type="table" w:customStyle="1" w:styleId="41">
    <w:name w:val="表格样式12"/>
    <w:basedOn w:val="17"/>
    <w:qFormat/>
    <w:uiPriority w:val="0"/>
    <w:rPr>
      <w:rFonts w:ascii="Times New Roman" w:hAnsi="Times New Roman" w:eastAsia="宋体" w:cs="Times New Roman"/>
      <w:kern w:val="0"/>
      <w:sz w:val="20"/>
      <w:szCs w:val="20"/>
    </w:rPr>
    <w:tblPr>
      <w:tblBorders>
        <w:top w:val="single" w:color="auto" w:sz="12" w:space="0"/>
        <w:bottom w:val="single" w:color="auto" w:sz="12" w:space="0"/>
        <w:insideH w:val="single" w:color="auto" w:sz="4" w:space="0"/>
        <w:insideV w:val="single" w:color="auto" w:sz="4" w:space="0"/>
      </w:tblBorders>
    </w:tblPr>
  </w:style>
  <w:style w:type="paragraph" w:customStyle="1" w:styleId="42">
    <w:name w:val="表格"/>
    <w:basedOn w:val="1"/>
    <w:next w:val="1"/>
    <w:uiPriority w:val="0"/>
    <w:pPr>
      <w:adjustRightInd w:val="0"/>
      <w:snapToGrid w:val="0"/>
      <w:jc w:val="center"/>
    </w:pPr>
    <w:rPr>
      <w:rFonts w:cs="Times New Roman"/>
      <w:sz w:val="21"/>
      <w:szCs w:val="24"/>
    </w:rPr>
  </w:style>
  <w:style w:type="character" w:customStyle="1" w:styleId="43">
    <w:name w:val="正文文本 字符"/>
    <w:basedOn w:val="19"/>
    <w:link w:val="11"/>
    <w:qFormat/>
    <w:uiPriority w:val="0"/>
    <w:rPr>
      <w:rFonts w:ascii="Times New Roman" w:hAnsi="Times New Roman" w:eastAsia="宋体" w:cs="Times New Roman"/>
      <w:kern w:val="0"/>
      <w:sz w:val="18"/>
      <w:szCs w:val="20"/>
    </w:rPr>
  </w:style>
  <w:style w:type="paragraph" w:customStyle="1" w:styleId="44">
    <w:name w:val="Table Paragraph"/>
    <w:basedOn w:val="1"/>
    <w:qFormat/>
    <w:uiPriority w:val="0"/>
    <w:pPr>
      <w:jc w:val="center"/>
    </w:pPr>
    <w:rPr>
      <w:rFonts w:eastAsia="Times New Roman" w:cs="Times New Roman"/>
      <w:sz w:val="21"/>
      <w:szCs w:val="24"/>
    </w:rPr>
  </w:style>
  <w:style w:type="character" w:customStyle="1" w:styleId="45">
    <w:name w:val="表头 Char"/>
    <w:link w:val="46"/>
    <w:qFormat/>
    <w:uiPriority w:val="0"/>
    <w:rPr>
      <w:rFonts w:eastAsia="宋体"/>
      <w:b/>
      <w:szCs w:val="24"/>
    </w:rPr>
  </w:style>
  <w:style w:type="paragraph" w:customStyle="1" w:styleId="46">
    <w:name w:val="表头"/>
    <w:basedOn w:val="1"/>
    <w:next w:val="1"/>
    <w:link w:val="45"/>
    <w:qFormat/>
    <w:uiPriority w:val="0"/>
    <w:pPr>
      <w:numPr>
        <w:ilvl w:val="0"/>
        <w:numId w:val="1"/>
      </w:numPr>
      <w:tabs>
        <w:tab w:val="left" w:pos="5104"/>
      </w:tabs>
      <w:adjustRightInd w:val="0"/>
      <w:snapToGrid w:val="0"/>
      <w:jc w:val="center"/>
    </w:pPr>
    <w:rPr>
      <w:rFonts w:asciiTheme="minorHAnsi" w:hAnsiTheme="minorHAnsi"/>
      <w:b/>
      <w:sz w:val="21"/>
      <w:szCs w:val="24"/>
    </w:rPr>
  </w:style>
  <w:style w:type="paragraph" w:customStyle="1" w:styleId="47">
    <w:name w:val="表格（窄）"/>
    <w:basedOn w:val="1"/>
    <w:qFormat/>
    <w:uiPriority w:val="0"/>
    <w:pPr>
      <w:adjustRightInd w:val="0"/>
      <w:snapToGrid w:val="0"/>
      <w:jc w:val="center"/>
    </w:pPr>
    <w:rPr>
      <w:rFonts w:cs="Times New Roman"/>
      <w:kern w:val="0"/>
      <w:sz w:val="21"/>
      <w:szCs w:val="24"/>
    </w:rPr>
  </w:style>
  <w:style w:type="paragraph" w:customStyle="1" w:styleId="48">
    <w:name w:val="表格后"/>
    <w:basedOn w:val="1"/>
    <w:qFormat/>
    <w:uiPriority w:val="0"/>
    <w:pPr>
      <w:adjustRightInd w:val="0"/>
      <w:snapToGrid w:val="0"/>
      <w:ind w:firstLine="482" w:firstLineChars="200"/>
    </w:pPr>
    <w:rPr>
      <w:rFonts w:cs="Times New Roman"/>
      <w:b/>
      <w:snapToGrid w:val="0"/>
      <w:kern w:val="0"/>
      <w:sz w:val="18"/>
      <w:szCs w:val="28"/>
    </w:rPr>
  </w:style>
  <w:style w:type="character" w:customStyle="1" w:styleId="49">
    <w:name w:val="书-表头 Char"/>
    <w:link w:val="50"/>
    <w:autoRedefine/>
    <w:qFormat/>
    <w:uiPriority w:val="0"/>
    <w:rPr>
      <w:rFonts w:ascii="Times New Roman" w:hAnsi="Times New Roman" w:eastAsia="宋体"/>
      <w:b/>
      <w:bCs/>
      <w:szCs w:val="24"/>
    </w:rPr>
  </w:style>
  <w:style w:type="paragraph" w:customStyle="1" w:styleId="50">
    <w:name w:val="书-表头"/>
    <w:basedOn w:val="1"/>
    <w:link w:val="49"/>
    <w:autoRedefine/>
    <w:qFormat/>
    <w:uiPriority w:val="0"/>
    <w:pPr>
      <w:jc w:val="center"/>
    </w:pPr>
    <w:rPr>
      <w:b/>
      <w:bCs/>
      <w:sz w:val="21"/>
      <w:szCs w:val="24"/>
    </w:rPr>
  </w:style>
  <w:style w:type="paragraph" w:customStyle="1" w:styleId="51">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table" w:customStyle="1" w:styleId="52">
    <w:name w:val="表格样式1"/>
    <w:basedOn w:val="17"/>
    <w:qFormat/>
    <w:uiPriority w:val="0"/>
    <w:rPr>
      <w:rFonts w:ascii="Times New Roman" w:hAnsi="Times New Roman" w:eastAsia="宋体" w:cs="Times New Roman"/>
      <w:kern w:val="0"/>
      <w:sz w:val="20"/>
      <w:szCs w:val="20"/>
    </w:rPr>
    <w:tblPr>
      <w:tblBorders>
        <w:top w:val="single" w:color="auto" w:sz="12" w:space="0"/>
        <w:bottom w:val="single" w:color="auto" w:sz="12" w:space="0"/>
        <w:insideH w:val="single" w:color="auto" w:sz="4" w:space="0"/>
        <w:insideV w:val="single" w:color="auto" w:sz="4" w:space="0"/>
      </w:tblBorders>
    </w:tblPr>
  </w:style>
  <w:style w:type="paragraph" w:customStyle="1" w:styleId="53">
    <w:name w:val="00000正文"/>
    <w:basedOn w:val="1"/>
    <w:qFormat/>
    <w:uiPriority w:val="0"/>
    <w:pPr>
      <w:spacing w:line="360" w:lineRule="auto"/>
      <w:ind w:firstLine="400" w:firstLineChars="200"/>
      <w:jc w:val="left"/>
    </w:pPr>
    <w:rPr>
      <w:szCs w:val="24"/>
    </w:rPr>
  </w:style>
  <w:style w:type="character" w:customStyle="1" w:styleId="54">
    <w:name w:val="普通(网站) 字符"/>
    <w:link w:val="15"/>
    <w:qFormat/>
    <w:locked/>
    <w:uiPriority w:val="0"/>
    <w:rPr>
      <w:rFonts w:ascii="宋体" w:hAnsi="宋体" w:eastAsia="宋体" w:cs="Times New Roman"/>
      <w:kern w:val="0"/>
      <w:sz w:val="24"/>
      <w:szCs w:val="20"/>
    </w:rPr>
  </w:style>
  <w:style w:type="character" w:styleId="55">
    <w:name w:val="Placeholder Text"/>
    <w:basedOn w:val="19"/>
    <w:semiHidden/>
    <w:qFormat/>
    <w:uiPriority w:val="99"/>
    <w:rPr>
      <w:color w:val="66666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24358-2F11-4657-9324-4F62FD4A6FC4}">
  <ds:schemaRefs/>
</ds:datastoreItem>
</file>

<file path=docProps/app.xml><?xml version="1.0" encoding="utf-8"?>
<Properties xmlns="http://schemas.openxmlformats.org/officeDocument/2006/extended-properties" xmlns:vt="http://schemas.openxmlformats.org/officeDocument/2006/docPropsVTypes">
  <Template>Normal</Template>
  <Pages>130</Pages>
  <Words>10269</Words>
  <Characters>10633</Characters>
  <Lines>696</Lines>
  <Paragraphs>196</Paragraphs>
  <TotalTime>10</TotalTime>
  <ScaleCrop>false</ScaleCrop>
  <LinksUpToDate>false</LinksUpToDate>
  <CharactersWithSpaces>10754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2025-09-19T01:34:00Z</dcterms:created>
  <dc:creator>Administrator</dc:creator>
  <cp:lastModifiedBy>守望幸福145248</cp:lastModifiedBy>
  <cp:lastPrinted>2025-12-08T00:47:00Z</cp:lastPrinted>
  <dcterms:modified xsi:type="dcterms:W3CDTF">2025-12-17T02:51:35Z</dcterms:modified>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eyJoZGlkIjoiNzczMzgyMGNmMzk4MzhlM2IzMDRmYTAyZmJiMGI1YWIiLCJ1c2VySWQiOiIxNDUyNDgifQ==</vt:lpwstr>
  </property>
  <property fmtid="{D5CDD505-2E9C-101B-9397-08002B2CF9AE}" pid="3" name="KSOProductBuildVer">
    <vt:lpwstr>2052-12.1.0.24034</vt:lpwstr>
  </property>
  <property fmtid="{D5CDD505-2E9C-101B-9397-08002B2CF9AE}" pid="4" name="ICV">
    <vt:lpwstr>3BBF8A41C7C4439CBC243FBF10231E50_12</vt:lpwstr>
  </property>
</Properties>
</file>